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PLC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Polestar Automotive Holding UK PLC</w:t>
      </w:r>
    </w:p>
    <w:p>
      <w:pPr>
        <w:spacing w:after="0" w:line="32"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Gores Guggenheim, Inc.</w:t>
      </w:r>
    </w:p>
    <w:p>
      <w:pPr>
        <w:spacing w:after="0" w:line="32"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On June 14, 2022, the following communication was made available by Polestar on Instagram:</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34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left="4" w:right="140"/>
        <w:spacing w:after="0" w:line="271" w:lineRule="auto"/>
        <w:rPr>
          <w:sz w:val="20"/>
          <w:szCs w:val="20"/>
          <w:color w:val="auto"/>
        </w:rPr>
      </w:pPr>
      <w:r>
        <w:rPr>
          <w:rFonts w:ascii="Arial" w:cs="Arial" w:eastAsia="Arial" w:hAnsi="Arial"/>
          <w:sz w:val="17"/>
          <w:szCs w:val="17"/>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10"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2" w:lineRule="exact"/>
        <w:rPr>
          <w:sz w:val="20"/>
          <w:szCs w:val="20"/>
          <w:color w:val="auto"/>
        </w:rPr>
      </w:pPr>
    </w:p>
    <w:p>
      <w:pPr>
        <w:ind w:left="4" w:hanging="4"/>
        <w:spacing w:after="0" w:line="251" w:lineRule="auto"/>
        <w:tabs>
          <w:tab w:leader="none" w:pos="349"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ectPr>
          <w:pgSz w:w="11900" w:h="16838" w:orient="portrait"/>
          <w:cols w:equalWidth="0" w:num="1">
            <w:col w:w="11004"/>
          </w:cols>
          <w:pgMar w:left="436" w:top="270" w:right="459" w:bottom="1440" w:gutter="0" w:footer="0" w:header="0"/>
        </w:sectPr>
      </w:pPr>
    </w:p>
    <w:bookmarkStart w:id="3" w:name="page4"/>
    <w:bookmarkEnd w:id="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820"/>
      </w:cols>
      <w:pgMar w:left="440"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2022-06-15T05:38:03Z</dcterms:created>
  <dcterms:modified xsi:type="dcterms:W3CDTF">2022-06-15T05:38:03Z</dcterms:modified>
</cp:coreProperties>
</file>