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2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May 19, 2022</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Bradley Ecker, Sherry Haywood</w:t>
      </w:r>
    </w:p>
    <w:p>
      <w:pPr>
        <w:spacing w:after="0" w:line="351"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Polestar Automotive Holding UK Limited</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Amendment No. 6 to Registration Statement on Form F-4</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Filed May 9, 2022</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333-260992</w:t>
      </w:r>
    </w:p>
    <w:p>
      <w:pPr>
        <w:spacing w:after="0" w:line="31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This letter sets forth responses of Polestar Automotive Holding UK Limited, which re-registered as a public limited company under the laws of England and Wales with the name “Polestar Automotive Holding UK PLC” (“Polestar”) to the comments of the Staff of the Division of Corporation Finance (the “Staff”) of the U.S. Securities and Exchange Commission set forth in your letter, dated May 17, 2022, with respect to the above referenced Registration Statements on Form F-4 (the “Registration Statement”).</w:t>
      </w:r>
    </w:p>
    <w:p>
      <w:pPr>
        <w:spacing w:after="0" w:line="180" w:lineRule="exact"/>
        <w:rPr>
          <w:sz w:val="24"/>
          <w:szCs w:val="24"/>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Polestar’s response to each of the numbered comments immediately below each numbered comment.</w:t>
      </w:r>
    </w:p>
    <w:p>
      <w:pPr>
        <w:spacing w:after="0" w:line="176" w:lineRule="exact"/>
        <w:rPr>
          <w:sz w:val="24"/>
          <w:szCs w:val="24"/>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Polestar has revised the Registration Statement in response to the Staff’s comments and Polestar is concurrently filing an amended Registration Statement with this letter. Page numbers in the text of Polestar’s responses correspond to page numbers in the Registration Statement, as so amended.</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Amendment No. 6 to Registration Statement on Form F-4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Audited Financial Statements of Polestar Automotive Holding Limited</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recognition, page F-42</w:t>
      </w:r>
    </w:p>
    <w:p>
      <w:pPr>
        <w:spacing w:after="0" w:line="108" w:lineRule="exact"/>
        <w:rPr>
          <w:sz w:val="24"/>
          <w:szCs w:val="24"/>
          <w:color w:val="auto"/>
        </w:rPr>
      </w:pPr>
    </w:p>
    <w:p>
      <w:pPr>
        <w:jc w:val="both"/>
        <w:ind w:left="544" w:right="80" w:hanging="544"/>
        <w:spacing w:after="0" w:line="268"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Staff’s Comment: </w:t>
      </w:r>
      <w:r>
        <w:rPr>
          <w:rFonts w:ascii="Times New Roman" w:cs="Times New Roman" w:eastAsia="Times New Roman" w:hAnsi="Times New Roman"/>
          <w:sz w:val="18"/>
          <w:szCs w:val="18"/>
          <w:color w:val="auto"/>
        </w:rPr>
        <w:t>We note from your response to prior comment 3 that for the year-ended December 31, 2021, Polestar did not make a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true-up payments to BANA beyond the initial Enhancement payments made when the leases were originated. To the extent there are material changes to your true-up payments (i.e. increases or decreases) in future periods, please disclose such amounts accordingly.</w:t>
      </w:r>
    </w:p>
    <w:p>
      <w:pPr>
        <w:sectPr>
          <w:pgSz w:w="11900" w:h="16838" w:orient="portrait"/>
          <w:cols w:equalWidth="0" w:num="1">
            <w:col w:w="10984"/>
          </w:cols>
          <w:pgMar w:left="436" w:top="225" w:right="479" w:bottom="1440" w:gutter="0" w:footer="0" w:header="0"/>
        </w:sectPr>
      </w:pPr>
    </w:p>
    <w:bookmarkStart w:id="1" w:name="page2"/>
    <w:bookmarkEnd w:id="1"/>
    <w:p>
      <w:pPr>
        <w:ind w:lef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Response: </w:t>
      </w:r>
      <w:r>
        <w:rPr>
          <w:rFonts w:ascii="Times New Roman" w:cs="Times New Roman" w:eastAsia="Times New Roman" w:hAnsi="Times New Roman"/>
          <w:sz w:val="18"/>
          <w:szCs w:val="18"/>
          <w:color w:val="auto"/>
        </w:rPr>
        <w:t>Polestar acknowledges the Staff’s comment and to the extent material in future periods, Polestar will disclose material changes to true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 payments.</w:t>
      </w:r>
    </w:p>
    <w:p>
      <w:pPr>
        <w:spacing w:after="0" w:line="15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at (212) 446-4794 of Kirkland &amp; Ellis LLP.</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440" w:top="266" w:right="579" w:bottom="1440" w:gutter="0" w:footer="0" w:header="0"/>
        </w:sectPr>
      </w:pPr>
    </w:p>
    <w:bookmarkStart w:id="2" w:name="page3"/>
    <w:bookmarkEnd w:id="2"/>
    <w:p>
      <w:pPr>
        <w:ind w:left="66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444" w:right="8019" w:hanging="444"/>
        <w:spacing w:after="0" w:line="281"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O. Nagler Timothy Cruickshank Alex Lloyd Kirkland &amp; Ellis LLP</w:t>
      </w:r>
    </w:p>
    <w:p>
      <w:pPr>
        <w:spacing w:after="0" w:line="56" w:lineRule="exact"/>
        <w:rPr>
          <w:rFonts w:ascii="Times New Roman" w:cs="Times New Roman" w:eastAsia="Times New Roman" w:hAnsi="Times New Roman"/>
          <w:sz w:val="17"/>
          <w:szCs w:val="17"/>
          <w:color w:val="auto"/>
        </w:rPr>
      </w:pPr>
    </w:p>
    <w:p>
      <w:pPr>
        <w:ind w:left="444" w:right="8399"/>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R. Griffin Kyle C. Krpata</w:t>
      </w: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Weil, Gotshal &amp; Manges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2022-06-23T23:10:34Z</dcterms:created>
  <dcterms:modified xsi:type="dcterms:W3CDTF">2022-06-23T23:10:34Z</dcterms:modified>
</cp:coreProperties>
</file>