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40"/>
        <w:spacing w:after="0" w:line="207" w:lineRule="exact"/>
        <w:tabs>
          <w:tab w:leader="none" w:pos="59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Q1 2025 Commercial Update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10, 2025, Polestar Automotive Holding UK PLC (“Polestar”) issued a press release announcing its preliminary estimates for global volumes for the first quarter of 2025. A copy of the press release is attached hereto as Exhibit 99.1.</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Polestar and Xingji Meizu agree to terminate business cooperation in China </w:t>
      </w:r>
      <w:r>
        <w:rPr>
          <w:rFonts w:ascii="Times New Roman" w:cs="Times New Roman" w:eastAsia="Times New Roman" w:hAnsi="Times New Roman"/>
          <w:sz w:val="18"/>
          <w:szCs w:val="18"/>
          <w:color w:val="auto"/>
        </w:rPr>
        <w:t> </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April 10, 2025, Polestar and Hubei Xingji Meizu Group Co., Ltd. (“Xingji Meizu”) signed a Framework Agreement for Termination (the “Agreement”) to terminate the business of their joint venture company, Polestar Times Technology (Nanjing) Co., Ltd (China) (the “JV”) and transfer the distribution rights to Polestar. As part of the agreement, the JV will take responsibility for settlement of any outstanding financial obligations and remaining liabilities against its business partners, including towards external investors, before the JV ceases its operations. Finally, the Agreement includes the transfer of certain digital and other assets from the JV with arms-length consideration agreed by the parties, so as to allow Polestar to resume sales, customer service and distribution activities in the Chinese market.</w:t>
      </w:r>
    </w:p>
    <w:p>
      <w:pPr>
        <w:spacing w:after="0" w:line="1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parties are terminating the business of the JV as a result of a change in market focus and strategy. The parties have agreed to work closely together to ensure a smooth transition. Polestar will remain fully committed to the Chinese market and will continue to pursue its long-term strategy for growth and innovation, whilst protecting its premium brand position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20" w:type="dxa"/>
            <w:vAlign w:val="bottom"/>
            <w:gridSpan w:val="2"/>
          </w:tcPr>
          <w:p>
            <w:pPr>
              <w:ind w:left="39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0" w:type="dxa"/>
            <w:vAlign w:val="bottom"/>
          </w:tcPr>
          <w:p>
            <w:pPr>
              <w:spacing w:after="0"/>
              <w:rPr>
                <w:sz w:val="24"/>
                <w:szCs w:val="24"/>
                <w:color w:val="auto"/>
              </w:rPr>
            </w:pPr>
          </w:p>
        </w:tc>
        <w:tc>
          <w:tcPr>
            <w:tcW w:w="10220" w:type="dxa"/>
            <w:vAlign w:val="bottom"/>
            <w:gridSpan w:val="2"/>
          </w:tcPr>
          <w:p>
            <w:pPr>
              <w:ind w:left="42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280" w:type="dxa"/>
            <w:vAlign w:val="bottom"/>
            <w:gridSpan w:val="3"/>
          </w:tcPr>
          <w:p>
            <w:pPr>
              <w:ind w:left="60"/>
              <w:spacing w:after="0" w:line="194" w:lineRule="exact"/>
              <w:rPr>
                <w:sz w:val="20"/>
                <w:szCs w:val="20"/>
                <w:color w:val="auto"/>
              </w:rPr>
            </w:pPr>
            <w:r>
              <w:rPr>
                <w:rFonts w:ascii="Times New Roman" w:cs="Times New Roman" w:eastAsia="Times New Roman" w:hAnsi="Times New Roman"/>
                <w:sz w:val="18"/>
                <w:szCs w:val="18"/>
                <w:color w:val="0000EE"/>
              </w:rPr>
              <w:t>Press Release of Polestar Automotive Holding UK PLC, dated April 10, 2025.</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40" w:type="dxa"/>
            <w:vAlign w:val="bottom"/>
            <w:tcBorders>
              <w:top w:val="single" w:sz="8" w:color="0000EE"/>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10, 2025</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10, 2025</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8345" cy="248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34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Q1 retail sales grew by 76% compared to the same quarter last year</w:t>
      </w:r>
    </w:p>
    <w:p>
      <w:pPr>
        <w:spacing w:after="0" w:line="2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GOTHENBURG, SWEDEN – 10 April 2025 – </w:t>
      </w:r>
      <w:r>
        <w:rPr>
          <w:rFonts w:ascii="Times New Roman" w:cs="Times New Roman" w:eastAsia="Times New Roman" w:hAnsi="Times New Roman"/>
          <w:sz w:val="18"/>
          <w:szCs w:val="18"/>
          <w:color w:val="auto"/>
        </w:rPr>
        <w:t>Polestar (Nasdaq: PSNY) retail sales volumes amounted to an estimated 12,304 cars in Q1 2025, up 76%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versus Q1 2024 and were stable versus Q4 2024, against a challenging economic environment. Sales are supported by a growing uptake of newer models and the ongoing transition to an active selling model.</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Michael Lohscheller, Polestar CEO, says: “We are on the right track and doing the right things. I'm pleased with the progress we are making in transforming our commercial operations. With a more active selling model, more retail partners and attractive cars, we are delivering results. At the same time, we are monitoring closely and assessing the volatile geopolitical environment and will adapt as needed.”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Breakdown of retail sales volumes: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40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320" w:type="dxa"/>
            <w:vAlign w:val="bottom"/>
            <w:tcBorders>
              <w:top w:val="single" w:sz="8" w:color="auto"/>
              <w:bottom w:val="single" w:sz="8" w:color="auto"/>
              <w:right w:val="single" w:sz="8" w:color="auto"/>
            </w:tcBorders>
          </w:tcPr>
          <w:p>
            <w:pPr>
              <w:spacing w:after="0"/>
              <w:rPr>
                <w:sz w:val="19"/>
                <w:szCs w:val="19"/>
                <w:color w:val="auto"/>
              </w:rPr>
            </w:pP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Q1 2025</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Q1 2024</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209"/>
        </w:trPr>
        <w:tc>
          <w:tcPr>
            <w:tcW w:w="240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Retail sales</w:t>
            </w:r>
          </w:p>
        </w:tc>
        <w:tc>
          <w:tcPr>
            <w:tcW w:w="32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12,304</w:t>
            </w:r>
          </w:p>
        </w:tc>
        <w:tc>
          <w:tcPr>
            <w:tcW w:w="3120" w:type="dxa"/>
            <w:vAlign w:val="bottom"/>
            <w:tcBorders>
              <w:bottom w:val="single" w:sz="8" w:color="auto"/>
              <w:right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6,975</w:t>
            </w:r>
          </w:p>
        </w:tc>
        <w:tc>
          <w:tcPr>
            <w:tcW w:w="2580" w:type="dxa"/>
            <w:vAlign w:val="bottom"/>
            <w:tcBorders>
              <w:bottom w:val="single" w:sz="8" w:color="auto"/>
              <w:right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+76%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expects to publish its full year results for 2024 and file its annual report on Form 20-F, by the end of April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Gavrilova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anna.gavrilova@polestar.com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227"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8"/>
          <w:szCs w:val="18"/>
          <w:i w:val="1"/>
          <w:iCs w:val="1"/>
          <w:color w:val="auto"/>
        </w:rPr>
        <w:t>Polestar (Nasdaq: PSNY) is the Swedish electric performance car brand with a focus on uncompromised design and innovation, and the ambition to accelerate the change towards a sustainable future. Headquartered in Gothenburg, Sweden, its cars are available in 27 markets globally across North America, Europe and Asia 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Polestar has three models in its line-up: Polestar 2, Polestar 3, and Polestar 4. Planned models include the Polestar 5 four-door GT (to be introduced in 2025), the Polestar 6 roadster and the Polestar 7 compact SUV. With its vehicles currently manufactured on two continents, North America and Asia, Polestar plans to diversify its manufacturing footprint further, with production of Polestar 7 planned in Europe.</w:t>
      </w:r>
    </w:p>
    <w:p>
      <w:pPr>
        <w:spacing w:after="0" w:line="17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 w:name="page7"/>
    <w:bookmarkEnd w:id="6"/>
    <w:p>
      <w:pPr>
        <w:ind w:right="200"/>
        <w:spacing w:after="0" w:line="277" w:lineRule="auto"/>
        <w:rPr>
          <w:sz w:val="20"/>
          <w:szCs w:val="20"/>
          <w:color w:val="auto"/>
        </w:rPr>
      </w:pPr>
      <w:r>
        <w:rPr>
          <w:rFonts w:ascii="Times New Roman" w:cs="Times New Roman" w:eastAsia="Times New Roman" w:hAnsi="Times New Roman"/>
          <w:sz w:val="17"/>
          <w:szCs w:val="17"/>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w:t>
      </w:r>
    </w:p>
    <w:p>
      <w:pPr>
        <w:spacing w:after="0" w:line="1" w:lineRule="exact"/>
        <w:rPr>
          <w:sz w:val="20"/>
          <w:szCs w:val="20"/>
          <w:color w:val="auto"/>
        </w:rPr>
      </w:pPr>
    </w:p>
    <w:p>
      <w:pPr>
        <w:ind w:right="160" w:firstLine="8"/>
        <w:spacing w:after="0" w:line="265" w:lineRule="auto"/>
        <w:tabs>
          <w:tab w:leader="none" w:pos="255" w:val="left"/>
        </w:tabs>
        <w:numPr>
          <w:ilvl w:val="0"/>
          <w:numId w:val="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 (4) Polestar’s ability to successfully execute cost-cutting activities and strategic efficiency initiatives; (5) Polestar’s estimates of expenses, profitability, gross margin, cash flow, and cash reserves; (6) the identification and remediation of accounting errors and/or a final assessment of errors already identified that differs significantly from Polestar’s preliminary view of such errors and the successful filing of restatements of any SEC reports;</w:t>
      </w:r>
    </w:p>
    <w:p>
      <w:pPr>
        <w:ind w:firstLine="8"/>
        <w:spacing w:after="0" w:line="265" w:lineRule="auto"/>
        <w:tabs>
          <w:tab w:leader="none" w:pos="255" w:val="left"/>
        </w:tabs>
        <w:numPr>
          <w:ilvl w:val="0"/>
          <w:numId w:val="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Polestar’s ability to continue to meet stock exchange listing standards; (8) changes in domestic and foreign business, market, financial, political and legal conditions; (9) demand for Polestar’s vehicles or car sale volumes, revenue and margin development based on pricing, variant and market mix, cost reduction efficiencies, logistics and growing aftersales; (10) delays in the expected timelines for the development, design, manufacture, launch and financing of Polestar’s vehicles and Polestar’s reliance on a limited number of vehicle models to generate revenues; (11) increases in costs, disruption of supply or shortage of materials, in particular for lithium-ion cells or semiconductors; (12) risks related to product recalls, regulatory fines and/or an unexpectedly high volume of warranty claims; (13)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(14) the ability of Polestar to grow and manage growth profitably, maintain relationships with customers and suppliers and retain its management and key employees; (15) risks related to future market adoption of Polestar’s offerings; (16) risks related to Polestar’s current distribution model and the evolution of its distribution model in the future; (17) the effects of competition and the high barriers to entry in the automotive industry and the pace and depth of electric vehicle adoption generally on Polestar’s future business; (18) changes in regulatory requirements (including environmental laws and regulations and regulations related to connected vehicles), governmental incentives, tariffs and fuel and energy prices;</w:t>
      </w:r>
    </w:p>
    <w:p>
      <w:pPr>
        <w:spacing w:after="0" w:line="1" w:lineRule="exact"/>
        <w:rPr>
          <w:rFonts w:ascii="Times New Roman" w:cs="Times New Roman" w:eastAsia="Times New Roman" w:hAnsi="Times New Roman"/>
          <w:sz w:val="17"/>
          <w:szCs w:val="17"/>
          <w:i w:val="1"/>
          <w:iCs w:val="1"/>
          <w:color w:val="auto"/>
        </w:rPr>
      </w:pPr>
    </w:p>
    <w:p>
      <w:pPr>
        <w:ind w:firstLine="8"/>
        <w:spacing w:after="0" w:line="251" w:lineRule="auto"/>
        <w:tabs>
          <w:tab w:leader="none" w:pos="34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Polestar’s reliance on the development of vehicle charging networks to provide charging solutions for its vehicles and its strategic partners for servicing its vehicles and their integrated software; (20) Polestar’s ability to establish its brand and capture additional market share, and the risks associated with negative press or reputational harm, including from electric vehicle fires; (21) the outcome of any potential litigation, including litigation involving Polestar and Gores Guggenheim, Inc., government and regulatory proceedings, tax audits, investigations and inquiries; (22) Polestar’s ability to continuously and rapidly innovate, develop and market new products; (23) the impact of the ongoing conflict between Ukraine and Russia and in Israel, the Gaza Strip and the Red Sea; and (24)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9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1)"/>
      <w:numFmt w:val="decimal"/>
      <w:start w:val="1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2025-04-10T06:09:27Z</dcterms:created>
  <dcterms:modified xsi:type="dcterms:W3CDTF">2025-04-10T06:09:27Z</dcterms:modified>
</cp:coreProperties>
</file>