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Filed by Polestar Automotive Holding UK PLC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ind w:left="8540"/>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Polestar Automotive Holding UK PLC</w:t>
      </w:r>
    </w:p>
    <w:p>
      <w:pPr>
        <w:spacing w:after="0" w:line="32" w:lineRule="exact"/>
        <w:rPr>
          <w:sz w:val="24"/>
          <w:szCs w:val="24"/>
          <w:color w:val="auto"/>
        </w:rPr>
      </w:pPr>
    </w:p>
    <w:p>
      <w:pPr>
        <w:ind w:left="9140"/>
        <w:spacing w:after="0"/>
        <w:rPr>
          <w:sz w:val="20"/>
          <w:szCs w:val="20"/>
          <w:color w:val="auto"/>
        </w:rPr>
      </w:pPr>
      <w:r>
        <w:rPr>
          <w:rFonts w:ascii="Arial" w:cs="Arial" w:eastAsia="Arial" w:hAnsi="Arial"/>
          <w:sz w:val="16"/>
          <w:szCs w:val="16"/>
          <w:b w:val="1"/>
          <w:bCs w:val="1"/>
          <w:color w:val="auto"/>
        </w:rPr>
        <w:t>Gores Guggenheim, Inc.</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001-40265)</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GORES GUGGENHEIM,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354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001-40265</w:t>
            </w:r>
          </w:p>
        </w:tc>
        <w:tc>
          <w:tcPr>
            <w:tcW w:w="2820" w:type="dxa"/>
            <w:vAlign w:val="bottom"/>
          </w:tcPr>
          <w:p>
            <w:pPr>
              <w:jc w:val="center"/>
              <w:ind w:left="1601"/>
              <w:spacing w:after="0"/>
              <w:rPr>
                <w:sz w:val="20"/>
                <w:szCs w:val="20"/>
                <w:color w:val="auto"/>
              </w:rPr>
            </w:pPr>
            <w:r>
              <w:rPr>
                <w:rFonts w:ascii="Arial" w:cs="Arial" w:eastAsia="Arial" w:hAnsi="Arial"/>
                <w:sz w:val="18"/>
                <w:szCs w:val="18"/>
                <w:b w:val="1"/>
                <w:bCs w:val="1"/>
                <w:color w:val="auto"/>
                <w:w w:val="89"/>
              </w:rPr>
              <w:t>85-4385646</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20" w:type="dxa"/>
            <w:vAlign w:val="bottom"/>
          </w:tcPr>
          <w:p>
            <w:pPr>
              <w:jc w:val="center"/>
              <w:ind w:left="160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20" w:type="dxa"/>
            <w:vAlign w:val="bottom"/>
          </w:tcPr>
          <w:p>
            <w:pPr>
              <w:jc w:val="center"/>
              <w:ind w:left="160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40" w:type="dxa"/>
            <w:vAlign w:val="bottom"/>
          </w:tcPr>
          <w:p>
            <w:pPr>
              <w:jc w:val="center"/>
              <w:ind w:right="19"/>
              <w:spacing w:after="0"/>
              <w:rPr>
                <w:sz w:val="20"/>
                <w:szCs w:val="20"/>
                <w:color w:val="auto"/>
              </w:rPr>
            </w:pPr>
            <w:r>
              <w:rPr>
                <w:rFonts w:ascii="Arial" w:cs="Arial" w:eastAsia="Arial" w:hAnsi="Arial"/>
                <w:sz w:val="18"/>
                <w:szCs w:val="18"/>
                <w:b w:val="1"/>
                <w:bCs w:val="1"/>
                <w:color w:val="auto"/>
                <w:w w:val="91"/>
              </w:rPr>
              <w:t>6260 Lookout Road</w:t>
            </w:r>
          </w:p>
        </w:tc>
        <w:tc>
          <w:tcPr>
            <w:tcW w:w="24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25"/>
        </w:trPr>
        <w:tc>
          <w:tcPr>
            <w:tcW w:w="3540" w:type="dxa"/>
            <w:vAlign w:val="bottom"/>
          </w:tcPr>
          <w:p>
            <w:pPr>
              <w:jc w:val="center"/>
              <w:ind w:right="19"/>
              <w:spacing w:after="0"/>
              <w:rPr>
                <w:sz w:val="20"/>
                <w:szCs w:val="20"/>
                <w:color w:val="auto"/>
              </w:rPr>
            </w:pPr>
            <w:r>
              <w:rPr>
                <w:rFonts w:ascii="Arial" w:cs="Arial" w:eastAsia="Arial" w:hAnsi="Arial"/>
                <w:sz w:val="18"/>
                <w:szCs w:val="18"/>
                <w:b w:val="1"/>
                <w:bCs w:val="1"/>
                <w:color w:val="auto"/>
                <w:w w:val="91"/>
              </w:rPr>
              <w:t>Boulder, CO</w:t>
            </w:r>
          </w:p>
        </w:tc>
        <w:tc>
          <w:tcPr>
            <w:tcW w:w="2420" w:type="dxa"/>
            <w:vAlign w:val="bottom"/>
          </w:tcPr>
          <w:p>
            <w:pPr>
              <w:spacing w:after="0"/>
              <w:rPr>
                <w:sz w:val="19"/>
                <w:szCs w:val="19"/>
                <w:color w:val="auto"/>
              </w:rPr>
            </w:pPr>
          </w:p>
        </w:tc>
        <w:tc>
          <w:tcPr>
            <w:tcW w:w="2820" w:type="dxa"/>
            <w:vAlign w:val="bottom"/>
          </w:tcPr>
          <w:p>
            <w:pPr>
              <w:jc w:val="right"/>
              <w:ind w:right="1201"/>
              <w:spacing w:after="0"/>
              <w:rPr>
                <w:sz w:val="20"/>
                <w:szCs w:val="20"/>
                <w:color w:val="auto"/>
              </w:rPr>
            </w:pPr>
            <w:r>
              <w:rPr>
                <w:rFonts w:ascii="Arial" w:cs="Arial" w:eastAsia="Arial" w:hAnsi="Arial"/>
                <w:sz w:val="18"/>
                <w:szCs w:val="18"/>
                <w:b w:val="1"/>
                <w:bCs w:val="1"/>
                <w:color w:val="auto"/>
              </w:rPr>
              <w:t>80301</w:t>
            </w:r>
          </w:p>
        </w:tc>
      </w:tr>
      <w:tr>
        <w:trPr>
          <w:trHeight w:val="186"/>
        </w:trPr>
        <w:tc>
          <w:tcPr>
            <w:tcW w:w="354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820" w:type="dxa"/>
            <w:vAlign w:val="bottom"/>
          </w:tcPr>
          <w:p>
            <w:pPr>
              <w:jc w:val="center"/>
              <w:ind w:right="1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(310) 209-3010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Class A Common Stock</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GGPI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Warrants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GGPIW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Units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GGPIU</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Capital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91" w:right="439" w:bottom="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 Other Events.</w:t>
      </w:r>
    </w:p>
    <w:p>
      <w:pPr>
        <w:spacing w:after="0" w:line="121"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On May 25, 2022, Gores Guggenheim, Inc. (the “</w:t>
      </w:r>
      <w:r>
        <w:rPr>
          <w:rFonts w:ascii="Arial" w:cs="Arial" w:eastAsia="Arial" w:hAnsi="Arial"/>
          <w:sz w:val="16"/>
          <w:szCs w:val="16"/>
          <w:u w:val="single" w:color="auto"/>
          <w:color w:val="auto"/>
        </w:rPr>
        <w:t>Company</w:t>
      </w:r>
      <w:r>
        <w:rPr>
          <w:rFonts w:ascii="Arial" w:cs="Arial" w:eastAsia="Arial" w:hAnsi="Arial"/>
          <w:sz w:val="16"/>
          <w:szCs w:val="16"/>
          <w:color w:val="auto"/>
        </w:rPr>
        <w:t>”) issued a press release announcing that the Company has filed a definitive proxy statement/prospectus with the SEC in connection with the previously announced proposed business combination (the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contemplated by that certain business combination agreement, dated September 27, 2021, (as amended, the “</w:t>
      </w:r>
      <w:r>
        <w:rPr>
          <w:rFonts w:ascii="Arial" w:cs="Arial" w:eastAsia="Arial" w:hAnsi="Arial"/>
          <w:sz w:val="16"/>
          <w:szCs w:val="16"/>
          <w:u w:val="single" w:color="auto"/>
          <w:color w:val="auto"/>
        </w:rPr>
        <w:t>Business Combination Agreement</w:t>
      </w:r>
      <w:r>
        <w:rPr>
          <w:rFonts w:ascii="Arial" w:cs="Arial" w:eastAsia="Arial" w:hAnsi="Arial"/>
          <w:sz w:val="16"/>
          <w:szCs w:val="16"/>
          <w:color w:val="auto"/>
        </w:rPr>
        <w:t>”) by and among the Company, Polestar Automotive Holding Limited, a Hong Kong incorporated company (“</w:t>
      </w:r>
      <w:r>
        <w:rPr>
          <w:rFonts w:ascii="Arial" w:cs="Arial" w:eastAsia="Arial" w:hAnsi="Arial"/>
          <w:sz w:val="16"/>
          <w:szCs w:val="16"/>
          <w:u w:val="single" w:color="auto"/>
          <w:color w:val="auto"/>
        </w:rPr>
        <w:t>Parent</w:t>
      </w:r>
      <w:r>
        <w:rPr>
          <w:rFonts w:ascii="Arial" w:cs="Arial" w:eastAsia="Arial" w:hAnsi="Arial"/>
          <w:sz w:val="16"/>
          <w:szCs w:val="16"/>
          <w:color w:val="auto"/>
        </w:rPr>
        <w:t>”), Polestar Automotive (Singapore) Pte. Ltd., a private company limited by shares in Singapore, Polestar Holding AB, a private limited liability company incorporated under the laws of Sweden, Polestar Automotive Holding UK Limited, a limited company incorporated under the laws of England and Wales and a direct wholly owned subsidiary of Parent (“</w:t>
      </w:r>
      <w:r>
        <w:rPr>
          <w:rFonts w:ascii="Arial" w:cs="Arial" w:eastAsia="Arial" w:hAnsi="Arial"/>
          <w:sz w:val="16"/>
          <w:szCs w:val="16"/>
          <w:u w:val="single" w:color="auto"/>
          <w:color w:val="auto"/>
        </w:rPr>
        <w:t>ListCo</w:t>
      </w:r>
      <w:r>
        <w:rPr>
          <w:rFonts w:ascii="Arial" w:cs="Arial" w:eastAsia="Arial" w:hAnsi="Arial"/>
          <w:sz w:val="16"/>
          <w:szCs w:val="16"/>
          <w:color w:val="auto"/>
        </w:rPr>
        <w:t>”) and PAH UK Merger Sub Inc., a Delaware corporation and a direct wholly owned subsidiary of ListCo.</w:t>
      </w:r>
    </w:p>
    <w:p>
      <w:pPr>
        <w:spacing w:after="0" w:line="166"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The press release announced that the Company would hold a special meeting of the Company’s stockholders on June 22, 2022 (the “</w:t>
      </w:r>
      <w:r>
        <w:rPr>
          <w:rFonts w:ascii="Arial" w:cs="Arial" w:eastAsia="Arial" w:hAnsi="Arial"/>
          <w:sz w:val="16"/>
          <w:szCs w:val="16"/>
          <w:u w:val="single" w:color="auto"/>
          <w:color w:val="auto"/>
        </w:rPr>
        <w:t>Special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Meeting”</w:t>
      </w:r>
      <w:r>
        <w:rPr>
          <w:rFonts w:ascii="Arial" w:cs="Arial" w:eastAsia="Arial" w:hAnsi="Arial"/>
          <w:sz w:val="16"/>
          <w:szCs w:val="16"/>
          <w:color w:val="auto"/>
        </w:rPr>
        <w:t>) at which the Company’s stockholders would vote on the proposed Business Combination and other related matters. The press release further announced that also on June 22, 2022, the Company would hold a meeting of the Company’s public warrant holders (the “</w:t>
      </w:r>
      <w:r>
        <w:rPr>
          <w:rFonts w:ascii="Arial" w:cs="Arial" w:eastAsia="Arial" w:hAnsi="Arial"/>
          <w:sz w:val="16"/>
          <w:szCs w:val="16"/>
          <w:u w:val="single" w:color="auto"/>
          <w:color w:val="auto"/>
        </w:rPr>
        <w:t>Warrant Holder Meeting</w:t>
      </w:r>
      <w:r>
        <w:rPr>
          <w:rFonts w:ascii="Arial" w:cs="Arial" w:eastAsia="Arial" w:hAnsi="Arial"/>
          <w:sz w:val="16"/>
          <w:szCs w:val="16"/>
          <w:color w:val="auto"/>
        </w:rPr>
        <w:t>”) at which such warrant holders would vote on the warrant amendment proposal and other related matters. In light of public health concerns regarding the coronavirus (COVID-19) pandemic, the Special Meeting will be held via live webcast at www.meetnow.global/MYGAWFM, on June 22, 2022 at 9:30 a.m. Eastern Time and the Warrant Holder Meeting will be held via live webcast at www.meetnow.global/MYVPLYT, on June 22, 2022 at 10:00 a.m. Eastern Time. A copy of the press release is attached hereto as Exhibit 99.1 and incorporated by reference herein.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Certain statements in this Current Report may be considered “forward-looking statements” as defined in the Private Securities Litigation Reform Act of 1995. Forward-looking statements generally relate to future events or the future financial or operating performance of the Company and Polestar Performance AB and its affiliates (“</w:t>
      </w:r>
      <w:r>
        <w:rPr>
          <w:rFonts w:ascii="Arial" w:cs="Arial" w:eastAsia="Arial" w:hAnsi="Arial"/>
          <w:sz w:val="17"/>
          <w:szCs w:val="17"/>
          <w:u w:val="single" w:color="auto"/>
          <w:color w:val="auto"/>
        </w:rPr>
        <w:t>Polestar</w:t>
      </w:r>
      <w:r>
        <w:rPr>
          <w:rFonts w:ascii="Arial" w:cs="Arial" w:eastAsia="Arial" w:hAnsi="Arial"/>
          <w:sz w:val="17"/>
          <w:szCs w:val="17"/>
          <w:color w:val="auto"/>
        </w:rPr>
        <w:t>”). For example, projections of future revenue, volumes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7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These forward-looking statements are based upon estimates and assumptions that, while considered reasonable by the Company and its management, and Polestar and its management, as the case may be, are inherently uncertain. Factors that may cause actual results to differ materially from current expectations include, but are not limited to: (a) the occurrence of any event, change or other circumstances that could give rise to the termination of definitive agreements with respect to proposed Business Combination; (b) the outcome of any legal proceedings that may be instituted against the Company, the combined company or others following the announcement of the proposed Business Combination and any definitive agreements with respect thereto; (c) the inability to complete the proposed Business Combination due to the failure to obtain approval of the stockholders of the Company, to obtain financing to complete the proposed Business Combination or to satisfy other conditions to Closing; (d) changes to the proposed structure of the proposed Business Combination that may be required or appropriate as a result of applicable laws or regulations or as a condition to obtaining regulatory approval of the proposed Business Combination; (e) the ability to meet stock exchange listing standards following the consummation of the proposed Business Combination; (f) the risk that the proposed Business Combination disrupts current plans and operations of Polestar as a result of the announcement and consummation of the proposed Business Combination; (g) the ability to recognize the anticipated benefits of the proposed Business Combination, which may be affected by, among other things, competition, the ability of the combined company to grow and manage growth profitably, maintain relationships with customers and suppliers and retain its management and key employees; (h) costs related to the proposed Business Combination; (i) risks associated with changes in applicable laws or regulations and Polestar’s</w:t>
      </w:r>
    </w:p>
    <w:p>
      <w:pPr>
        <w:sectPr>
          <w:pgSz w:w="11900" w:h="16838" w:orient="portrait"/>
          <w:cols w:equalWidth="0" w:num="1">
            <w:col w:w="11000"/>
          </w:cols>
          <w:pgMar w:left="440" w:top="270" w:right="459" w:bottom="1440" w:gutter="0" w:footer="0" w:header="0"/>
        </w:sectPr>
      </w:pPr>
    </w:p>
    <w:bookmarkStart w:id="2" w:name="page3"/>
    <w:bookmarkEnd w:id="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international operations; (j) the possibility that Polestar or the combined company may be adversely affected by other economic, business, and/or competitive factors; (k) Polestar’s estimates of expenses and profitability; (l) Polestar’s ability to maintain agreements or partnerships with its strategic partners Volvo Cars and Geely and to develop new agreements or partnerships; (m) Polestar’s ability to maintain relationships with its existing suppliers and strategic partners, and source new suppliers for its critical components, and to complete building out its supply chain, while effectively managing the risks due to such relationships; (n) Polestar’s reliance on its partnerships with vehicle charging networks to provide charging solutions for its vehicles and its strategic partners for servicing its vehicles and their integrated software; (o) Polestar’s ability to establish its brand and capture additional market share, and the risks associated with negative press or reputational harm, including from lithium-ion battery cells catching fire or venting smoke; (p) delays in the design, manufacture, launch and financing of Polestar’s vehicles and Polestar’s reliance on a limited number of vehicle models to generate revenues; (q) Polestar’s ability to continuously and rapidly innovate, develop and market new products; (r) risks related to future market adoption of Polestar’s offerings; (s) increases in costs, disruption of supply or shortage of materials, in particular for lithium-ion cells or semiconductors; (t)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(u) risks related to Polestar’s distribution model; (v) the effects of competition and the high barriers to entry in the automotive industry, and the pace and depth of electric vehicle adoption generally on Polestar’s future business; (w) changes in regulatory requirements, governmental incentives and fuel and energy prices; (x) the impact of the global COVID-19 pandemic, inflation, interest rate changes, the ongoing conflict between Ukraine and Russia, supply chain disruptions and logistical constraints on the Company, Polestar, Polestar’s post business combination’s projected results of operations, financial performance or other financial metrics, or on any of the foregoing risks; and (y) other risks and uncertainties set forth in the section entitled “Risk Factors” and “Cautionary Note Regarding Forward-Looking Statements” in the Company’s final prospectus relating to its initial public offering (File No. 333-253338) declared effective by the SEC on March 22, 2021, and other documents filed, or to be filed, with the SEC by the Company or ListCo, including the Definitive Proxy Statement. There may be additional risks that neither the Company, Polestar nor ListCo presently know or that the Company, Polestar or ListCo currently believe are immaterial that could also cause actual results to differ from those contained in the forward-looking statements.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the Company, Polestar nor ListCo undertakes any duty to update these forward-looking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In connection with the proposed Business Combination, (a) ListCo has filed with the SEC a registration statement on Form F-4 containing a proxy statement of the Company and a prospectus, which the SEC declared effective on May 25, 2022 and (b) the Company has filed a definitive proxy statement relating to the proposed Business Combination (the “</w:t>
      </w:r>
      <w:r>
        <w:rPr>
          <w:rFonts w:ascii="Arial" w:cs="Arial" w:eastAsia="Arial" w:hAnsi="Arial"/>
          <w:sz w:val="16"/>
          <w:szCs w:val="16"/>
          <w:u w:val="single" w:color="auto"/>
          <w:color w:val="auto"/>
        </w:rPr>
        <w:t>Definitive Proxy Statement</w:t>
      </w:r>
      <w:r>
        <w:rPr>
          <w:rFonts w:ascii="Arial" w:cs="Arial" w:eastAsia="Arial" w:hAnsi="Arial"/>
          <w:sz w:val="16"/>
          <w:szCs w:val="16"/>
          <w:color w:val="auto"/>
        </w:rPr>
        <w:t>”) and will mail the Definitive Proxy Statement and other relevant materials to its stockholders and warrant holders, each as of May 18, 2022, the record date established for voting on the proposed Business Combination and the other matters to be voted upon at the Special Meeting and Warrant Holder Meeting. The Definitive Proxy Statement contains important information about the proposed Business Combination and the other matters to be voted upon at the meetings of the Company’s stockholders and warrant holders. This press release does not contain all the information that should be considered concerning the proposed Business Combination and is not intended to form the basis of any investment decision or any other decision in respect of the proposed Business Combination. Before making any voting or other investment decisions, securityholders of the Company and other interested persons are advised to read the Definitive Proxy Statement and other documents filed or to be filed in connection with the proposed Business Combination, as these materials will contain important information about the Company, Polestar, ListCo and the proposed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ectPr>
          <w:pgSz w:w="11900" w:h="16838" w:orient="portrait"/>
          <w:cols w:equalWidth="0" w:num="1">
            <w:col w:w="11000"/>
          </w:cols>
          <w:pgMar w:left="440" w:top="274" w:right="459" w:bottom="1440" w:gutter="0" w:footer="0" w:header="0"/>
        </w:sectPr>
      </w:pPr>
    </w:p>
    <w:bookmarkStart w:id="3" w:name="page4"/>
    <w:bookmarkEnd w:id="3"/>
    <w:p>
      <w:pPr>
        <w:ind w:left="4" w:right="18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The Company and its directors and executive officers may be deemed participants in the solicitation of proxies from the Company’s stockholders with respect to the proposed Business Combination. A list of the names of those directors and executive officers and a description of their interests in the Company is set forth in the Company’s filings with the SEC (including the Company’s final prospectus related to its initial public offering (File</w:t>
      </w:r>
    </w:p>
    <w:p>
      <w:pPr>
        <w:spacing w:after="0" w:line="2" w:lineRule="exact"/>
        <w:rPr>
          <w:sz w:val="20"/>
          <w:szCs w:val="20"/>
          <w:color w:val="auto"/>
        </w:rPr>
      </w:pPr>
    </w:p>
    <w:p>
      <w:pPr>
        <w:ind w:left="4" w:right="540"/>
        <w:spacing w:after="0" w:line="255" w:lineRule="auto"/>
        <w:rPr>
          <w:sz w:val="20"/>
          <w:szCs w:val="20"/>
          <w:color w:val="auto"/>
        </w:rPr>
      </w:pPr>
      <w:r>
        <w:rPr>
          <w:rFonts w:ascii="Arial" w:cs="Arial" w:eastAsia="Arial" w:hAnsi="Arial"/>
          <w:sz w:val="18"/>
          <w:szCs w:val="18"/>
          <w:color w:val="auto"/>
        </w:rPr>
        <w:t>No. 333-253338) declared effective by the SEC on March 22, 2021), and are available free of charge at the SEC’s web 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90" w:lineRule="exact"/>
        <w:rPr>
          <w:sz w:val="20"/>
          <w:szCs w:val="20"/>
          <w:color w:val="auto"/>
        </w:rPr>
      </w:pPr>
    </w:p>
    <w:p>
      <w:pPr>
        <w:ind w:left="4" w:right="140" w:firstLine="440"/>
        <w:spacing w:after="0" w:line="286" w:lineRule="auto"/>
        <w:rPr>
          <w:sz w:val="20"/>
          <w:szCs w:val="20"/>
          <w:color w:val="auto"/>
        </w:rPr>
      </w:pPr>
      <w:r>
        <w:rPr>
          <w:rFonts w:ascii="Arial" w:cs="Arial" w:eastAsia="Arial" w:hAnsi="Arial"/>
          <w:sz w:val="17"/>
          <w:szCs w:val="17"/>
          <w:color w:val="auto"/>
        </w:rPr>
        <w:t>Polestar and ListCo, and certain of their directors and executive officers may also be deemed to be participants in the solicitation of proxies from the stockholders of the Company in connection with the proposed Business Combination. A list of the names of such directors and executive officers and information regarding their interests in the proposed Business Combination is included in the Definitive Proxy Statement.</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 Offer and Non-Solicitation</w:t>
      </w:r>
    </w:p>
    <w:p>
      <w:pPr>
        <w:spacing w:after="0" w:line="121" w:lineRule="exact"/>
        <w:rPr>
          <w:sz w:val="20"/>
          <w:szCs w:val="20"/>
          <w:color w:val="auto"/>
        </w:rPr>
      </w:pPr>
    </w:p>
    <w:p>
      <w:pPr>
        <w:ind w:left="4" w:right="160" w:firstLine="440"/>
        <w:spacing w:after="0" w:line="257" w:lineRule="auto"/>
        <w:rPr>
          <w:sz w:val="20"/>
          <w:szCs w:val="20"/>
          <w:color w:val="auto"/>
        </w:rPr>
      </w:pPr>
      <w:r>
        <w:rPr>
          <w:rFonts w:ascii="Arial" w:cs="Arial" w:eastAsia="Arial" w:hAnsi="Arial"/>
          <w:sz w:val="18"/>
          <w:szCs w:val="18"/>
          <w:color w:val="auto"/>
        </w:rPr>
        <w:t>This Current Report is not a proxy statement or solicitation of a proxy, consent or authorization with respect to any securities or in respect of the potential transaction and shall not constitute an offer to sell or a solicitation of an offer to buy the securities of the Company, Polestar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80" w:type="dxa"/>
            <w:vAlign w:val="bottom"/>
          </w:tcPr>
          <w:p>
            <w:pPr>
              <w:jc w:val="center"/>
              <w:ind w:right="2548"/>
              <w:spacing w:after="0"/>
              <w:rPr>
                <w:sz w:val="20"/>
                <w:szCs w:val="20"/>
                <w:color w:val="auto"/>
              </w:rPr>
            </w:pPr>
            <w:r>
              <w:rPr>
                <w:rFonts w:ascii="Arial" w:cs="Arial" w:eastAsia="Arial" w:hAnsi="Arial"/>
                <w:sz w:val="14"/>
                <w:szCs w:val="14"/>
                <w:b w:val="1"/>
                <w:bCs w:val="1"/>
                <w:color w:val="auto"/>
                <w:w w:val="98"/>
              </w:rPr>
              <w:t>Exhibit</w:t>
            </w:r>
          </w:p>
        </w:tc>
        <w:tc>
          <w:tcPr>
            <w:tcW w:w="3100" w:type="dxa"/>
            <w:vAlign w:val="bottom"/>
            <w:vMerge w:val="restart"/>
          </w:tcPr>
          <w:p>
            <w:pPr>
              <w:ind w:left="2640"/>
              <w:spacing w:after="0"/>
              <w:rPr>
                <w:sz w:val="20"/>
                <w:szCs w:val="20"/>
                <w:color w:val="auto"/>
              </w:rPr>
            </w:pPr>
            <w:r>
              <w:rPr>
                <w:rFonts w:ascii="Arial" w:cs="Arial" w:eastAsia="Arial" w:hAnsi="Arial"/>
                <w:sz w:val="14"/>
                <w:szCs w:val="14"/>
                <w:b w:val="1"/>
                <w:bCs w:val="1"/>
                <w:color w:val="auto"/>
                <w:w w:val="94"/>
              </w:rPr>
              <w:t>Exhibit</w:t>
            </w:r>
          </w:p>
        </w:tc>
        <w:tc>
          <w:tcPr>
            <w:tcW w:w="0" w:type="dxa"/>
            <w:vAlign w:val="bottom"/>
          </w:tcPr>
          <w:p>
            <w:pPr>
              <w:spacing w:after="0"/>
              <w:rPr>
                <w:sz w:val="1"/>
                <w:szCs w:val="1"/>
                <w:color w:val="auto"/>
              </w:rPr>
            </w:pPr>
          </w:p>
        </w:tc>
      </w:tr>
      <w:tr>
        <w:trPr>
          <w:trHeight w:val="186"/>
        </w:trPr>
        <w:tc>
          <w:tcPr>
            <w:tcW w:w="3080" w:type="dxa"/>
            <w:vAlign w:val="bottom"/>
          </w:tcPr>
          <w:p>
            <w:pPr>
              <w:jc w:val="center"/>
              <w:ind w:right="2548"/>
              <w:spacing w:after="0"/>
              <w:rPr>
                <w:sz w:val="20"/>
                <w:szCs w:val="20"/>
                <w:color w:val="auto"/>
              </w:rPr>
            </w:pPr>
            <w:r>
              <w:rPr>
                <w:rFonts w:ascii="Arial" w:cs="Arial" w:eastAsia="Arial" w:hAnsi="Arial"/>
                <w:sz w:val="14"/>
                <w:szCs w:val="14"/>
                <w:b w:val="1"/>
                <w:bCs w:val="1"/>
                <w:color w:val="auto"/>
                <w:w w:val="97"/>
              </w:rPr>
              <w:t>No.</w:t>
            </w:r>
          </w:p>
        </w:tc>
        <w:tc>
          <w:tcPr>
            <w:tcW w:w="3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9"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25, 2022.</w:t>
      </w:r>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4"/>
          </w:cols>
          <w:pgMar w:left="436" w:top="270"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Arial" w:cs="Arial" w:eastAsia="Arial" w:hAnsi="Arial"/>
                <w:sz w:val="18"/>
                <w:szCs w:val="18"/>
                <w:color w:val="auto"/>
              </w:rPr>
              <w:t>Gores Guggenheim,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May 25, 2022</w:t>
            </w:r>
          </w:p>
        </w:tc>
        <w:tc>
          <w:tcPr>
            <w:tcW w:w="2580" w:type="dxa"/>
            <w:vAlign w:val="bottom"/>
          </w:tcPr>
          <w:p>
            <w:pPr>
              <w:ind w:left="20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Andrew McBride</w:t>
            </w:r>
          </w:p>
        </w:tc>
      </w:tr>
      <w:tr>
        <w:trPr>
          <w:trHeight w:val="195"/>
        </w:trPr>
        <w:tc>
          <w:tcPr>
            <w:tcW w:w="3480" w:type="dxa"/>
            <w:vAlign w:val="bottom"/>
          </w:tcPr>
          <w:p>
            <w:pPr>
              <w:spacing w:after="0"/>
              <w:rPr>
                <w:sz w:val="16"/>
                <w:szCs w:val="16"/>
                <w:color w:val="auto"/>
              </w:rPr>
            </w:pPr>
          </w:p>
        </w:tc>
        <w:tc>
          <w:tcPr>
            <w:tcW w:w="2580" w:type="dxa"/>
            <w:vAlign w:val="bottom"/>
          </w:tcPr>
          <w:p>
            <w:pPr>
              <w:ind w:left="204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Andrew McBride</w:t>
            </w:r>
          </w:p>
        </w:tc>
      </w:tr>
      <w:tr>
        <w:trPr>
          <w:trHeight w:val="230"/>
        </w:trPr>
        <w:tc>
          <w:tcPr>
            <w:tcW w:w="3480" w:type="dxa"/>
            <w:vAlign w:val="bottom"/>
          </w:tcPr>
          <w:p>
            <w:pPr>
              <w:spacing w:after="0"/>
              <w:rPr>
                <w:sz w:val="20"/>
                <w:szCs w:val="20"/>
                <w:color w:val="auto"/>
              </w:rPr>
            </w:pPr>
          </w:p>
        </w:tc>
        <w:tc>
          <w:tcPr>
            <w:tcW w:w="2580" w:type="dxa"/>
            <w:vAlign w:val="bottom"/>
          </w:tcPr>
          <w:p>
            <w:pPr>
              <w:ind w:left="204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Financial Officer and Secretary</w:t>
            </w:r>
          </w:p>
        </w:tc>
      </w:tr>
    </w:tbl>
    <w:p>
      <w:pPr>
        <w:sectPr>
          <w:pgSz w:w="11900" w:h="16838" w:orient="portrait"/>
          <w:cols w:equalWidth="0" w:num="1">
            <w:col w:w="11020"/>
          </w:cols>
          <w:pgMar w:left="440" w:top="274" w:right="439" w:bottom="1440" w:gutter="0" w:footer="0" w:header="0"/>
        </w:sectPr>
      </w:pPr>
    </w:p>
    <w:bookmarkStart w:id="5" w:name="page6"/>
    <w:bookmarkEnd w:id="5"/>
    <w:p>
      <w:pPr>
        <w:ind w:left="100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48"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GORES GUGGENHEIM AND POLESTAR ANNOUNCE EFFECTIVENESS OF REGISTRATION STATEMENT AND DATES OF SPECIAL MEETING AND WARRANT HOLDER MEETING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Gores Guggenheim Stockholders and Warrant Holders Encouraged to Vote before the June 22, 2022 deadline</w:t>
      </w:r>
    </w:p>
    <w:p>
      <w:pPr>
        <w:spacing w:after="0" w:line="113"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 xml:space="preserve">LOS ANGELES and GOTHENBURG – May 25, 2022 </w:t>
      </w:r>
      <w:r>
        <w:rPr>
          <w:rFonts w:ascii="Arial" w:cs="Arial" w:eastAsia="Arial" w:hAnsi="Arial"/>
          <w:sz w:val="18"/>
          <w:szCs w:val="18"/>
          <w:color w:val="auto"/>
        </w:rPr>
        <w:t>– Gores Guggenheim, Inc. (“Gores Guggenheim” or the “Company”) (NASDAQ: GGPI,</w:t>
      </w:r>
      <w:r>
        <w:rPr>
          <w:rFonts w:ascii="Arial" w:cs="Arial" w:eastAsia="Arial" w:hAnsi="Arial"/>
          <w:sz w:val="18"/>
          <w:szCs w:val="18"/>
          <w:b w:val="1"/>
          <w:bCs w:val="1"/>
          <w:color w:val="auto"/>
        </w:rPr>
        <w:t xml:space="preserve"> </w:t>
      </w:r>
      <w:r>
        <w:rPr>
          <w:rFonts w:ascii="Arial" w:cs="Arial" w:eastAsia="Arial" w:hAnsi="Arial"/>
          <w:sz w:val="18"/>
          <w:szCs w:val="18"/>
          <w:color w:val="auto"/>
        </w:rPr>
        <w:t>GGPIU and GGPIW), a special purpose acquisition company sponsored by affiliates of The Gores Group, LLC and Guggenheim Capital, LLC, and Polestar Performance AB and its affiliates (“Polestar”) today announced the registration statement on Form F-4 (the “Registration Statement”) with respect to the proposed business combination between the Company and Polestar was declared effective by the Securities and Exchange Commission (the “SEC”) on May 25, 2022.</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will hold a special meeting of stockholders (in lieu of its 2022 annual stockholders meeting) at 9:30 a.m., Eastern time, on June 22, 2022 (the “Special Meeting”). At the Special Meeting, stockholders will be asked to, among other things, adopt that certain business combination agreement, dated September 27, 2021 (as amended, the “Business Combination Agreement”), by and among the Company;, Polestar Automotive Holding Limited, a Hong Kong incorporated company (“Parent”), Polestar Automotive (Singapore) Pte. Ltd., a private company limited by shares in Singapore, Polestar Holding AB, a private limited liability company incorporated under the laws of Sweden, Polestar Automotive Holding UK PLC (formerly known as Polestar Automotive Holding UK Limited), a public limited company incorporated under the laws of England and Wales and a direct wholly owned subsidiary of Parent (“ListCo”), and PAH UK Merger Sub Inc., a Delaware corporation and a direct wholly owned subsidiary of ListCo, and approve the transactions contemplated by the Business Combination Agreement (the “Business Combination”).</w:t>
      </w:r>
    </w:p>
    <w:p>
      <w:pPr>
        <w:spacing w:after="0" w:line="178"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In addition, the Company will hold a meeting of public warrant holders at 10:00 a.m., Eastern Time, on June 22, 2022 (the “Warrant Holder Meeting”). At the Warrant Holder Meeting, holders of outstanding warrants issued as part of the units included in the Company’s IPO (“Public Warrants”) will be asked to approve an amendment to the existing warrant agreement (the “Warrant Amendment”) that governs the Public Warrants, to permit the conversion of Public Warrants to newly issued Class C shares of ListCo in connection with the closing of the proposed Business Combination, as described in the preliminary proxy statement/prospectus/consent solicitation statement included in the Registration Statement.</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separately filed with the SEC a definitive proxy statement relating to the proposed Business Combination. The definitive proxy statement contains important information about the Business Combination. Every stockholder’s and warrant holder’s vote is important, regardless of the number of shares or warrants held, and all stockholders and warrant holders are strongly encouraged to vote as soon as possible in advance of the Special Meeting and Warrant Holder Meeting.</w:t>
      </w:r>
    </w:p>
    <w:p>
      <w:pPr>
        <w:spacing w:after="0" w:line="187"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Company’s Board of Directors unanimously recommends that its stockholders and warrant holders vote “FOR” the adoption of the Business Combination Agreement and approval of the proposed Business Combination and “FOR” the approval of the Warrant Amendment.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Gores Guggenheim, Inc.</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w:t>
      </w:r>
    </w:p>
    <w:p>
      <w:pPr>
        <w:sectPr>
          <w:pgSz w:w="11900" w:h="16838" w:orient="portrait"/>
          <w:cols w:equalWidth="0" w:num="1">
            <w:col w:w="11020"/>
          </w:cols>
          <w:pgMar w:left="440" w:top="270" w:right="439" w:bottom="1440" w:gutter="0" w:footer="0" w:header="0"/>
        </w:sectPr>
      </w:pPr>
    </w:p>
    <w:bookmarkStart w:id="6" w:name="page7"/>
    <w:bookmarkEnd w:id="6"/>
    <w:p>
      <w:pPr>
        <w:ind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Polestar</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Polestar was established as a new, standalone Swedish premium electric vehicle manufacturer in 2017. Founded by Volvo Car AB (publ) (together with its subsidiaries, “Volvo Cars”) and Zhejiang Geely Holding Group Co., Ltd (“Geely”), Polestar enjoys specific technological and engineering synergies with Volvo Cars and benefits from significant economies of scale as a result.</w:t>
      </w:r>
    </w:p>
    <w:p>
      <w:pPr>
        <w:spacing w:after="0" w:line="18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pacing w:after="0" w:line="18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September 2021, Polestar announced its intention to list as a public company on the Nasdaq in a business combination agreement with Gores Guggenheim, Inc. Full information on this definitive agreement can be found here.</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Polestar has produced two electric performance cars. The Polestar 1 was built between 2019 and 2021 as a low-volume electric performance hybrid GT with a carbon fibre body, 609 hp, 1,000 Nm and an electric-only range of 124 km (WLTP) – the longest of any hybrid car in the world.</w:t>
      </w:r>
    </w:p>
    <w:p>
      <w:pPr>
        <w:spacing w:after="0" w:line="14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From 2022, Polestar plans to launch one new electric vehicle per year, starting with Polestar 3 – the company’s first electric performance SUV. Polestar 4 is expected to follow in 2023, a smaller electric performance SUV coupe.</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early March 2022, Polestar revealed its second concept car, the Polestar O</w:t>
      </w:r>
      <w:r>
        <w:rPr>
          <w:rFonts w:ascii="Arial" w:cs="Arial" w:eastAsia="Arial" w:hAnsi="Arial"/>
          <w:sz w:val="15"/>
          <w:szCs w:val="15"/>
          <w:color w:val="auto"/>
        </w:rPr>
        <w:t>2</w:t>
      </w:r>
      <w:r>
        <w:rPr>
          <w:rFonts w:ascii="Arial" w:cs="Arial" w:eastAsia="Arial" w:hAnsi="Arial"/>
          <w:sz w:val="18"/>
          <w:szCs w:val="18"/>
          <w:color w:val="auto"/>
        </w:rPr>
        <w:t xml:space="preserve"> electric performance roadster. Polestar O</w:t>
      </w:r>
      <w:r>
        <w:rPr>
          <w:rFonts w:ascii="Arial" w:cs="Arial" w:eastAsia="Arial" w:hAnsi="Arial"/>
          <w:sz w:val="15"/>
          <w:szCs w:val="15"/>
          <w:color w:val="auto"/>
        </w:rPr>
        <w:t>2</w:t>
      </w:r>
      <w:r>
        <w:rPr>
          <w:rFonts w:ascii="Arial" w:cs="Arial" w:eastAsia="Arial" w:hAnsi="Arial"/>
          <w:sz w:val="18"/>
          <w:szCs w:val="18"/>
          <w:color w:val="auto"/>
        </w:rPr>
        <w:t xml:space="preserve"> builds on the design, technology and sustainability ambitions laid out by Precept and showcases the brand’s vision for future sports cars. The hard-top convertible presents an evolution of the unique design language first shown by Precept and emphasizes a dynamic driving experience. The concept further develops the focus on sustainability and technology, aiming towards greater circularity.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Transactions and Where to Find It</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connection with the proposed Business Combination, (a) ListCo has filed with the SEC a registration statement on Form F-4 containing a proxy statement of the Company and a prospectus, which the SEC declared effective on May 25, 2022 and (b) the Company has filed a definitive proxy statement relating to the proposed Business Combination (the “Definitive Proxy Statement”) and will mail the Definitive Proxy Statement and other relevant materials to its stockholders and warrant holders, each as of May 18, 2022,</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7" w:name="page8"/>
    <w:bookmarkEnd w:id="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record date established for voting on the proposed Business Combination and the other matters to be voted upon at the Special Meeting and Warrant Holder Meeting. The Definitive Proxy Statement contains important information about the proposed Business Combination and the other matters to be voted upon at the meetings of the Company’s stockholders and warrant holders. This press release does not contain all the information that should be considered concerning the proposed Business Combination and is not intended to form the basis of any investment decision or any other decision in respect of the proposed Business Combination. Before making any voting or other investment decisions, securityholders of the Company and other interested persons are advised to read the Definitive Proxy Statement and other documents filed or to be filed in connection with the proposed Business Combination, as these materials will contain important information about the Company, Polestar, ListCo and the proposed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28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The Company and its directors and executive officers may be deemed participants in the solicitation of proxies from the Company’s stockholders with respect to the proposed Business Combination. A list of the names of those directors and executive officers and a description of their interests in the Company is set forth in the Company’s filings with the SEC (including the Company’s final prospectus related to its initial public offering (File</w:t>
      </w:r>
    </w:p>
    <w:p>
      <w:pPr>
        <w:spacing w:after="0" w:line="2"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color w:val="auto"/>
        </w:rPr>
        <w:t>No. 333-253338) declared effective by the SEC on March 22, 2021), and are available free of charge at the SEC’s web 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9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Polestar and ListCo, and certain of their directors and executive officers may also be deemed to be participants in the solicitation of proxies from the stockholders of the Company in connection with the proposed Business Combination. A list of the names of such directors and executive officers and information regarding their interests in the proposed Business Combination is included in the Definitive Proxy Statement.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This press release contains certain statements which may be considered “forward-looking statements” as defined in the Private Securities Litigation Reform Act of 1995. Forward-looking statements generally relate to future events or the future financial or operating performance of the Company and Polestar. For example, projections of future revenue, volumes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8" w:name="page9"/>
    <w:bookmarkEnd w:id="8"/>
    <w:p>
      <w:pPr>
        <w:ind w:left="4" w:right="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forward-looking statements are based upon estimates and assumptions that, while considered reasonable by the Company and its management, and Polestar and its management, as the case may be, are inherently uncertain. Factors that may cause actual results to differ materially from current expectations include, but are not limited to: (a) the occurrence of any event, change or other circumstances that could give rise to the termination of definitive agreements with respect to proposed Business Combination; (b) the outcome of any legal proceedings that may be instituted against the Company, the combined company or others following the announcement of the proposed Business Combination and any definitive agreements with respect thereto; (c) the inability to complete the proposed Business Combination due to the failure to obtain approval of the stockholders of the Company, to obtain financing to complete the proposed Business Combination or to satisfy other conditions to Closing; (d) changes to the proposed structure of the proposed Business Combination that may be required or appropriate as a result of applicable laws or regulations or as a condition to obtaining regulatory approval of the proposed Business Combination; (e) the ability to meet stock exchange listing standards following the consummation of the proposed Business Combination; (f) the risk that the proposed Business Combination disrupts current plans and operations of Polestar as a result of the announcement and consummation of the proposed Business Combination; (g) the ability to recognize the anticipated benefits of the proposed Business Combination, which may be affected by, among other things, competition, the ability of the combined company to grow and manage growth profitably, maintain relationships with customers and suppliers and retain its management and key employees; (h) costs related to the proposed Business Combination; (i) risks associated with changes in applicable laws or regulations and Polestar’s international operations; (j) the possibility that Polestar or the combined company may be adversely affected by other economic, business, and/or competitive factors; (k) Polestar’s estimates of expenses and profitability; (l) Polestar’s ability to maintain agreements or partnerships with its strategic partners Volvo Cars and Geely and to develop new agreements or partnerships; (m) Polestar’s ability to maintain relationships with its existing suppliers and strategic partners, and source new suppliers for its critical components, and to complete building out its supply chain, while effectively managing the risks due to such relationships;</w:t>
      </w:r>
    </w:p>
    <w:p>
      <w:pPr>
        <w:spacing w:after="0" w:line="11" w:lineRule="exact"/>
        <w:rPr>
          <w:sz w:val="20"/>
          <w:szCs w:val="20"/>
          <w:color w:val="auto"/>
        </w:rPr>
      </w:pPr>
    </w:p>
    <w:p>
      <w:pPr>
        <w:ind w:left="4" w:right="280" w:hanging="4"/>
        <w:spacing w:after="0" w:line="281" w:lineRule="auto"/>
        <w:tabs>
          <w:tab w:leader="none" w:pos="259" w:val="left"/>
        </w:tabs>
        <w:numPr>
          <w:ilvl w:val="0"/>
          <w:numId w:val="3"/>
        </w:numPr>
        <w:rPr>
          <w:rFonts w:ascii="Arial" w:cs="Arial" w:eastAsia="Arial" w:hAnsi="Arial"/>
          <w:sz w:val="16"/>
          <w:szCs w:val="16"/>
          <w:color w:val="auto"/>
        </w:rPr>
      </w:pPr>
      <w:r>
        <w:rPr>
          <w:rFonts w:ascii="Arial" w:cs="Arial" w:eastAsia="Arial" w:hAnsi="Arial"/>
          <w:sz w:val="16"/>
          <w:szCs w:val="16"/>
          <w:color w:val="auto"/>
        </w:rPr>
        <w:t>Polestar’s reliance on its partnerships with vehicle charging networks to provide charging solutions for its vehicles and its strategic partners for servicing its vehicles and their integrated software; (o) Polestar’s ability to establish its brand and capture additional market share, and the risks associated with negative press or reputational harm, including from lithium-ion battery cells catching fire or venting smoke; (p) delays in the design, manufacture, launch and financing of Polestar’s vehicles and Polestar’s reliance on a limited number of vehicle models to generate revenues;</w:t>
      </w:r>
    </w:p>
    <w:p>
      <w:pPr>
        <w:spacing w:after="0" w:line="2" w:lineRule="exact"/>
        <w:rPr>
          <w:rFonts w:ascii="Arial" w:cs="Arial" w:eastAsia="Arial" w:hAnsi="Arial"/>
          <w:sz w:val="16"/>
          <w:szCs w:val="16"/>
          <w:color w:val="auto"/>
        </w:rPr>
      </w:pPr>
    </w:p>
    <w:p>
      <w:pPr>
        <w:ind w:left="4" w:hanging="4"/>
        <w:spacing w:after="0" w:line="281" w:lineRule="auto"/>
        <w:tabs>
          <w:tab w:leader="none" w:pos="259" w:val="left"/>
        </w:tabs>
        <w:numPr>
          <w:ilvl w:val="0"/>
          <w:numId w:val="4"/>
        </w:numPr>
        <w:rPr>
          <w:rFonts w:ascii="Arial" w:cs="Arial" w:eastAsia="Arial" w:hAnsi="Arial"/>
          <w:sz w:val="16"/>
          <w:szCs w:val="16"/>
          <w:color w:val="auto"/>
        </w:rPr>
      </w:pPr>
      <w:r>
        <w:rPr>
          <w:rFonts w:ascii="Arial" w:cs="Arial" w:eastAsia="Arial" w:hAnsi="Arial"/>
          <w:sz w:val="16"/>
          <w:szCs w:val="16"/>
          <w:color w:val="auto"/>
        </w:rPr>
        <w:t>Polestar’s ability to continuously and rapidly innovate, develop and market new products; (r) risks related to future market adoption of Polestar’s offerings; (s) increases in costs, disruption of supply or shortage of materials, in particular for lithium-ion cells or semiconductors; (t)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(u) risks related to Polestar’s distribution model; (v) the effects of competition and the high barriers to entry in the automotive industry, and the pace and depth of electric vehicle adoption generally on Polestar’s future business; (w) changes in regulatory requirements, governmental incentives and fuel and energy prices;</w:t>
      </w:r>
    </w:p>
    <w:p>
      <w:pPr>
        <w:spacing w:after="0" w:line="3" w:lineRule="exact"/>
        <w:rPr>
          <w:rFonts w:ascii="Arial" w:cs="Arial" w:eastAsia="Arial" w:hAnsi="Arial"/>
          <w:sz w:val="16"/>
          <w:szCs w:val="16"/>
          <w:color w:val="auto"/>
        </w:rPr>
      </w:pPr>
    </w:p>
    <w:p>
      <w:pPr>
        <w:ind w:left="4" w:right="200" w:hanging="4"/>
        <w:spacing w:after="0" w:line="252"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global COVID-19 pandemic, inflation, interest rate changes, the ongoing conflict between Ukraine and Russia, supply chain disruptions and logistical constraints on the Company, Polestar, Polestar’s post business combination’s projected results of operations, financial performance or other financial metrics, or on any of the foregoing risks; and (y) other risks and uncertainties set forth in the section entitled “Risk Factors” and “Cautionary Note Regarding Forward-Looking Statements” in the Company’s final prospectus relating to its initial public offering (File No. 333-253338) declared effective by the SEC on March 22, 2021, and other documents filed, or to be filed, with the SEC by the Company or ListCo, including the Definitive Proxy Statement. There may be additional risks that neither the Company, Polestar nor ListCo presently know or that the</w:t>
      </w:r>
    </w:p>
    <w:p>
      <w:pPr>
        <w:spacing w:after="0" w:line="1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4" w:right="499" w:bottom="1440" w:gutter="0" w:footer="0" w:header="0"/>
        </w:sectPr>
      </w:pPr>
    </w:p>
    <w:bookmarkStart w:id="9" w:name="page10"/>
    <w:bookmarkEnd w:id="9"/>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Polestar or ListCo currently believe are immaterial that could also cause actual results to differ from those contained in the forward-looking statements.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the Company, Polestar nor ListCo undertakes any duty to update these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press release relates to the proposed Business Combination. This document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inquiries regarding The Gores Group and affiliates: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Kwon Chou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Gores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jchou@gores.com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John Christiansen/Cassandra Bujarski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GoresGroup-SVC@sardverb.com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inquiries regarding Polestar: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Bojana Flint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bojana.flint@polestar.com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Jonathan Goodman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jonathan.goodman@polestar.com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Andrew Lytheer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andrew.lytheer@polestar.com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John Paolo Canton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jp.canton@polestar.com</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lowerLetter"/>
      <w:start w:val="14"/>
    </w:lvl>
  </w:abstractNum>
  <w:abstractNum w:abstractNumId="3">
    <w:nsid w:val="238E1F29"/>
    <w:multiLevelType w:val="hybridMultilevel"/>
    <w:lvl w:ilvl="0">
      <w:lvlJc w:val="left"/>
      <w:lvlText w:val="(%1)"/>
      <w:numFmt w:val="lowerLetter"/>
      <w:start w:val="17"/>
    </w:lvl>
  </w:abstractNum>
  <w:abstractNum w:abstractNumId="4">
    <w:nsid w:val="46E87CCD"/>
    <w:multiLevelType w:val="hybridMultilevel"/>
    <w:lvl w:ilvl="0">
      <w:lvlJc w:val="left"/>
      <w:lvlText w:val="(%1)"/>
      <w:numFmt w:val="lowerLetter"/>
      <w:start w:val="2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2022-05-26T05:16:40Z</dcterms:created>
  <dcterms:modified xsi:type="dcterms:W3CDTF">2022-05-26T05:16:40Z</dcterms:modified>
</cp:coreProperties>
</file>