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207010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30, 2025, Polestar Automotive Holding UK PLC (“Polestar”) held its 2025 annual general meeting of shareholders (the “AGM”). At the AGM, 2,202,492,776 votes of the Company’s shares, which may be represented by American Depositary Shares (“ADSs”), were represented in person or by proxy, constituting a quorum.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Voting at the AGM was conducted by way of a poll, with each Class A ordinary share, Class C-1 ordinary share and Class C-2 ordinary share, which may be represented by ADSs, issued and outstanding as of the close of business on the record date entitled to one (1) vote, and each Class B ordinary share, which may be represented by ADSs, issued and outstanding as of the close of business on the record date, entitled to ten (10) votes, respectively, on each resolution at the AGM.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are the voting results for the proposals considered and voted upon at the AGM, with resolutions 1 to 8 being ordinary resolutions that required more than 50% of shareholders’ votes to be cast in favor and resolutions 9 and 10 being special resolutions that required at least 75% of shareholders’ votes to be cast in favor: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212721"/>
                <w:w w:val="97"/>
              </w:rPr>
              <w:t>Votes</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212721"/>
                <w:w w:val="97"/>
              </w:rPr>
              <w:t>Votes</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56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212721"/>
              </w:rPr>
              <w:t>Resolutions</w:t>
            </w: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212721"/>
              </w:rPr>
              <w:t>Votes for</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12721"/>
                <w:w w:val="98"/>
              </w:rPr>
              <w:t>Against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12721"/>
                <w:w w:val="98"/>
              </w:rPr>
              <w:t>withheld</w:t>
            </w:r>
          </w:p>
        </w:tc>
        <w:tc>
          <w:tcPr>
            <w:tcW w:w="0" w:type="dxa"/>
            <w:vAlign w:val="bottom"/>
          </w:tcPr>
          <w:p>
            <w:pPr>
              <w:spacing w:after="0"/>
              <w:rPr>
                <w:sz w:val="1"/>
                <w:szCs w:val="1"/>
                <w:color w:val="auto"/>
              </w:rPr>
            </w:pPr>
          </w:p>
        </w:tc>
      </w:tr>
      <w:tr>
        <w:trPr>
          <w:trHeight w:val="191"/>
        </w:trPr>
        <w:tc>
          <w:tcPr>
            <w:tcW w:w="7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12721"/>
              </w:rPr>
              <w:t>1</w:t>
            </w:r>
          </w:p>
        </w:tc>
        <w:tc>
          <w:tcPr>
            <w:tcW w:w="5500" w:type="dxa"/>
            <w:vAlign w:val="bottom"/>
            <w:tcBorders>
              <w:top w:val="single" w:sz="8" w:color="auto"/>
            </w:tcBorders>
            <w:shd w:val="clear" w:color="auto" w:fill="CCEEFF"/>
          </w:tcPr>
          <w:p>
            <w:pPr>
              <w:ind w:left="220"/>
              <w:spacing w:after="0" w:line="191" w:lineRule="exact"/>
              <w:rPr>
                <w:sz w:val="20"/>
                <w:szCs w:val="20"/>
                <w:color w:val="auto"/>
              </w:rPr>
            </w:pPr>
            <w:r>
              <w:rPr>
                <w:rFonts w:ascii="Times New Roman" w:cs="Times New Roman" w:eastAsia="Times New Roman" w:hAnsi="Times New Roman"/>
                <w:sz w:val="18"/>
                <w:szCs w:val="18"/>
                <w:color w:val="212721"/>
                <w:w w:val="99"/>
              </w:rPr>
              <w:t>To receive the Company’s annual report and audited financial statements</w:t>
            </w: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700" w:type="dxa"/>
            <w:vAlign w:val="bottom"/>
            <w:vMerge w:val="continue"/>
            <w:shd w:val="clear" w:color="auto" w:fill="CCEEFF"/>
          </w:tcPr>
          <w:p>
            <w:pPr>
              <w:spacing w:after="0"/>
              <w:rPr>
                <w:sz w:val="10"/>
                <w:szCs w:val="10"/>
                <w:color w:val="auto"/>
              </w:rPr>
            </w:pPr>
          </w:p>
        </w:tc>
        <w:tc>
          <w:tcPr>
            <w:tcW w:w="56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212721"/>
              </w:rPr>
              <w:t>for the period ended 31 December 2024</w:t>
            </w:r>
          </w:p>
        </w:tc>
        <w:tc>
          <w:tcPr>
            <w:tcW w:w="14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12721"/>
              </w:rPr>
              <w:t>2,202,384,291</w:t>
            </w:r>
          </w:p>
        </w:tc>
        <w:tc>
          <w:tcPr>
            <w:tcW w:w="220" w:type="dxa"/>
            <w:vAlign w:val="bottom"/>
            <w:shd w:val="clear" w:color="auto" w:fill="CCEEFF"/>
          </w:tcPr>
          <w:p>
            <w:pPr>
              <w:spacing w:after="0"/>
              <w:rPr>
                <w:sz w:val="10"/>
                <w:szCs w:val="10"/>
                <w:color w:val="auto"/>
              </w:rPr>
            </w:pPr>
          </w:p>
        </w:tc>
        <w:tc>
          <w:tcPr>
            <w:tcW w:w="1460" w:type="dxa"/>
            <w:vAlign w:val="bottom"/>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212721"/>
              </w:rPr>
              <w:t>60,146</w:t>
            </w:r>
          </w:p>
        </w:tc>
        <w:tc>
          <w:tcPr>
            <w:tcW w:w="200" w:type="dxa"/>
            <w:vAlign w:val="bottom"/>
            <w:shd w:val="clear" w:color="auto" w:fill="CCEEFF"/>
          </w:tcPr>
          <w:p>
            <w:pPr>
              <w:spacing w:after="0"/>
              <w:rPr>
                <w:sz w:val="10"/>
                <w:szCs w:val="10"/>
                <w:color w:val="auto"/>
              </w:rPr>
            </w:pPr>
          </w:p>
        </w:tc>
        <w:tc>
          <w:tcPr>
            <w:tcW w:w="1460" w:type="dxa"/>
            <w:vAlign w:val="bottom"/>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212721"/>
              </w:rPr>
              <w:t>48,339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 w:type="dxa"/>
            <w:vAlign w:val="bottom"/>
            <w:shd w:val="clear" w:color="auto" w:fill="CCEEFF"/>
          </w:tcPr>
          <w:p>
            <w:pPr>
              <w:spacing w:after="0"/>
              <w:rPr>
                <w:sz w:val="9"/>
                <w:szCs w:val="9"/>
                <w:color w:val="auto"/>
              </w:rPr>
            </w:pPr>
          </w:p>
        </w:tc>
        <w:tc>
          <w:tcPr>
            <w:tcW w:w="5620" w:type="dxa"/>
            <w:vAlign w:val="bottom"/>
            <w:gridSpan w:val="2"/>
            <w:vMerge w:val="continue"/>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212721"/>
              </w:rPr>
              <w:t>2</w:t>
            </w:r>
          </w:p>
        </w:tc>
        <w:tc>
          <w:tcPr>
            <w:tcW w:w="56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212721"/>
              </w:rPr>
              <w:t>To receive and approve the Directors’ Remuneration Report for the</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700" w:type="dxa"/>
            <w:vAlign w:val="bottom"/>
            <w:vMerge w:val="continue"/>
          </w:tcPr>
          <w:p>
            <w:pPr>
              <w:spacing w:after="0"/>
              <w:rPr>
                <w:sz w:val="10"/>
                <w:szCs w:val="10"/>
                <w:color w:val="auto"/>
              </w:rPr>
            </w:pPr>
          </w:p>
        </w:tc>
        <w:tc>
          <w:tcPr>
            <w:tcW w:w="56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212721"/>
              </w:rPr>
              <w:t>period ended 31 December 2024.</w:t>
            </w:r>
          </w:p>
        </w:tc>
        <w:tc>
          <w:tcPr>
            <w:tcW w:w="1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212721"/>
              </w:rPr>
              <w:t>2,189,281,842</w:t>
            </w:r>
          </w:p>
        </w:tc>
        <w:tc>
          <w:tcPr>
            <w:tcW w:w="220" w:type="dxa"/>
            <w:vAlign w:val="bottom"/>
          </w:tcPr>
          <w:p>
            <w:pPr>
              <w:spacing w:after="0"/>
              <w:rPr>
                <w:sz w:val="10"/>
                <w:szCs w:val="10"/>
                <w:color w:val="auto"/>
              </w:rPr>
            </w:pPr>
          </w:p>
        </w:tc>
        <w:tc>
          <w:tcPr>
            <w:tcW w:w="14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212721"/>
                <w:w w:val="99"/>
              </w:rPr>
              <w:t>117,482</w:t>
            </w:r>
          </w:p>
        </w:tc>
        <w:tc>
          <w:tcPr>
            <w:tcW w:w="200" w:type="dxa"/>
            <w:vAlign w:val="bottom"/>
          </w:tcPr>
          <w:p>
            <w:pPr>
              <w:spacing w:after="0"/>
              <w:rPr>
                <w:sz w:val="10"/>
                <w:szCs w:val="10"/>
                <w:color w:val="auto"/>
              </w:rPr>
            </w:pPr>
          </w:p>
        </w:tc>
        <w:tc>
          <w:tcPr>
            <w:tcW w:w="14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212721"/>
                <w:w w:val="98"/>
              </w:rPr>
              <w:t>13,093,452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562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12721"/>
              </w:rPr>
              <w:t>3</w:t>
            </w:r>
          </w:p>
        </w:tc>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212721"/>
              </w:rPr>
              <w:t>To re-elect F Gamboni as a Director.</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12721"/>
              </w:rPr>
              <w:t>2,201,851,379</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212721"/>
                <w:w w:val="99"/>
              </w:rPr>
              <w:t>602,353</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212721"/>
              </w:rPr>
              <w:t>39,044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12721"/>
              </w:rPr>
              <w:t>4</w:t>
            </w:r>
          </w:p>
        </w:tc>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12721"/>
              </w:rPr>
              <w:t>To re-elect Prof. X L Shen as a Director.</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12721"/>
              </w:rPr>
              <w:t>2,201,897,734</w:t>
            </w:r>
          </w:p>
        </w:tc>
        <w:tc>
          <w:tcPr>
            <w:tcW w:w="220" w:type="dxa"/>
            <w:vAlign w:val="bottom"/>
          </w:tcPr>
          <w:p>
            <w:pPr>
              <w:spacing w:after="0"/>
              <w:rPr>
                <w:sz w:val="18"/>
                <w:szCs w:val="18"/>
                <w:color w:val="auto"/>
              </w:rPr>
            </w:pP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212721"/>
                <w:w w:val="99"/>
              </w:rPr>
              <w:t>553,169</w:t>
            </w:r>
          </w:p>
        </w:tc>
        <w:tc>
          <w:tcPr>
            <w:tcW w:w="200" w:type="dxa"/>
            <w:vAlign w:val="bottom"/>
          </w:tcPr>
          <w:p>
            <w:pPr>
              <w:spacing w:after="0"/>
              <w:rPr>
                <w:sz w:val="18"/>
                <w:szCs w:val="18"/>
                <w:color w:val="auto"/>
              </w:rPr>
            </w:pP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212721"/>
              </w:rPr>
              <w:t>41,873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12721"/>
              </w:rPr>
              <w:t>5</w:t>
            </w:r>
          </w:p>
        </w:tc>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212721"/>
              </w:rPr>
              <w:t>To elect C Dubin as a Director.</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12721"/>
              </w:rPr>
              <w:t>2,202,337,027</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212721"/>
                <w:w w:val="99"/>
              </w:rPr>
              <w:t>113,522</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212721"/>
              </w:rPr>
              <w:t>42,227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212721"/>
              </w:rPr>
              <w:t>6</w:t>
            </w:r>
          </w:p>
        </w:tc>
        <w:tc>
          <w:tcPr>
            <w:tcW w:w="56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212721"/>
              </w:rPr>
              <w:t>To elect Q J Zhang as a Director.</w:t>
            </w:r>
          </w:p>
        </w:tc>
        <w:tc>
          <w:tcPr>
            <w:tcW w:w="148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212721"/>
              </w:rPr>
              <w:t>2,201,859,447</w:t>
            </w:r>
          </w:p>
        </w:tc>
        <w:tc>
          <w:tcPr>
            <w:tcW w:w="220" w:type="dxa"/>
            <w:vAlign w:val="bottom"/>
          </w:tcPr>
          <w:p>
            <w:pPr>
              <w:spacing w:after="0"/>
              <w:rPr>
                <w:sz w:val="17"/>
                <w:szCs w:val="17"/>
                <w:color w:val="auto"/>
              </w:rPr>
            </w:pPr>
          </w:p>
        </w:tc>
        <w:tc>
          <w:tcPr>
            <w:tcW w:w="146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212721"/>
                <w:w w:val="99"/>
              </w:rPr>
              <w:t>593,136</w:t>
            </w:r>
          </w:p>
        </w:tc>
        <w:tc>
          <w:tcPr>
            <w:tcW w:w="200" w:type="dxa"/>
            <w:vAlign w:val="bottom"/>
          </w:tcPr>
          <w:p>
            <w:pPr>
              <w:spacing w:after="0"/>
              <w:rPr>
                <w:sz w:val="17"/>
                <w:szCs w:val="17"/>
                <w:color w:val="auto"/>
              </w:rPr>
            </w:pPr>
          </w:p>
        </w:tc>
        <w:tc>
          <w:tcPr>
            <w:tcW w:w="146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212721"/>
              </w:rPr>
              <w:t>40,193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12721"/>
              </w:rPr>
              <w:t>To re-appoint Deloitte LLP and Deloitte AB (together the “Auditor”) as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12721"/>
              </w:rPr>
              <w:t>auditor of the Company, to hold office from the conclusion of this</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jc w:val="both"/>
        <w:ind w:left="920" w:right="5280" w:hanging="505"/>
        <w:spacing w:after="0" w:line="265" w:lineRule="auto"/>
        <w:tabs>
          <w:tab w:leader="none" w:pos="920" w:val="left"/>
        </w:tabs>
        <w:numPr>
          <w:ilvl w:val="0"/>
          <w:numId w:val="1"/>
        </w:numPr>
        <w:rPr>
          <w:rFonts w:ascii="Times New Roman" w:cs="Times New Roman" w:eastAsia="Times New Roman" w:hAnsi="Times New Roman"/>
          <w:sz w:val="17"/>
          <w:szCs w:val="17"/>
          <w:color w:val="212721"/>
        </w:rPr>
      </w:pPr>
      <w:r>
        <w:rPr>
          <w:rFonts w:ascii="Times New Roman" w:cs="Times New Roman" w:eastAsia="Times New Roman" w:hAnsi="Times New Roman"/>
          <w:sz w:val="17"/>
          <w:szCs w:val="17"/>
          <w:color w:val="212721"/>
        </w:rPr>
        <w:t>meeting until the conclusion of the next annual general meeting of the Company at which the Company’s financial statements are laid before</w:t>
      </w:r>
    </w:p>
    <w:tbl>
      <w:tblPr>
        <w:tblLayout w:type="fixed"/>
        <w:tblInd w:w="0" w:type="dxa"/>
        <w:tblCellMar>
          <w:top w:w="0" w:type="dxa"/>
          <w:left w:w="0" w:type="dxa"/>
          <w:bottom w:w="0" w:type="dxa"/>
          <w:right w:w="0" w:type="dxa"/>
        </w:tblCellMar>
      </w:tblPr>
      <w:tr>
        <w:trPr>
          <w:trHeight w:val="198"/>
        </w:trPr>
        <w:tc>
          <w:tcPr>
            <w:tcW w:w="740" w:type="dxa"/>
            <w:vAlign w:val="bottom"/>
          </w:tcPr>
          <w:p>
            <w:pPr>
              <w:spacing w:after="0"/>
              <w:rPr>
                <w:sz w:val="17"/>
                <w:szCs w:val="17"/>
                <w:color w:val="auto"/>
              </w:rPr>
            </w:pPr>
          </w:p>
        </w:tc>
        <w:tc>
          <w:tcPr>
            <w:tcW w:w="5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212721"/>
              </w:rPr>
              <w:t>the shareholders.</w:t>
            </w:r>
          </w:p>
        </w:tc>
        <w:tc>
          <w:tcPr>
            <w:tcW w:w="172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color w:val="212721"/>
              </w:rPr>
              <w:t>2,202,411,429</w:t>
            </w:r>
          </w:p>
        </w:tc>
        <w:tc>
          <w:tcPr>
            <w:tcW w:w="164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212721"/>
              </w:rPr>
              <w:t>62,340</w:t>
            </w:r>
          </w:p>
        </w:tc>
        <w:tc>
          <w:tcPr>
            <w:tcW w:w="1560" w:type="dxa"/>
            <w:vAlign w:val="bottom"/>
          </w:tcPr>
          <w:p>
            <w:pPr>
              <w:jc w:val="right"/>
              <w:ind w:right="430"/>
              <w:spacing w:after="0" w:line="198" w:lineRule="exact"/>
              <w:rPr>
                <w:sz w:val="20"/>
                <w:szCs w:val="20"/>
                <w:color w:val="auto"/>
              </w:rPr>
            </w:pPr>
            <w:r>
              <w:rPr>
                <w:rFonts w:ascii="Times New Roman" w:cs="Times New Roman" w:eastAsia="Times New Roman" w:hAnsi="Times New Roman"/>
                <w:sz w:val="18"/>
                <w:szCs w:val="18"/>
                <w:color w:val="212721"/>
              </w:rPr>
              <w:t>19,007</w:t>
            </w:r>
          </w:p>
        </w:tc>
        <w:tc>
          <w:tcPr>
            <w:tcW w:w="0" w:type="dxa"/>
            <w:vAlign w:val="bottom"/>
          </w:tcPr>
          <w:p>
            <w:pPr>
              <w:spacing w:after="0"/>
              <w:rPr>
                <w:sz w:val="1"/>
                <w:szCs w:val="1"/>
                <w:color w:val="auto"/>
              </w:rPr>
            </w:pPr>
          </w:p>
        </w:tc>
      </w:tr>
      <w:tr>
        <w:trPr>
          <w:trHeight w:val="216"/>
        </w:trPr>
        <w:tc>
          <w:tcPr>
            <w:tcW w:w="74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212721"/>
                <w:w w:val="88"/>
              </w:rPr>
              <w:t>8</w:t>
            </w:r>
          </w:p>
        </w:tc>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212721"/>
              </w:rPr>
              <w:t>To authorise the Audit Committee to determine the remuneration of the</w:t>
            </w: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40" w:type="dxa"/>
            <w:vAlign w:val="bottom"/>
            <w:vMerge w:val="continue"/>
          </w:tcPr>
          <w:p>
            <w:pPr>
              <w:spacing w:after="0"/>
              <w:rPr>
                <w:sz w:val="10"/>
                <w:szCs w:val="10"/>
                <w:color w:val="auto"/>
              </w:rPr>
            </w:pPr>
          </w:p>
        </w:tc>
        <w:tc>
          <w:tcPr>
            <w:tcW w:w="5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212721"/>
              </w:rPr>
              <w:t>Auditor.</w:t>
            </w:r>
          </w:p>
        </w:tc>
        <w:tc>
          <w:tcPr>
            <w:tcW w:w="17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212721"/>
              </w:rPr>
              <w:t>2,202,376,338</w:t>
            </w:r>
          </w:p>
        </w:tc>
        <w:tc>
          <w:tcPr>
            <w:tcW w:w="16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212721"/>
              </w:rPr>
              <w:t>81,968</w:t>
            </w:r>
          </w:p>
        </w:tc>
        <w:tc>
          <w:tcPr>
            <w:tcW w:w="15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212721"/>
              </w:rPr>
              <w:t>44,470</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212721"/>
                <w:w w:val="88"/>
              </w:rPr>
              <w:t>9</w:t>
            </w:r>
          </w:p>
        </w:tc>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721"/>
              </w:rPr>
              <w:t>To adopt new Articles of Association.</w:t>
            </w:r>
          </w:p>
        </w:tc>
        <w:tc>
          <w:tcPr>
            <w:tcW w:w="17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212721"/>
              </w:rPr>
              <w:t>2,202,328,003</w:t>
            </w:r>
          </w:p>
        </w:tc>
        <w:tc>
          <w:tcPr>
            <w:tcW w:w="16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212721"/>
              </w:rPr>
              <w:t>66,037</w:t>
            </w:r>
          </w:p>
        </w:tc>
        <w:tc>
          <w:tcPr>
            <w:tcW w:w="15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212721"/>
              </w:rPr>
              <w:t>98,736</w:t>
            </w:r>
          </w:p>
        </w:tc>
        <w:tc>
          <w:tcPr>
            <w:tcW w:w="0" w:type="dxa"/>
            <w:vAlign w:val="bottom"/>
          </w:tcPr>
          <w:p>
            <w:pPr>
              <w:spacing w:after="0"/>
              <w:rPr>
                <w:sz w:val="1"/>
                <w:szCs w:val="1"/>
                <w:color w:val="auto"/>
              </w:rPr>
            </w:pPr>
          </w:p>
        </w:tc>
      </w:tr>
      <w:tr>
        <w:trPr>
          <w:trHeight w:val="198"/>
        </w:trPr>
        <w:tc>
          <w:tcPr>
            <w:tcW w:w="74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212721"/>
                <w:w w:val="99"/>
              </w:rPr>
              <w:t>10</w:t>
            </w:r>
          </w:p>
        </w:tc>
        <w:tc>
          <w:tcPr>
            <w:tcW w:w="5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212721"/>
              </w:rPr>
              <w:t>To authorise the calling of general meetings of the Company (not being</w:t>
            </w: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740" w:type="dxa"/>
            <w:vAlign w:val="bottom"/>
            <w:vMerge w:val="continue"/>
          </w:tcPr>
          <w:p>
            <w:pPr>
              <w:spacing w:after="0"/>
              <w:rPr>
                <w:sz w:val="10"/>
                <w:szCs w:val="10"/>
                <w:color w:val="auto"/>
              </w:rPr>
            </w:pPr>
          </w:p>
        </w:tc>
        <w:tc>
          <w:tcPr>
            <w:tcW w:w="5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212721"/>
              </w:rPr>
              <w:t>an annual general meeting) by notice of at least 14 clear days.</w:t>
            </w:r>
          </w:p>
        </w:tc>
        <w:tc>
          <w:tcPr>
            <w:tcW w:w="17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212721"/>
              </w:rPr>
              <w:t>2,198,838,239</w:t>
            </w:r>
          </w:p>
        </w:tc>
        <w:tc>
          <w:tcPr>
            <w:tcW w:w="16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212721"/>
                <w:w w:val="99"/>
              </w:rPr>
              <w:t>3,639,046</w:t>
            </w:r>
          </w:p>
        </w:tc>
        <w:tc>
          <w:tcPr>
            <w:tcW w:w="15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212721"/>
              </w:rPr>
              <w:t>15,491</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votes, the shareholders approved all of the proposals. The results were in line with the recommendations made by Polestar’s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the AGM, Polestar had the following shares in issue with a total of 2,593,325,104 voting rights: (i) 2,069,399,389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each carrying one vote per share; (ii) 49,892,575 Class B Ordinary shares each carrying ten votes per share; (iii) 20,499,965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C-1 Ordinary shares each carrying one vote per share; and (iv) 4,500,000 Class C-2 Ordinary shares each carrying one vote per share.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AGM Polestar held no ordinary shares in treasury. A vote withheld is not counted in the calculation of the votes for or against a resolution. Votes ‘For’ include those votes giving Polestar’s Chairman discretion.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2025</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Lohscheller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Lohscheller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Jean-François Mady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Jean-François Mady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7"/>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2025-06-30T15:24:40Z</dcterms:created>
  <dcterms:modified xsi:type="dcterms:W3CDTF">2025-06-30T15:24:40Z</dcterms:modified>
</cp:coreProperties>
</file>