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Limited</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04584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5845" cy="445770"/>
                    </a:xfrm>
                    <a:prstGeom prst="rect">
                      <a:avLst/>
                    </a:prstGeom>
                    <a:noFill/>
                  </pic:spPr>
                </pic:pic>
              </a:graphicData>
            </a:graphic>
          </wp:anchor>
        </w:drawing>
        <w:drawing>
          <wp:anchor simplePos="0" relativeHeight="251657728" behindDoc="1" locked="0" layoutInCell="0" allowOverlap="1">
            <wp:simplePos x="0" y="0"/>
            <wp:positionH relativeFrom="column">
              <wp:posOffset>5749290</wp:posOffset>
            </wp:positionH>
            <wp:positionV relativeFrom="paragraph">
              <wp:posOffset>237490</wp:posOffset>
            </wp:positionV>
            <wp:extent cx="1243330" cy="368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368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MORE MEDIA INFORMATION:</w:t>
            </w: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Hertz Media Relations</w:t>
            </w:r>
          </w:p>
        </w:tc>
        <w:tc>
          <w:tcPr>
            <w:tcW w:w="27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Polestar</w:t>
            </w:r>
          </w:p>
        </w:tc>
      </w:tr>
      <w:tr>
        <w:trPr>
          <w:trHeight w:val="194"/>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mediarelations@hertz.com</w:t>
            </w:r>
          </w:p>
        </w:tc>
        <w:tc>
          <w:tcPr>
            <w:tcW w:w="2460" w:type="dxa"/>
            <w:vAlign w:val="bottom"/>
          </w:tcPr>
          <w:p>
            <w:pPr>
              <w:spacing w:after="0"/>
              <w:rPr>
                <w:sz w:val="16"/>
                <w:szCs w:val="16"/>
                <w:color w:val="auto"/>
              </w:rPr>
            </w:pPr>
          </w:p>
        </w:tc>
        <w:tc>
          <w:tcPr>
            <w:tcW w:w="2740" w:type="dxa"/>
            <w:vAlign w:val="bottom"/>
            <w:gridSpan w:val="2"/>
          </w:tcPr>
          <w:p>
            <w:pPr>
              <w:ind w:left="1340"/>
              <w:spacing w:after="0" w:line="194" w:lineRule="exact"/>
              <w:rPr>
                <w:sz w:val="20"/>
                <w:szCs w:val="20"/>
                <w:color w:val="auto"/>
              </w:rPr>
            </w:pPr>
            <w:r>
              <w:rPr>
                <w:rFonts w:ascii="Times New Roman" w:cs="Times New Roman" w:eastAsia="Times New Roman" w:hAnsi="Times New Roman"/>
                <w:sz w:val="18"/>
                <w:szCs w:val="18"/>
                <w:color w:val="auto"/>
                <w:w w:val="97"/>
              </w:rPr>
              <w:t>media.polestar.com</w:t>
            </w:r>
          </w:p>
        </w:tc>
      </w:tr>
      <w:tr>
        <w:trPr>
          <w:trHeight w:val="20"/>
        </w:trPr>
        <w:tc>
          <w:tcPr>
            <w:tcW w:w="19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Hertz and Polestar Announce Global Strategic Partnership to Accelerate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Electric Vehicle Adoption</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Hertz to purchase up to 65,000 electric vehicles over five years</w:t>
      </w:r>
    </w:p>
    <w:p>
      <w:pPr>
        <w:spacing w:after="0" w:line="227" w:lineRule="exact"/>
        <w:rPr>
          <w:sz w:val="24"/>
          <w:szCs w:val="24"/>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ESTERO, FLORIDA and GOTHENBURG, SWEDEN, April 4, 2022 – Hertz (NASDAQ: HTZ) and Polestar, the Swedish premium electric performance car maker, today announced a new global partnership that includes purchasing up to 65,000 electric vehicles (EVs) over five years. Availability is expected to begin in Spring 2022 in Europe and late 2022 in North America and Australia.</w:t>
      </w:r>
    </w:p>
    <w:p>
      <w:pPr>
        <w:spacing w:after="0" w:line="176" w:lineRule="exact"/>
        <w:rPr>
          <w:sz w:val="24"/>
          <w:szCs w:val="24"/>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For Hertz, the partnership is part of the company’s ongoing commitment to lead in electrification, shared mobility and a digital-first customer experience. The partnership with Polestar builds on Hertz’s announcement last October to offer its customers the largest EV rental fleet in North America and one of the largest in the world. In addition to making the fleet available to its business and leisure customers, Hertz is extending EVs to rideshare drivers as a way to further accelerate electrification.</w:t>
      </w:r>
    </w:p>
    <w:p>
      <w:pPr>
        <w:spacing w:after="0" w:line="180"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excited to partner with Polestar and look forward to introducing their premium EV products into our retail and rideshare fleets,” said Stephen Scherr, Hertz CEO. “Today’s partnership with Polestar further builds on our ambition to become a leading participant in the modern mobility ecosystem and doing so as an environmentally-forward company. By working with EV industry leaders like Polestar, we can help accelerate the adoption of electrification while providing renters, corporate customers and rideshare partners a premium EV product, exceptional experience and lower carbon footprint.”</w:t>
      </w:r>
    </w:p>
    <w:p>
      <w:pPr>
        <w:spacing w:after="0" w:line="183"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Polestar is one of the drivers of global EV growth, helping to accelerate the shift to sustainable mobility as consumer interest in the environmental and convenience benefits of electrification increases. Polestar reported that it nearly tripled volumes in 2021 and anticipates more than doubling volumes again this year. Polestar expects volumes to reach 290,000 vehicles per year by the end of 2025. Polestar previously announced its intention to list on Nasdaq New York in a proposed business combination with Gores Guggenheim, Inc. (Nasdaq: GGPI, GGPIW, and GGPIU), which is expected to close in the second quarter of 2022.</w:t>
      </w:r>
    </w:p>
    <w:p>
      <w:pPr>
        <w:spacing w:after="0" w:line="183"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“Polestar is committed to accelerating the move to electric mobility with a fascinating and innovative product portfolio,” said Polestar CEO Thomas Ingenlath. “We are delighted that Hertz has chosen Polestar as a strategic partner on their road to electrification. The partnership with a global pioneer like Hertz will bring the amazing experience of driving an electric car to a wider audience, satisfying a broad variety of our mutual customers’ short- and longer-term mobility requirements. For many of them it may be the first time they have driven an EV, and it will be a Polestar.”</w:t>
      </w:r>
    </w:p>
    <w:p>
      <w:pPr>
        <w:sectPr>
          <w:pgSz w:w="11900" w:h="16838" w:orient="portrait"/>
          <w:cols w:equalWidth="0" w:num="1">
            <w:col w:w="11020"/>
          </w:cols>
          <w:pgMar w:left="440" w:top="225" w:right="439" w:bottom="1440" w:gutter="0" w:footer="0" w:header="0"/>
        </w:sectPr>
      </w:pPr>
    </w:p>
    <w:bookmarkStart w:id="1" w:name="page2"/>
    <w:bookmarkEnd w:id="1"/>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45845" cy="445770"/>
                    </a:xfrm>
                    <a:prstGeom prst="rect">
                      <a:avLst/>
                    </a:prstGeom>
                    <a:noFill/>
                  </pic:spPr>
                </pic:pic>
              </a:graphicData>
            </a:graphic>
          </wp:anchor>
        </w:drawing>
        <w:drawing>
          <wp:anchor simplePos="0" relativeHeight="251657728" behindDoc="1" locked="0" layoutInCell="0" allowOverlap="1">
            <wp:simplePos x="0" y="0"/>
            <wp:positionH relativeFrom="page">
              <wp:posOffset>6028690</wp:posOffset>
            </wp:positionH>
            <wp:positionV relativeFrom="page">
              <wp:posOffset>260350</wp:posOffset>
            </wp:positionV>
            <wp:extent cx="1243330" cy="368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68935"/>
                    </a:xfrm>
                    <a:prstGeom prst="rect">
                      <a:avLst/>
                    </a:prstGeom>
                    <a:noFill/>
                  </pic:spPr>
                </pic:pic>
              </a:graphicData>
            </a:graphic>
          </wp:anchor>
        </w:drawing>
        <w:t>Hertz will initially order Polestar 2, an award-winning EV which established Polestar’s position as a premium EV manufacturer with its first volume model. Polestar 2 brings avant-garde Scandinavian design and leading in-car technology. Polestar 2 includes the world’s first infotainment system powered by Android Automotive OS with Google built-in for the premium EV segment, in a driver-oriented, dynamic driving package.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Hertz</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Hertz Corporation, a subsidiary of Hertz Global Holdings, Inc., operates the Hertz, Dollar and Thrifty vehicle rental brands throughout North America, Europe, the Caribbean, Latin America, Africa, the Middle East, Asia, Australia and New Zealand. The Hertz Corporation is one of the largest worldwide vehicle rental companies, and the Hertz brand is one of the most recognized globally. Additionally, The Hertz Corporation operates the Firefly vehicle rental brand and Hertz 24/7 car sharing business in international markets and sells vehicles through Hertz Car Sales. For more information about The Hertz Corporation, visit www.hertz.com.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12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is headquartered in Gothenburg, Sweden, and its vehicles are currently available and on the road in markets across Europe, North</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America, China and Asia Pacific. By 2023, the company plans that its cars will be available in an aggregate of 30 markets. Polestar cars are currently manufactured in two facilities in China, with additional future manufacturing planned in the USA. In September 2021, Polestar announced its intention to list as a public company on the Nasdaq in a business combination agreement with Gores Guggenheim, Inc. Full information on this definitive agreement can be found here.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plans or the future financial or operating performance of Gores Guggenheim, Inc. (“Gores Guggenheim”), Polestar Performance AB and/or its affiliates ( “Polestar”) and Polestar Automotive Holding UK Limited (“Polestar ListCo”) or Hertz Global Holdings, Inc. (“Hertz”). For example, projections of future volumes or other metrics are forward-looking statements. In some cases, you can identify forward-looking statements by terminology such as “may”, “should”, “expect”, “intend”, “will”, “estimate”, “anticipate”, “believe”, “predict”, “potential”, “forecast”, “plan”, “seek”, “future”, “propose”, “offer”, “purchase”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0960"/>
          </w:cols>
          <w:pgMar w:left="440" w:top="1188" w:right="499" w:bottom="1440" w:gutter="0" w:footer="0" w:header="0"/>
        </w:sectPr>
      </w:pPr>
    </w:p>
    <w:bookmarkStart w:id="2" w:name="page3"/>
    <w:bookmarkEnd w:id="2"/>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45845" cy="445770"/>
                    </a:xfrm>
                    <a:prstGeom prst="rect">
                      <a:avLst/>
                    </a:prstGeom>
                    <a:noFill/>
                  </pic:spPr>
                </pic:pic>
              </a:graphicData>
            </a:graphic>
          </wp:anchor>
        </w:drawing>
        <w:drawing>
          <wp:anchor simplePos="0" relativeHeight="251657728" behindDoc="1" locked="0" layoutInCell="0" allowOverlap="1">
            <wp:simplePos x="0" y="0"/>
            <wp:positionH relativeFrom="page">
              <wp:posOffset>6028690</wp:posOffset>
            </wp:positionH>
            <wp:positionV relativeFrom="page">
              <wp:posOffset>260350</wp:posOffset>
            </wp:positionV>
            <wp:extent cx="124333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68935"/>
                    </a:xfrm>
                    <a:prstGeom prst="rect">
                      <a:avLst/>
                    </a:prstGeom>
                    <a:noFill/>
                  </pic:spPr>
                </pic:pic>
              </a:graphicData>
            </a:graphic>
          </wp:anchor>
        </w:drawing>
        <w:t>These forward-looking statements are based upon estimates and assumptions that, while considered reasonable by Gores Guggenheim and its management, and Polestar and its management, or Hertz, as the case may be, are inherently uncertain. Factors that may cause actual results to differ materially from current expectations disclosed in this press release include, but are not limited to, risks related to the ability of Hertz and Polestar to establish and achieve the goals of their announced partnership and other risk factors that Hertz identifies in its Annual Report on Form 10-K for the year ended December 31, 2021, as filed with the Securities and Exchange Commission (the “SEC”), and any updates thereto in subsequent filings with the SEC, and with respect to Polestar such factors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Polestar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Polestar’s international operations; (10) the possibility that Polestar or the combined company may be adversely affected by other economic, business, and/or competitive factors; (11) Polestar’s estimates of expenses and profitability; (12) Polestar’s ability to maintain agreements or partnerships with its strategic partners Volvo Cars and Geely and to develop new agreements or partnerships; (13) Polestar’s ability to maintain relationships with its existing suppliers and strategic partners, and source new suppliers for its critical components, and to complete building out its supply chain, while effectively managing the risks due to such relationships; (14) Polestar’s reliance on its partnerships with vehicle charging networks to provide charging solutions for its vehicles and its strategic partners for servicing its vehicles and their integrated software; (15) Polestar’s ability to establish its brand and capture additional market share, and the risks associated with negative press or reputational harm, including from lithium-ion battery cells catching fire or venting smoke; (16) delays in the design, manufacture, launch and financing of Polestar’s vehicles and Polestar’s reliance on a limited number of vehicle models to generate revenues; (17) Polestar’s ability to continuously and rapidly innovate, develop and market new products; (18) risks related to future market adoption of Polestar’s offerings; (19) increases in costs, disruption of supply or shortage of materials, in particular for lithium-ion cells or semiconductors; (20)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(21) risks related to Polestar’s distribution model; (22) the effects of competition and the high barriers to entry in the automotive industry, and the pace and depth of electric vehicle adoption generally on Polestar’s future business;</w:t>
      </w:r>
    </w:p>
    <w:p>
      <w:pPr>
        <w:spacing w:after="0" w:line="4" w:lineRule="exact"/>
        <w:rPr>
          <w:sz w:val="20"/>
          <w:szCs w:val="20"/>
          <w:color w:val="auto"/>
        </w:rPr>
      </w:pPr>
    </w:p>
    <w:p>
      <w:pPr>
        <w:ind w:left="4" w:right="80" w:hanging="4"/>
        <w:spacing w:after="0" w:line="251"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on Gores Guggenheim, Polestar, Polestar’s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Polestar ListCo, including the Registration/Proxy Statement. There may be additional risks that neither Gores Guggenheim, Polestar nor Polestar ListCo presently know or that Gores Guggenheim, Polestar or Polestar ListCo currently believe are immaterial that could also cause actual results to differ from those contained in the forward-looking statements.</w:t>
      </w:r>
    </w:p>
    <w:p>
      <w:pPr>
        <w:sectPr>
          <w:pgSz w:w="11900" w:h="16838" w:orient="portrait"/>
          <w:cols w:equalWidth="0" w:num="1">
            <w:col w:w="11004"/>
          </w:cols>
          <w:pgMar w:left="436" w:top="1188" w:right="459" w:bottom="1440" w:gutter="0" w:footer="0" w:header="0"/>
        </w:sectPr>
      </w:pPr>
    </w:p>
    <w:bookmarkStart w:id="3" w:name="page4"/>
    <w:bookmarkEnd w:id="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45845" cy="445770"/>
                    </a:xfrm>
                    <a:prstGeom prst="rect">
                      <a:avLst/>
                    </a:prstGeom>
                    <a:noFill/>
                  </pic:spPr>
                </pic:pic>
              </a:graphicData>
            </a:graphic>
          </wp:anchor>
        </w:drawing>
        <w:drawing>
          <wp:anchor simplePos="0" relativeHeight="251657728" behindDoc="1" locked="0" layoutInCell="0" allowOverlap="1">
            <wp:simplePos x="0" y="0"/>
            <wp:positionH relativeFrom="page">
              <wp:posOffset>6028690</wp:posOffset>
            </wp:positionH>
            <wp:positionV relativeFrom="page">
              <wp:posOffset>260350</wp:posOffset>
            </wp:positionV>
            <wp:extent cx="1243330"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68935"/>
                    </a:xfrm>
                    <a:prstGeom prst="rect">
                      <a:avLst/>
                    </a:prstGeom>
                    <a:noFill/>
                  </pic:spPr>
                </pic:pic>
              </a:graphicData>
            </a:graphic>
          </wp:anchor>
        </w:drawing>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Polestar nor Polestar ListCo undertakes any duty to update these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Business Combination, (i) Polestar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Polestar, Polestar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Registration/Proxy Statement.</w:t>
      </w:r>
    </w:p>
    <w:p>
      <w:pPr>
        <w:sectPr>
          <w:pgSz w:w="11900" w:h="16838" w:orient="portrait"/>
          <w:cols w:equalWidth="0" w:num="1">
            <w:col w:w="11000"/>
          </w:cols>
          <w:pgMar w:left="440" w:top="1188" w:right="45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4584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45845" cy="445770"/>
                    </a:xfrm>
                    <a:prstGeom prst="rect">
                      <a:avLst/>
                    </a:prstGeom>
                    <a:noFill/>
                  </pic:spPr>
                </pic:pic>
              </a:graphicData>
            </a:graphic>
          </wp:anchor>
        </w:drawing>
        <w:drawing>
          <wp:anchor simplePos="0" relativeHeight="251657728" behindDoc="1" locked="0" layoutInCell="0" allowOverlap="1">
            <wp:simplePos x="0" y="0"/>
            <wp:positionH relativeFrom="page">
              <wp:posOffset>6028690</wp:posOffset>
            </wp:positionH>
            <wp:positionV relativeFrom="page">
              <wp:posOffset>260350</wp:posOffset>
            </wp:positionV>
            <wp:extent cx="124333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68935"/>
                    </a:xfrm>
                    <a:prstGeom prst="rect">
                      <a:avLst/>
                    </a:prstGeom>
                    <a:noFill/>
                  </pic:spPr>
                </pic:pic>
              </a:graphicData>
            </a:graphic>
          </wp:anchor>
        </w:drawing>
        <w:t>Polestar and Polestar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Polestar or Polestar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Polestar: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(Investor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Lytheer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andrew.lytheer@polestar.com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Paolo Canton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jp.canton@polestar.com</w:t>
      </w:r>
    </w:p>
    <w:p>
      <w:pPr>
        <w:sectPr>
          <w:pgSz w:w="11900" w:h="16838" w:orient="portrait"/>
          <w:cols w:equalWidth="0" w:num="1">
            <w:col w:w="10960"/>
          </w:cols>
          <w:pgMar w:left="440" w:top="1188"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45845" cy="445770"/>
                    </a:xfrm>
                    <a:prstGeom prst="rect">
                      <a:avLst/>
                    </a:prstGeom>
                    <a:noFill/>
                  </pic:spPr>
                </pic:pic>
              </a:graphicData>
            </a:graphic>
          </wp:anchor>
        </w:drawing>
        <w:drawing>
          <wp:anchor simplePos="0" relativeHeight="251657728" behindDoc="1" locked="0" layoutInCell="0" allowOverlap="1">
            <wp:simplePos x="0" y="0"/>
            <wp:positionH relativeFrom="page">
              <wp:posOffset>6028690</wp:posOffset>
            </wp:positionH>
            <wp:positionV relativeFrom="page">
              <wp:posOffset>260350</wp:posOffset>
            </wp:positionV>
            <wp:extent cx="1243330" cy="368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43330" cy="368300"/>
                    </a:xfrm>
                    <a:prstGeom prst="rect">
                      <a:avLst/>
                    </a:prstGeom>
                    <a:noFill/>
                  </pic:spPr>
                </pic:pic>
              </a:graphicData>
            </a:graphic>
          </wp:anchor>
        </w:drawing>
        <w:t>For inquiries regarding The Gores Group and affiliates: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Gores Group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jchou@gores.com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Christiansen/Cassandra Bujarski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Sard Verbinnen &amp; 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GoresGroup-SVC@sardverb.com</w:t>
      </w:r>
    </w:p>
    <w:sectPr>
      <w:pgSz w:w="11900" w:h="16838" w:orient="portrait"/>
      <w:cols w:equalWidth="0" w:num="1">
        <w:col w:w="10019"/>
      </w:cols>
      <w:pgMar w:left="440" w:top="11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2022-04-04T07:50:57Z</dcterms:created>
  <dcterms:modified xsi:type="dcterms:W3CDTF">2022-04-04T07:50:57Z</dcterms:modified>
</cp:coreProperties>
</file>