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Polestar Automotive Holding UK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7"/>
          <w:szCs w:val="17"/>
          <w:b w:val="1"/>
          <w:bCs w:val="1"/>
          <w:color w:val="auto"/>
        </w:rPr>
        <w:t>Polestar Automotive Holding UK PLC</w:t>
      </w:r>
    </w:p>
    <w:p>
      <w:pPr>
        <w:spacing w:after="0" w:line="21"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(Commission File No. 001-40265)</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7, 2022, the following communication was made available by Polestar on Facebook: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5177790" cy="3480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77790" cy="3480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4"/>
          <w:szCs w:val="24"/>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Certain statements in this communication (“Communication”)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PLC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ectPr>
          <w:pgSz w:w="11900" w:h="16838" w:orient="portrait"/>
          <w:cols w:equalWidth="0" w:num="1">
            <w:col w:w="11020"/>
          </w:cols>
          <w:pgMar w:left="440" w:top="225" w:right="439" w:bottom="1440" w:gutter="0" w:footer="0" w:header="0"/>
        </w:sectPr>
      </w:pPr>
    </w:p>
    <w:bookmarkStart w:id="1" w:name="page2"/>
    <w:bookmarkEnd w:id="1"/>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the Company and Gores Guggenheim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w:t>
      </w:r>
    </w:p>
    <w:p>
      <w:pPr>
        <w:spacing w:after="0" w:line="200" w:lineRule="exact"/>
        <w:rPr>
          <w:sz w:val="20"/>
          <w:szCs w:val="20"/>
          <w:color w:val="auto"/>
        </w:rPr>
      </w:pPr>
    </w:p>
    <w:p>
      <w:pPr>
        <w:ind w:left="4"/>
        <w:spacing w:after="0" w:line="265" w:lineRule="auto"/>
        <w:rPr>
          <w:sz w:val="20"/>
          <w:szCs w:val="20"/>
          <w:color w:val="auto"/>
        </w:rPr>
      </w:pPr>
      <w:r>
        <w:rPr>
          <w:rFonts w:ascii="Times New Roman" w:cs="Times New Roman" w:eastAsia="Times New Roman" w:hAnsi="Times New Roman"/>
          <w:sz w:val="17"/>
          <w:szCs w:val="17"/>
          <w:color w:val="auto"/>
        </w:rPr>
        <w:t>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w:t>
      </w:r>
    </w:p>
    <w:p>
      <w:pPr>
        <w:spacing w:after="0" w:line="1" w:lineRule="exact"/>
        <w:rPr>
          <w:sz w:val="20"/>
          <w:szCs w:val="20"/>
          <w:color w:val="auto"/>
        </w:rPr>
      </w:pPr>
    </w:p>
    <w:p>
      <w:pPr>
        <w:ind w:left="4" w:hanging="4"/>
        <w:spacing w:after="0" w:line="251" w:lineRule="auto"/>
        <w:tabs>
          <w:tab w:leader="none" w:pos="3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fuel and energy prices; (24) the impact of the global COVID-19 pandemic, inflation, interest rate changes, the ongoing conflict between Ukraine and Russia, supply chain disruptions and logistical constraints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Definitive 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93"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ectPr>
          <w:pgSz w:w="11900" w:h="16838" w:orient="portrait"/>
          <w:cols w:equalWidth="0" w:num="1">
            <w:col w:w="11004"/>
          </w:cols>
          <w:pgMar w:left="436"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 ListCo has filed with the SEC a registration statement on Form F-4 containing a proxy statement of the Gores Guggenheim and a prospectus, which the SEC declared effective on May 25, 2022 and (b) Gores Guggenheim has filed a definitive proxy statement relating to the Business Combination (the “Definitive Proxy Statement”) and has mailed the Definitive Proxy Statement and other relevant materials to its stockholders and warrant holders, each as of May 18, 2022, the record date established for voting on the Business Combination and the other matters to be voted upon at the Special Meeting and Warrant Holder Meeting. The Definitive Proxy Statement contains important information about the Business Combination and the other matters to be voted upon at the meetings of Gores Guggenheim’s stockholders and warrant holders. This communication does not contain all the information that should be considered concerning the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Definitive Proxy Statement and other documents filed or to be filed in connection with the Business Combination, as these materials will contain important information about Gores Guggenheim, Polestar, ListCo and the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Gores Guggenheim and certain of its directors and executive officers may be deemed participants in the solicitation of proxies from Gores Guggenheim’s stockholders with respect to the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and ListCo, and certain of their directors and executive officers may also be deemed to be participants in the solicitation of proxies from the stockholders of Gores Guggenheim in connection with the Business Combination. A list of the names of such directors and executive officers and information regarding their interests in the Business Combination is included in the Definitive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and Non-Solicitation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2022-06-07T16:23:43Z</dcterms:created>
  <dcterms:modified xsi:type="dcterms:W3CDTF">2022-06-07T16:23:43Z</dcterms:modified>
</cp:coreProperties>
</file>