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Polestar Automotive Holding UK PLC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Companies:</w:t>
      </w:r>
    </w:p>
    <w:p>
      <w:pPr>
        <w:spacing w:after="0" w:line="9"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b w:val="1"/>
          <w:bCs w:val="1"/>
          <w:color w:val="auto"/>
        </w:rPr>
        <w:t>Polestar Automotive Holding UK PLC</w:t>
      </w:r>
    </w:p>
    <w:p>
      <w:pPr>
        <w:spacing w:after="0" w:line="21"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8"/>
          <w:szCs w:val="18"/>
          <w:b w:val="1"/>
          <w:bCs w:val="1"/>
          <w:color w:val="auto"/>
        </w:rPr>
        <w:t>Gores Guggenheim, Inc.</w:t>
      </w:r>
    </w:p>
    <w:p>
      <w:pPr>
        <w:spacing w:after="0" w:line="9"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7"/>
          <w:szCs w:val="17"/>
          <w:b w:val="1"/>
          <w:bCs w:val="1"/>
          <w:color w:val="auto"/>
        </w:rPr>
        <w:t>(Commission File No. 001-40265)</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June 14, 2022, the following communication was made available by Polestar on Facebook:</w:t>
      </w:r>
    </w:p>
    <w:p>
      <w:pPr>
        <w:sectPr>
          <w:pgSz w:w="11900" w:h="16838" w:orient="portrait"/>
          <w:cols w:equalWidth="0" w:num="1">
            <w:col w:w="11020"/>
          </w:cols>
          <w:pgMar w:left="440" w:top="225" w:right="4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97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559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Certain statements in this communication (“Communication”)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PLC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ectPr>
          <w:pgSz w:w="11900" w:h="16838" w:orient="portrait"/>
          <w:cols w:equalWidth="0" w:num="1">
            <w:col w:w="10860"/>
          </w:cols>
          <w:pgMar w:left="440" w:top="1440" w:right="599" w:bottom="1440" w:gutter="0" w:footer="0" w:header="0"/>
        </w:sectPr>
      </w:pPr>
    </w:p>
    <w:bookmarkStart w:id="2" w:name="page3"/>
    <w:bookmarkEnd w:id="2"/>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proposed business combination between the Company and Gores Guggenheim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 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w:t>
      </w:r>
    </w:p>
    <w:p>
      <w:pPr>
        <w:spacing w:after="0" w:line="200"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w:t>
      </w:r>
    </w:p>
    <w:p>
      <w:pPr>
        <w:spacing w:after="0" w:line="1" w:lineRule="exact"/>
        <w:rPr>
          <w:sz w:val="20"/>
          <w:szCs w:val="20"/>
          <w:color w:val="auto"/>
        </w:rPr>
      </w:pPr>
    </w:p>
    <w:p>
      <w:pPr>
        <w:ind w:left="4" w:hanging="4"/>
        <w:spacing w:after="0" w:line="251" w:lineRule="auto"/>
        <w:tabs>
          <w:tab w:leader="none" w:pos="3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governmental incentives and fuel and energy prices; (24) the impact of the global COVID-19 pandemic, inflation, interest rate changes, the ongoing conflict between Ukraine and Russia, supply chain disruptions and logistical constraints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Definitive 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9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ectPr>
          <w:pgSz w:w="11900" w:h="16838" w:orient="portrait"/>
          <w:cols w:equalWidth="0" w:num="1">
            <w:col w:w="11004"/>
          </w:cols>
          <w:pgMar w:left="436"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(a) ListCo has filed with the SEC a registration statement on Form F-4 containing a proxy statement of the Gores Guggenheim and a prospectus, which the SEC declared effective on May 25, 2022 and (b) Gores Guggenheim has filed a definitive proxy statement relating to the Business Combination (the “Definitive Proxy Statement”) and has mailed the Definitive Proxy Statement and other relevant materials to its stockholders and warrant holders, each as of May 18, 2022, the record date established for voting on the Business Combination and the other matters to be voted upon at the Special Meeting and Warrant Holder Meeting. The Definitive Proxy Statement contains important information about the Business Combination and the other matters to be voted upon at the meetings of Gores Guggenheim’s stockholders and warrant holders. This communication does not contain all the information that should be considered concerning the Business Combination and is not intended to form the basis of any investment decision or any other decision in respect of the Business Combination. Before making any voting or other investment decisions, securityholders of Gores Guggenheim and other interested persons are advised to read the Definitive Proxy Statement and other documents filed or to be filed in connection with the Business Combination, as these materials will contain important information about Gores Guggenheim, Polestar, ListCo and the Business Combination. Stockholders will also be able to obtain copies of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Gores Guggenheim and certain of its directors and executive officers may be deemed participants in the solicitation of proxies from Gores Guggenheim’s stockholders with respect to the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Definitive Proxy Statement.</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and ListCo, and certain of their directors and executive officers may also be deemed to be participants in the solicitation of proxies from the stockholders of Gores Guggenheim in connection with the Business Combination. A list of the names of such directors and executive officers and information regarding their interests in the Business Combination is included in the Definitive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and Non-Solicitation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2022-06-15T05:37:24Z</dcterms:created>
  <dcterms:modified xsi:type="dcterms:W3CDTF">2022-06-15T05:37:24Z</dcterms:modified>
</cp:coreProperties>
</file>