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732105952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732105952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732105952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STANDARD CHARTERED BANK</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HONG KONG</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10,341,261.00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10,341,261.00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10,341,261.00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BK, FI</w:t>
      </w:r>
    </w:p>
    <w:p>
      <w:pPr>
        <w:spacing w:after="0" w:line="200" w:lineRule="exact"/>
        <w:rPr>
          <w:sz w:val="20"/>
          <w:szCs w:val="20"/>
          <w:color w:val="auto"/>
        </w:rPr>
      </w:pPr>
    </w:p>
    <w:p>
      <w:pPr>
        <w:sectPr>
          <w:pgSz w:w="11900" w:h="16838" w:orient="portrait"/>
          <w:cols w:equalWidth="0" w:num="2">
            <w:col w:w="1060" w:space="60"/>
            <w:col w:w="9980"/>
          </w:cols>
          <w:pgMar w:left="360" w:top="111"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Polestar Automotive Holding UK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ASSAR GABRIELSSONS VAG 9, GOTEBORG, SWEDEN, 405 31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4580"/>
        <w:spacing w:after="0" w:line="286" w:lineRule="auto"/>
        <w:rPr>
          <w:sz w:val="20"/>
          <w:szCs w:val="20"/>
          <w:color w:val="auto"/>
        </w:rPr>
      </w:pPr>
      <w:r>
        <w:rPr>
          <w:rFonts w:ascii="Times New Roman" w:cs="Times New Roman" w:eastAsia="Times New Roman" w:hAnsi="Times New Roman"/>
          <w:sz w:val="22"/>
          <w:szCs w:val="22"/>
          <w:color w:val="auto"/>
        </w:rPr>
        <w:t>Standard Chartered Bank HK and Standard Chartered Bank PLC Address or principal business office or, if none, residence:</w:t>
      </w:r>
    </w:p>
    <w:p>
      <w:pPr>
        <w:spacing w:after="0" w:line="156" w:lineRule="exact"/>
        <w:rPr>
          <w:sz w:val="20"/>
          <w:szCs w:val="20"/>
          <w:color w:val="auto"/>
        </w:rPr>
      </w:pPr>
    </w:p>
    <w:p>
      <w:pPr>
        <w:ind w:left="9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the principal business office of the Bank is Standard Chartered Bank Building, 4-4A Des Voeux Road, Central, Hong Kong The address of the principal business office of the Parent is 1 Basinghall Avenue, London, United Kingdom EC2V 5DD</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140"/>
        <w:spacing w:after="0" w:line="256" w:lineRule="auto"/>
        <w:rPr>
          <w:sz w:val="20"/>
          <w:szCs w:val="20"/>
          <w:color w:val="auto"/>
        </w:rPr>
      </w:pPr>
      <w:r>
        <w:rPr>
          <w:rFonts w:ascii="Times New Roman" w:cs="Times New Roman" w:eastAsia="Times New Roman" w:hAnsi="Times New Roman"/>
          <w:sz w:val="22"/>
          <w:szCs w:val="22"/>
          <w:color w:val="auto"/>
        </w:rPr>
        <w:t>The place of organization of the Bank is Hong Kong. The place of organization of the Parent is the United Kingdom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732105952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732105952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1100"/>
          </w:cols>
          <w:pgMar w:left="360" w:top="111" w:right="4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10,341,261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9.14%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10,341,261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10,341,261</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154"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STANDARD CHARTERED BANK</w:t>
      </w:r>
    </w:p>
    <w:p>
      <w:pPr>
        <w:spacing w:after="0" w:line="152" w:lineRule="exact"/>
        <w:rPr>
          <w:sz w:val="20"/>
          <w:szCs w:val="20"/>
          <w:color w:val="auto"/>
        </w:rPr>
      </w:pPr>
    </w:p>
    <w:p>
      <w:pPr>
        <w:ind w:left="5460"/>
        <w:spacing w:after="0"/>
        <w:tabs>
          <w:tab w:leader="none" w:pos="6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Scott Corrigan</w:t>
      </w:r>
    </w:p>
    <w:p>
      <w:pPr>
        <w:spacing w:after="0" w:line="4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Name/Title: Group General Counsel and Company Secretary</w:t>
      </w:r>
    </w:p>
    <w:p>
      <w:pPr>
        <w:spacing w:after="0" w:line="44" w:lineRule="exact"/>
        <w:rPr>
          <w:sz w:val="20"/>
          <w:szCs w:val="20"/>
          <w:color w:val="auto"/>
        </w:rPr>
      </w:pPr>
    </w:p>
    <w:p>
      <w:pPr>
        <w:ind w:left="5460"/>
        <w:spacing w:after="0"/>
        <w:tabs>
          <w:tab w:leader="none" w:pos="6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sectPr>
      <w:pgSz w:w="11900" w:h="16838" w:orient="portrait"/>
      <w:cols w:equalWidth="0" w:num="1">
        <w:col w:w="11140"/>
      </w:cols>
      <w:pgMar w:left="360" w:top="126" w:right="399" w:bottom="15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8"/>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2026-02-12T10:48:57Z</dcterms:created>
  <dcterms:modified xsi:type="dcterms:W3CDTF">2026-02-12T10:48:57Z</dcterms:modified>
</cp:coreProperties>
</file>