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Polestar Automotive Holding UK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American Depositary Shares, Class A Ordinary Shares, par value $0.01 each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Zhejiang Geely Holding Group</w:t>
              <w:br/>
              <w:t>No. 1760 Jiangling Road,, Binjiang District</w:t>
              <w:br/>
              <w:t>Hangzhou, F4, 3100 51</w:t>
              <w:br/>
              <w:t>86-571-2809-8282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8"/>
        <w:gridCol w:w="7707"/>
      </w:tblGrid>
      <w:tr>
        <w:trPr/>
        <w:tc>
          <w:tcPr>
            <w:tcW w:w="2498" w:type="dxa"/>
            <w:tcBorders/>
            <w:vAlign w:val="center"/>
          </w:tcPr>
          <w:p>
            <w:pPr>
              <w:pStyle w:val="TableContents"/>
              <w:bidi w:val="0"/>
              <w:spacing w:before="0" w:after="283"/>
              <w:jc w:val="left"/>
              <w:rPr/>
            </w:pPr>
            <w:r>
              <w:rPr/>
              <w:t>1</w:t>
            </w:r>
          </w:p>
        </w:tc>
        <w:tc>
          <w:tcPr>
            <w:tcW w:w="770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Li</w:t>
            </w:r>
          </w:p>
        </w:tc>
      </w:tr>
      <w:tr>
        <w:trPr/>
        <w:tc>
          <w:tcPr>
            <w:tcW w:w="2498" w:type="dxa"/>
            <w:tcBorders/>
            <w:vAlign w:val="center"/>
          </w:tcPr>
          <w:p>
            <w:pPr>
              <w:pStyle w:val="TableContents"/>
              <w:bidi w:val="0"/>
              <w:spacing w:before="0" w:after="283"/>
              <w:jc w:val="left"/>
              <w:rPr/>
            </w:pPr>
            <w:r>
              <w:rPr/>
              <w:t>2</w:t>
            </w:r>
          </w:p>
        </w:tc>
        <w:tc>
          <w:tcPr>
            <w:tcW w:w="770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8" w:type="dxa"/>
            <w:tcBorders/>
            <w:vAlign w:val="center"/>
          </w:tcPr>
          <w:p>
            <w:pPr>
              <w:pStyle w:val="TableContents"/>
              <w:bidi w:val="0"/>
              <w:spacing w:before="0" w:after="283"/>
              <w:jc w:val="left"/>
              <w:rPr/>
            </w:pPr>
            <w:r>
              <w:rPr/>
              <w:t>3</w:t>
            </w:r>
          </w:p>
        </w:tc>
        <w:tc>
          <w:tcPr>
            <w:tcW w:w="7707" w:type="dxa"/>
            <w:tcBorders/>
            <w:vAlign w:val="center"/>
          </w:tcPr>
          <w:p>
            <w:pPr>
              <w:pStyle w:val="TableContents"/>
              <w:bidi w:val="0"/>
              <w:spacing w:before="0" w:after="283"/>
              <w:jc w:val="left"/>
              <w:rPr/>
            </w:pPr>
            <w:r>
              <w:rPr/>
              <w:t>SEC use only</w:t>
            </w:r>
          </w:p>
        </w:tc>
      </w:tr>
      <w:tr>
        <w:trPr/>
        <w:tc>
          <w:tcPr>
            <w:tcW w:w="2498" w:type="dxa"/>
            <w:tcBorders/>
            <w:vAlign w:val="center"/>
          </w:tcPr>
          <w:p>
            <w:pPr>
              <w:pStyle w:val="TableContents"/>
              <w:bidi w:val="0"/>
              <w:spacing w:before="0" w:after="283"/>
              <w:jc w:val="left"/>
              <w:rPr/>
            </w:pPr>
            <w:r>
              <w:rPr/>
              <w:t>4</w:t>
            </w:r>
          </w:p>
        </w:tc>
        <w:tc>
          <w:tcPr>
            <w:tcW w:w="770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498" w:type="dxa"/>
            <w:tcBorders/>
            <w:vAlign w:val="center"/>
          </w:tcPr>
          <w:p>
            <w:pPr>
              <w:pStyle w:val="TableContents"/>
              <w:bidi w:val="0"/>
              <w:spacing w:before="0" w:after="283"/>
              <w:jc w:val="left"/>
              <w:rPr/>
            </w:pPr>
            <w:r>
              <w:rPr/>
              <w:t>5</w:t>
            </w:r>
          </w:p>
        </w:tc>
        <w:tc>
          <w:tcPr>
            <w:tcW w:w="770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8" w:type="dxa"/>
            <w:tcBorders/>
            <w:vAlign w:val="center"/>
          </w:tcPr>
          <w:p>
            <w:pPr>
              <w:pStyle w:val="TableContents"/>
              <w:bidi w:val="0"/>
              <w:spacing w:before="0" w:after="283"/>
              <w:jc w:val="left"/>
              <w:rPr/>
            </w:pPr>
            <w:r>
              <w:rPr/>
              <w:t>6</w:t>
            </w:r>
          </w:p>
        </w:tc>
        <w:tc>
          <w:tcPr>
            <w:tcW w:w="770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49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108,325,939.00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99,358,168.00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2498" w:type="dxa"/>
            <w:tcBorders/>
            <w:vAlign w:val="center"/>
          </w:tcPr>
          <w:p>
            <w:pPr>
              <w:pStyle w:val="TableContents"/>
              <w:bidi w:val="0"/>
              <w:spacing w:before="0" w:after="283"/>
              <w:jc w:val="left"/>
              <w:rPr/>
            </w:pPr>
            <w:r>
              <w:rPr/>
              <w:t>11</w:t>
            </w:r>
          </w:p>
        </w:tc>
        <w:tc>
          <w:tcPr>
            <w:tcW w:w="770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99,358,168.00</w:t>
            </w:r>
          </w:p>
        </w:tc>
      </w:tr>
      <w:tr>
        <w:trPr/>
        <w:tc>
          <w:tcPr>
            <w:tcW w:w="2498" w:type="dxa"/>
            <w:tcBorders/>
            <w:vAlign w:val="center"/>
          </w:tcPr>
          <w:p>
            <w:pPr>
              <w:pStyle w:val="TableContents"/>
              <w:bidi w:val="0"/>
              <w:spacing w:before="0" w:after="283"/>
              <w:jc w:val="left"/>
              <w:rPr/>
            </w:pPr>
            <w:r>
              <w:rPr/>
              <w:t>12</w:t>
            </w:r>
          </w:p>
        </w:tc>
        <w:tc>
          <w:tcPr>
            <w:tcW w:w="770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8" w:type="dxa"/>
            <w:tcBorders/>
            <w:vAlign w:val="center"/>
          </w:tcPr>
          <w:p>
            <w:pPr>
              <w:pStyle w:val="TableContents"/>
              <w:bidi w:val="0"/>
              <w:spacing w:before="0" w:after="283"/>
              <w:jc w:val="left"/>
              <w:rPr/>
            </w:pPr>
            <w:r>
              <w:rPr/>
              <w:t>13</w:t>
            </w:r>
          </w:p>
        </w:tc>
        <w:tc>
          <w:tcPr>
            <w:tcW w:w="770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60.5 % </w:t>
            </w:r>
          </w:p>
        </w:tc>
      </w:tr>
      <w:tr>
        <w:trPr/>
        <w:tc>
          <w:tcPr>
            <w:tcW w:w="2498" w:type="dxa"/>
            <w:tcBorders/>
            <w:vAlign w:val="center"/>
          </w:tcPr>
          <w:p>
            <w:pPr>
              <w:pStyle w:val="TableContents"/>
              <w:bidi w:val="0"/>
              <w:spacing w:before="0" w:after="283"/>
              <w:jc w:val="left"/>
              <w:rPr/>
            </w:pPr>
            <w:r>
              <w:rPr/>
              <w:t>14</w:t>
            </w:r>
          </w:p>
        </w:tc>
        <w:tc>
          <w:tcPr>
            <w:tcW w:w="770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73"/>
        <w:gridCol w:w="7832"/>
      </w:tblGrid>
      <w:tr>
        <w:trPr/>
        <w:tc>
          <w:tcPr>
            <w:tcW w:w="2373" w:type="dxa"/>
            <w:tcBorders/>
            <w:vAlign w:val="center"/>
          </w:tcPr>
          <w:p>
            <w:pPr>
              <w:pStyle w:val="TableContents"/>
              <w:bidi w:val="0"/>
              <w:spacing w:before="0" w:after="283"/>
              <w:jc w:val="left"/>
              <w:rPr/>
            </w:pPr>
            <w:r>
              <w:rPr/>
              <w:t>1</w:t>
            </w:r>
          </w:p>
        </w:tc>
        <w:tc>
          <w:tcPr>
            <w:tcW w:w="783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VOLVO CAR CORPORATION</w:t>
            </w:r>
          </w:p>
        </w:tc>
      </w:tr>
      <w:tr>
        <w:trPr/>
        <w:tc>
          <w:tcPr>
            <w:tcW w:w="2373" w:type="dxa"/>
            <w:tcBorders/>
            <w:vAlign w:val="center"/>
          </w:tcPr>
          <w:p>
            <w:pPr>
              <w:pStyle w:val="TableContents"/>
              <w:bidi w:val="0"/>
              <w:spacing w:before="0" w:after="283"/>
              <w:jc w:val="left"/>
              <w:rPr/>
            </w:pPr>
            <w:r>
              <w:rPr/>
              <w:t>2</w:t>
            </w:r>
          </w:p>
        </w:tc>
        <w:tc>
          <w:tcPr>
            <w:tcW w:w="783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73" w:type="dxa"/>
            <w:tcBorders/>
            <w:vAlign w:val="center"/>
          </w:tcPr>
          <w:p>
            <w:pPr>
              <w:pStyle w:val="TableContents"/>
              <w:bidi w:val="0"/>
              <w:spacing w:before="0" w:after="283"/>
              <w:jc w:val="left"/>
              <w:rPr/>
            </w:pPr>
            <w:r>
              <w:rPr/>
              <w:t>3</w:t>
            </w:r>
          </w:p>
        </w:tc>
        <w:tc>
          <w:tcPr>
            <w:tcW w:w="7832" w:type="dxa"/>
            <w:tcBorders/>
            <w:vAlign w:val="center"/>
          </w:tcPr>
          <w:p>
            <w:pPr>
              <w:pStyle w:val="TableContents"/>
              <w:bidi w:val="0"/>
              <w:spacing w:before="0" w:after="283"/>
              <w:jc w:val="left"/>
              <w:rPr/>
            </w:pPr>
            <w:r>
              <w:rPr/>
              <w:t>SEC use only</w:t>
            </w:r>
          </w:p>
        </w:tc>
      </w:tr>
      <w:tr>
        <w:trPr/>
        <w:tc>
          <w:tcPr>
            <w:tcW w:w="2373" w:type="dxa"/>
            <w:tcBorders/>
            <w:vAlign w:val="center"/>
          </w:tcPr>
          <w:p>
            <w:pPr>
              <w:pStyle w:val="TableContents"/>
              <w:bidi w:val="0"/>
              <w:spacing w:before="0" w:after="283"/>
              <w:jc w:val="left"/>
              <w:rPr/>
            </w:pPr>
            <w:r>
              <w:rPr/>
              <w:t>4</w:t>
            </w:r>
          </w:p>
        </w:tc>
        <w:tc>
          <w:tcPr>
            <w:tcW w:w="783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73" w:type="dxa"/>
            <w:tcBorders/>
            <w:vAlign w:val="center"/>
          </w:tcPr>
          <w:p>
            <w:pPr>
              <w:pStyle w:val="TableContents"/>
              <w:bidi w:val="0"/>
              <w:spacing w:before="0" w:after="283"/>
              <w:jc w:val="left"/>
              <w:rPr/>
            </w:pPr>
            <w:r>
              <w:rPr/>
              <w:t>5</w:t>
            </w:r>
          </w:p>
        </w:tc>
        <w:tc>
          <w:tcPr>
            <w:tcW w:w="783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73" w:type="dxa"/>
            <w:tcBorders/>
            <w:vAlign w:val="center"/>
          </w:tcPr>
          <w:p>
            <w:pPr>
              <w:pStyle w:val="TableContents"/>
              <w:bidi w:val="0"/>
              <w:spacing w:before="0" w:after="283"/>
              <w:jc w:val="left"/>
              <w:rPr/>
            </w:pPr>
            <w:r>
              <w:rPr/>
              <w:t>6</w:t>
            </w:r>
          </w:p>
        </w:tc>
        <w:tc>
          <w:tcPr>
            <w:tcW w:w="783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7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2" w:type="dxa"/>
            <w:tcBorders/>
            <w:vAlign w:val="center"/>
          </w:tcPr>
          <w:p>
            <w:pPr>
              <w:pStyle w:val="TableContents"/>
              <w:bidi w:val="0"/>
              <w:spacing w:before="0" w:after="283"/>
              <w:jc w:val="left"/>
              <w:rPr>
                <w:sz w:val="4"/>
                <w:szCs w:val="4"/>
              </w:rPr>
            </w:pPr>
            <w:r>
              <w:rPr>
                <w:sz w:val="4"/>
                <w:szCs w:val="4"/>
              </w:rPr>
            </w:r>
          </w:p>
        </w:tc>
      </w:tr>
      <w:tr>
        <w:trPr/>
        <w:tc>
          <w:tcPr>
            <w:tcW w:w="2373" w:type="dxa"/>
            <w:tcBorders/>
            <w:vAlign w:val="center"/>
          </w:tcPr>
          <w:p>
            <w:pPr>
              <w:pStyle w:val="TableContents"/>
              <w:bidi w:val="0"/>
              <w:spacing w:before="0" w:after="283"/>
              <w:jc w:val="left"/>
              <w:rPr/>
            </w:pPr>
            <w:r>
              <w:rPr/>
              <w:t>11</w:t>
            </w:r>
          </w:p>
        </w:tc>
        <w:tc>
          <w:tcPr>
            <w:tcW w:w="783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32,691,731.00</w:t>
            </w:r>
          </w:p>
        </w:tc>
      </w:tr>
      <w:tr>
        <w:trPr/>
        <w:tc>
          <w:tcPr>
            <w:tcW w:w="2373" w:type="dxa"/>
            <w:tcBorders/>
            <w:vAlign w:val="center"/>
          </w:tcPr>
          <w:p>
            <w:pPr>
              <w:pStyle w:val="TableContents"/>
              <w:bidi w:val="0"/>
              <w:spacing w:before="0" w:after="283"/>
              <w:jc w:val="left"/>
              <w:rPr/>
            </w:pPr>
            <w:r>
              <w:rPr/>
              <w:t>12</w:t>
            </w:r>
          </w:p>
        </w:tc>
        <w:tc>
          <w:tcPr>
            <w:tcW w:w="783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73" w:type="dxa"/>
            <w:tcBorders/>
            <w:vAlign w:val="center"/>
          </w:tcPr>
          <w:p>
            <w:pPr>
              <w:pStyle w:val="TableContents"/>
              <w:bidi w:val="0"/>
              <w:spacing w:before="0" w:after="283"/>
              <w:jc w:val="left"/>
              <w:rPr/>
            </w:pPr>
            <w:r>
              <w:rPr/>
              <w:t>13</w:t>
            </w:r>
          </w:p>
        </w:tc>
        <w:tc>
          <w:tcPr>
            <w:tcW w:w="783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73" w:type="dxa"/>
            <w:tcBorders/>
            <w:vAlign w:val="center"/>
          </w:tcPr>
          <w:p>
            <w:pPr>
              <w:pStyle w:val="TableContents"/>
              <w:bidi w:val="0"/>
              <w:spacing w:before="0" w:after="283"/>
              <w:jc w:val="left"/>
              <w:rPr/>
            </w:pPr>
            <w:r>
              <w:rPr/>
              <w:t>14</w:t>
            </w:r>
          </w:p>
        </w:tc>
        <w:tc>
          <w:tcPr>
            <w:tcW w:w="783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4"/>
        <w:gridCol w:w="7821"/>
      </w:tblGrid>
      <w:tr>
        <w:trPr/>
        <w:tc>
          <w:tcPr>
            <w:tcW w:w="2384" w:type="dxa"/>
            <w:tcBorders/>
            <w:vAlign w:val="center"/>
          </w:tcPr>
          <w:p>
            <w:pPr>
              <w:pStyle w:val="TableContents"/>
              <w:bidi w:val="0"/>
              <w:spacing w:before="0" w:after="283"/>
              <w:jc w:val="left"/>
              <w:rPr/>
            </w:pPr>
            <w:r>
              <w:rPr/>
              <w:t>1</w:t>
            </w:r>
          </w:p>
        </w:tc>
        <w:tc>
          <w:tcPr>
            <w:tcW w:w="78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PSD INVESTMENT LIMITED</w:t>
            </w:r>
          </w:p>
        </w:tc>
      </w:tr>
      <w:tr>
        <w:trPr/>
        <w:tc>
          <w:tcPr>
            <w:tcW w:w="2384" w:type="dxa"/>
            <w:tcBorders/>
            <w:vAlign w:val="center"/>
          </w:tcPr>
          <w:p>
            <w:pPr>
              <w:pStyle w:val="TableContents"/>
              <w:bidi w:val="0"/>
              <w:spacing w:before="0" w:after="283"/>
              <w:jc w:val="left"/>
              <w:rPr/>
            </w:pPr>
            <w:r>
              <w:rPr/>
              <w:t>2</w:t>
            </w:r>
          </w:p>
        </w:tc>
        <w:tc>
          <w:tcPr>
            <w:tcW w:w="78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4" w:type="dxa"/>
            <w:tcBorders/>
            <w:vAlign w:val="center"/>
          </w:tcPr>
          <w:p>
            <w:pPr>
              <w:pStyle w:val="TableContents"/>
              <w:bidi w:val="0"/>
              <w:spacing w:before="0" w:after="283"/>
              <w:jc w:val="left"/>
              <w:rPr/>
            </w:pPr>
            <w:r>
              <w:rPr/>
              <w:t>3</w:t>
            </w:r>
          </w:p>
        </w:tc>
        <w:tc>
          <w:tcPr>
            <w:tcW w:w="7821" w:type="dxa"/>
            <w:tcBorders/>
            <w:vAlign w:val="center"/>
          </w:tcPr>
          <w:p>
            <w:pPr>
              <w:pStyle w:val="TableContents"/>
              <w:bidi w:val="0"/>
              <w:spacing w:before="0" w:after="283"/>
              <w:jc w:val="left"/>
              <w:rPr/>
            </w:pPr>
            <w:r>
              <w:rPr/>
              <w:t>SEC use only</w:t>
            </w:r>
          </w:p>
        </w:tc>
      </w:tr>
      <w:tr>
        <w:trPr/>
        <w:tc>
          <w:tcPr>
            <w:tcW w:w="2384" w:type="dxa"/>
            <w:tcBorders/>
            <w:vAlign w:val="center"/>
          </w:tcPr>
          <w:p>
            <w:pPr>
              <w:pStyle w:val="TableContents"/>
              <w:bidi w:val="0"/>
              <w:spacing w:before="0" w:after="283"/>
              <w:jc w:val="left"/>
              <w:rPr/>
            </w:pPr>
            <w:r>
              <w:rPr/>
              <w:t>4</w:t>
            </w:r>
          </w:p>
        </w:tc>
        <w:tc>
          <w:tcPr>
            <w:tcW w:w="78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84" w:type="dxa"/>
            <w:tcBorders/>
            <w:vAlign w:val="center"/>
          </w:tcPr>
          <w:p>
            <w:pPr>
              <w:pStyle w:val="TableContents"/>
              <w:bidi w:val="0"/>
              <w:spacing w:before="0" w:after="283"/>
              <w:jc w:val="left"/>
              <w:rPr/>
            </w:pPr>
            <w:r>
              <w:rPr/>
              <w:t>5</w:t>
            </w:r>
          </w:p>
        </w:tc>
        <w:tc>
          <w:tcPr>
            <w:tcW w:w="78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4" w:type="dxa"/>
            <w:tcBorders/>
            <w:vAlign w:val="center"/>
          </w:tcPr>
          <w:p>
            <w:pPr>
              <w:pStyle w:val="TableContents"/>
              <w:bidi w:val="0"/>
              <w:spacing w:before="0" w:after="283"/>
              <w:jc w:val="left"/>
              <w:rPr/>
            </w:pPr>
            <w:r>
              <w:rPr/>
              <w:t>6</w:t>
            </w:r>
          </w:p>
        </w:tc>
        <w:tc>
          <w:tcPr>
            <w:tcW w:w="78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42,917,431.00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33,949,660.00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21" w:type="dxa"/>
            <w:tcBorders/>
            <w:vAlign w:val="center"/>
          </w:tcPr>
          <w:p>
            <w:pPr>
              <w:pStyle w:val="TableContents"/>
              <w:bidi w:val="0"/>
              <w:spacing w:before="0" w:after="283"/>
              <w:jc w:val="left"/>
              <w:rPr>
                <w:sz w:val="4"/>
                <w:szCs w:val="4"/>
              </w:rPr>
            </w:pPr>
            <w:r>
              <w:rPr>
                <w:sz w:val="4"/>
                <w:szCs w:val="4"/>
              </w:rPr>
            </w:r>
          </w:p>
        </w:tc>
      </w:tr>
      <w:tr>
        <w:trPr/>
        <w:tc>
          <w:tcPr>
            <w:tcW w:w="2384" w:type="dxa"/>
            <w:tcBorders/>
            <w:vAlign w:val="center"/>
          </w:tcPr>
          <w:p>
            <w:pPr>
              <w:pStyle w:val="TableContents"/>
              <w:bidi w:val="0"/>
              <w:spacing w:before="0" w:after="283"/>
              <w:jc w:val="left"/>
              <w:rPr/>
            </w:pPr>
            <w:r>
              <w:rPr/>
              <w:t>11</w:t>
            </w:r>
          </w:p>
        </w:tc>
        <w:tc>
          <w:tcPr>
            <w:tcW w:w="78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33,949,660.00</w:t>
            </w:r>
          </w:p>
        </w:tc>
      </w:tr>
      <w:tr>
        <w:trPr/>
        <w:tc>
          <w:tcPr>
            <w:tcW w:w="2384" w:type="dxa"/>
            <w:tcBorders/>
            <w:vAlign w:val="center"/>
          </w:tcPr>
          <w:p>
            <w:pPr>
              <w:pStyle w:val="TableContents"/>
              <w:bidi w:val="0"/>
              <w:spacing w:before="0" w:after="283"/>
              <w:jc w:val="left"/>
              <w:rPr/>
            </w:pPr>
            <w:r>
              <w:rPr/>
              <w:t>12</w:t>
            </w:r>
          </w:p>
        </w:tc>
        <w:tc>
          <w:tcPr>
            <w:tcW w:w="78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84" w:type="dxa"/>
            <w:tcBorders/>
            <w:vAlign w:val="center"/>
          </w:tcPr>
          <w:p>
            <w:pPr>
              <w:pStyle w:val="TableContents"/>
              <w:bidi w:val="0"/>
              <w:spacing w:before="0" w:after="283"/>
              <w:jc w:val="left"/>
              <w:rPr/>
            </w:pPr>
            <w:r>
              <w:rPr/>
              <w:t>13</w:t>
            </w:r>
          </w:p>
        </w:tc>
        <w:tc>
          <w:tcPr>
            <w:tcW w:w="78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20.7 % </w:t>
            </w:r>
          </w:p>
        </w:tc>
      </w:tr>
      <w:tr>
        <w:trPr/>
        <w:tc>
          <w:tcPr>
            <w:tcW w:w="2384" w:type="dxa"/>
            <w:tcBorders/>
            <w:vAlign w:val="center"/>
          </w:tcPr>
          <w:p>
            <w:pPr>
              <w:pStyle w:val="TableContents"/>
              <w:bidi w:val="0"/>
              <w:spacing w:before="0" w:after="283"/>
              <w:jc w:val="left"/>
              <w:rPr/>
            </w:pPr>
            <w:r>
              <w:rPr/>
              <w:t>14</w:t>
            </w:r>
          </w:p>
        </w:tc>
        <w:tc>
          <w:tcPr>
            <w:tcW w:w="78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PSD CAPITAL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42,917,431.00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33,949,660.00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33,949,660.00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SNITA HOLDING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32,691,731.00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VOLVO CAR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32,691,731.00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32,691,731.00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GEELY SWEDEN HOLDINGS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62"/>
        <w:gridCol w:w="7843"/>
      </w:tblGrid>
      <w:tr>
        <w:trPr/>
        <w:tc>
          <w:tcPr>
            <w:tcW w:w="2362" w:type="dxa"/>
            <w:tcBorders/>
            <w:vAlign w:val="center"/>
          </w:tcPr>
          <w:p>
            <w:pPr>
              <w:pStyle w:val="TableContents"/>
              <w:bidi w:val="0"/>
              <w:spacing w:before="0" w:after="283"/>
              <w:jc w:val="left"/>
              <w:rPr/>
            </w:pPr>
            <w:r>
              <w:rPr/>
              <w:t>1</w:t>
            </w:r>
          </w:p>
        </w:tc>
        <w:tc>
          <w:tcPr>
            <w:tcW w:w="784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SHANGHAI GEELY ZHAOYUAN INTERNATIONAL INVESTMENT CO., LTD</w:t>
            </w:r>
          </w:p>
        </w:tc>
      </w:tr>
      <w:tr>
        <w:trPr/>
        <w:tc>
          <w:tcPr>
            <w:tcW w:w="2362" w:type="dxa"/>
            <w:tcBorders/>
            <w:vAlign w:val="center"/>
          </w:tcPr>
          <w:p>
            <w:pPr>
              <w:pStyle w:val="TableContents"/>
              <w:bidi w:val="0"/>
              <w:spacing w:before="0" w:after="283"/>
              <w:jc w:val="left"/>
              <w:rPr/>
            </w:pPr>
            <w:r>
              <w:rPr/>
              <w:t>2</w:t>
            </w:r>
          </w:p>
        </w:tc>
        <w:tc>
          <w:tcPr>
            <w:tcW w:w="78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62" w:type="dxa"/>
            <w:tcBorders/>
            <w:vAlign w:val="center"/>
          </w:tcPr>
          <w:p>
            <w:pPr>
              <w:pStyle w:val="TableContents"/>
              <w:bidi w:val="0"/>
              <w:spacing w:before="0" w:after="283"/>
              <w:jc w:val="left"/>
              <w:rPr/>
            </w:pPr>
            <w:r>
              <w:rPr/>
              <w:t>3</w:t>
            </w:r>
          </w:p>
        </w:tc>
        <w:tc>
          <w:tcPr>
            <w:tcW w:w="7843" w:type="dxa"/>
            <w:tcBorders/>
            <w:vAlign w:val="center"/>
          </w:tcPr>
          <w:p>
            <w:pPr>
              <w:pStyle w:val="TableContents"/>
              <w:bidi w:val="0"/>
              <w:spacing w:before="0" w:after="283"/>
              <w:jc w:val="left"/>
              <w:rPr/>
            </w:pPr>
            <w:r>
              <w:rPr/>
              <w:t>SEC use only</w:t>
            </w:r>
          </w:p>
        </w:tc>
      </w:tr>
      <w:tr>
        <w:trPr/>
        <w:tc>
          <w:tcPr>
            <w:tcW w:w="2362" w:type="dxa"/>
            <w:tcBorders/>
            <w:vAlign w:val="center"/>
          </w:tcPr>
          <w:p>
            <w:pPr>
              <w:pStyle w:val="TableContents"/>
              <w:bidi w:val="0"/>
              <w:spacing w:before="0" w:after="283"/>
              <w:jc w:val="left"/>
              <w:rPr/>
            </w:pPr>
            <w:r>
              <w:rPr/>
              <w:t>4</w:t>
            </w:r>
          </w:p>
        </w:tc>
        <w:tc>
          <w:tcPr>
            <w:tcW w:w="784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62" w:type="dxa"/>
            <w:tcBorders/>
            <w:vAlign w:val="center"/>
          </w:tcPr>
          <w:p>
            <w:pPr>
              <w:pStyle w:val="TableContents"/>
              <w:bidi w:val="0"/>
              <w:spacing w:before="0" w:after="283"/>
              <w:jc w:val="left"/>
              <w:rPr/>
            </w:pPr>
            <w:r>
              <w:rPr/>
              <w:t>5</w:t>
            </w:r>
          </w:p>
        </w:tc>
        <w:tc>
          <w:tcPr>
            <w:tcW w:w="784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62" w:type="dxa"/>
            <w:tcBorders/>
            <w:vAlign w:val="center"/>
          </w:tcPr>
          <w:p>
            <w:pPr>
              <w:pStyle w:val="TableContents"/>
              <w:bidi w:val="0"/>
              <w:spacing w:before="0" w:after="283"/>
              <w:jc w:val="left"/>
              <w:rPr/>
            </w:pPr>
            <w:r>
              <w:rPr/>
              <w:t>6</w:t>
            </w:r>
          </w:p>
        </w:tc>
        <w:tc>
          <w:tcPr>
            <w:tcW w:w="78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6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3" w:type="dxa"/>
            <w:tcBorders/>
            <w:vAlign w:val="center"/>
          </w:tcPr>
          <w:p>
            <w:pPr>
              <w:pStyle w:val="TableContents"/>
              <w:bidi w:val="0"/>
              <w:spacing w:before="0" w:after="283"/>
              <w:jc w:val="left"/>
              <w:rPr>
                <w:sz w:val="4"/>
                <w:szCs w:val="4"/>
              </w:rPr>
            </w:pPr>
            <w:r>
              <w:rPr>
                <w:sz w:val="4"/>
                <w:szCs w:val="4"/>
              </w:rPr>
            </w:r>
          </w:p>
        </w:tc>
      </w:tr>
      <w:tr>
        <w:trPr/>
        <w:tc>
          <w:tcPr>
            <w:tcW w:w="2362" w:type="dxa"/>
            <w:tcBorders/>
            <w:vAlign w:val="center"/>
          </w:tcPr>
          <w:p>
            <w:pPr>
              <w:pStyle w:val="TableContents"/>
              <w:bidi w:val="0"/>
              <w:spacing w:before="0" w:after="283"/>
              <w:jc w:val="left"/>
              <w:rPr/>
            </w:pPr>
            <w:r>
              <w:rPr/>
              <w:t>11</w:t>
            </w:r>
          </w:p>
        </w:tc>
        <w:tc>
          <w:tcPr>
            <w:tcW w:w="78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62" w:type="dxa"/>
            <w:tcBorders/>
            <w:vAlign w:val="center"/>
          </w:tcPr>
          <w:p>
            <w:pPr>
              <w:pStyle w:val="TableContents"/>
              <w:bidi w:val="0"/>
              <w:spacing w:before="0" w:after="283"/>
              <w:jc w:val="left"/>
              <w:rPr/>
            </w:pPr>
            <w:r>
              <w:rPr/>
              <w:t>12</w:t>
            </w:r>
          </w:p>
        </w:tc>
        <w:tc>
          <w:tcPr>
            <w:tcW w:w="784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62" w:type="dxa"/>
            <w:tcBorders/>
            <w:vAlign w:val="center"/>
          </w:tcPr>
          <w:p>
            <w:pPr>
              <w:pStyle w:val="TableContents"/>
              <w:bidi w:val="0"/>
              <w:spacing w:before="0" w:after="283"/>
              <w:jc w:val="left"/>
              <w:rPr/>
            </w:pPr>
            <w:r>
              <w:rPr/>
              <w:t>13</w:t>
            </w:r>
          </w:p>
        </w:tc>
        <w:tc>
          <w:tcPr>
            <w:tcW w:w="784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62" w:type="dxa"/>
            <w:tcBorders/>
            <w:vAlign w:val="center"/>
          </w:tcPr>
          <w:p>
            <w:pPr>
              <w:pStyle w:val="TableContents"/>
              <w:bidi w:val="0"/>
              <w:spacing w:before="0" w:after="283"/>
              <w:jc w:val="left"/>
              <w:rPr/>
            </w:pPr>
            <w:r>
              <w:rPr/>
              <w:t>14</w:t>
            </w:r>
          </w:p>
        </w:tc>
        <w:tc>
          <w:tcPr>
            <w:tcW w:w="78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BEIJING GEELY WANYUAN INTERNATIONAL INVESTMENT CO., LTD</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BEIJING GEELY KAISHENG INTERNATIONAL INVESTMENT CO., LTD</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ZHEJIANG GEELY HOLDING GROUP COMPANY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GEELY SWEDEN AUTOMOTIVE INVESTMENT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32,250,434.00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32,250,434.00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32,250,434.00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item1to7"/>
      <w:bookmarkStart w:id="55" w:name="item1to7"/>
      <w:bookmarkEnd w:id="55"/>
    </w:p>
    <w:tbl>
      <w:tblPr>
        <w:tblW w:w="10205" w:type="dxa"/>
        <w:jc w:val="left"/>
        <w:tblInd w:w="0" w:type="dxa"/>
        <w:tblLayout w:type="fixed"/>
        <w:tblCellMar>
          <w:top w:w="28" w:type="dxa"/>
          <w:left w:w="28" w:type="dxa"/>
          <w:bottom w:w="28" w:type="dxa"/>
          <w:right w:w="28" w:type="dxa"/>
        </w:tblCellMar>
      </w:tblPr>
      <w:tblGrid>
        <w:gridCol w:w="1174"/>
        <w:gridCol w:w="8876"/>
        <w:gridCol w:w="155"/>
      </w:tblGrid>
      <w:tr>
        <w:trPr/>
        <w:tc>
          <w:tcPr>
            <w:tcW w:w="1174" w:type="dxa"/>
            <w:tcBorders/>
            <w:vAlign w:val="center"/>
          </w:tcPr>
          <w:p>
            <w:pPr>
              <w:pStyle w:val="TableContents"/>
              <w:bidi w:val="0"/>
              <w:spacing w:before="0" w:after="283"/>
              <w:jc w:val="left"/>
              <w:rPr/>
            </w:pPr>
            <w:r>
              <w:rPr/>
              <w:t>Item 1.</w:t>
            </w:r>
          </w:p>
        </w:tc>
        <w:tc>
          <w:tcPr>
            <w:tcW w:w="887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American Depositary Shares, Class A Ordinary Shares, par value $0.01 each</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Name of Issuer: </w:t>
            </w:r>
          </w:p>
          <w:p>
            <w:pPr>
              <w:pStyle w:val="TableContents"/>
              <w:bidi w:val="0"/>
              <w:spacing w:before="0" w:after="0"/>
              <w:jc w:val="left"/>
              <w:rPr/>
            </w:pPr>
            <w:r>
              <w:rPr/>
              <w:t>Polestar Automotive Holding UK PLC</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Assar Gabrielssons Vag 9, Gothenburg, SWEDEN , 405 31.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15 to Schedule 13D ("Amendment No. 15") amends and supplements the Statement on Schedule 13D filed with the United States Securities and Exchange Commission on July 7, 2022 (as amended to date, the "Statement"), relating to Class A ordinary shares, par value $0.01 per share (the "Class A Shares"), of Polestar Automotive Holding UK PLC, a limited company incorporated under the laws of England and Wales (the "Issuer"). Capitalized terms used herein without definition shall have the meaning set forth in the Statement.</w:t>
            </w:r>
          </w:p>
        </w:tc>
      </w:tr>
      <w:tr>
        <w:trPr/>
        <w:tc>
          <w:tcPr>
            <w:tcW w:w="1174" w:type="dxa"/>
            <w:tcBorders/>
            <w:vAlign w:val="center"/>
          </w:tcPr>
          <w:p>
            <w:pPr>
              <w:pStyle w:val="TableContents"/>
              <w:bidi w:val="0"/>
              <w:spacing w:before="0" w:after="283"/>
              <w:jc w:val="left"/>
              <w:rPr/>
            </w:pPr>
            <w:r>
              <w:rPr/>
              <w:t>Item 3.</w:t>
            </w:r>
          </w:p>
        </w:tc>
        <w:tc>
          <w:tcPr>
            <w:tcW w:w="887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3 of the Statement is hereby amended and supplemented by inserting the following: Item 4 of this Statement is hereby incorporated by reference into this Item 3.</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4.</w:t>
            </w:r>
          </w:p>
        </w:tc>
        <w:tc>
          <w:tcPr>
            <w:tcW w:w="887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4 of the Statement is hereby amended and supplemented by inserting the following: June 2026 Conversions On June 29, 2026, Geely Sweden Automotive Investment AB ("GSAI AB") transferred to Geely Sweden Automotive Investment B.V. ("GSAI BV") its rights as lender with respect to all outstanding principal and interest owed by the Issuer under the previously disclosed Term Facility Agreement, dated November 8, 2023 (the "Term Facility Agreement"). On June 30, 2026, GSAI BV converted approximately $300 million of such outstanding principal and interest into 15,511,892 Class A ADSs of the Issuer. Immediately after the conversion, Snita Holding B.V. converted approximately $66 million of its outstanding principal and interest owed by the Issuer under the previously disclosed Snita Term Loan Facility (as defined in Amendment No. 14) into 3,864,300 Class A ADSs of the Issuer. The shares held by Snita Holding B.V. are subject to a registration rights agreement entered into on September 27, 2021 (as subsequently amended, the "2021 Registration Rights Agreement"), which was filed as an exhibit to the Schedule 13D filed on July 7, 2022. Registration Rights Agreement On June 30, 2026, the Issuer entered into a registration rights agreement with GSAI BV (the "Registration Rights Agreement"), pursuant to which the Issuer has agreed to file a registration statement with the Securities and Exchange Commission (the "SEC"), covering the resale of the securities no later than 90 days following the entry into the Registration Rights Agreement and to use commercially reasonable efforts to have the registration statement declared effective by the SEC as soon as practicable after filing but no later than the 90th calendar day following the filing deadline for the registration statement, provided that if the SEC notifies the Issuer that it will "review" the registration statement, then the deadline shall be extended to 120 calendar days after the filing deadline. Term Loan Facility Amendment On June 3, 2026, the Issuer and Geely Sweden Automotive Investment AB entered into an amendment (the "Term Loan Facility Amendment") to the previously disclosed Term Facility Agreement, dated December 16, 2025 (the "December Term Facility"), to extend the term of the December Term Facility to June 30, 2027 and change the margin of the December Term Facility from 3.0% to 3.2% with effect from the next Interest Period following the General Effective Date (as defined in the Term Loan Facility Amendment). The foregoing description of the Registration Rights Agreement and Term Loan Facility Amendment do not purport to be complete, and are qualified in their entirety by reference to such agreements, which are attached as exhibits to this Statement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5.</w:t>
            </w:r>
          </w:p>
        </w:tc>
        <w:tc>
          <w:tcPr>
            <w:tcW w:w="887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spacing w:before="0" w:after="0"/>
              <w:jc w:val="left"/>
              <w:rPr/>
            </w:pPr>
            <w:r>
              <w:rPr/>
              <w:t>Item 5(a) of the Statement is hereby amended and restated in its entirety as follows: The information contained on the cover pages to this Statement is incorporated herein by reference. The percentages of beneficial ownership set forth herein are based on (i) 163,283,710 Class A ADSs and (ii) 996,419 Class B ADSs, issued and outstanding as disclosed by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spacing w:before="0" w:after="0"/>
              <w:jc w:val="left"/>
              <w:rPr/>
            </w:pPr>
            <w:r>
              <w:rPr/>
              <w:t>Item 5(b) of the Statement is hereby amended and restated in its entirety as follows: The information contained on the cover pages to this Statement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spacing w:before="0" w:after="0"/>
              <w:jc w:val="left"/>
              <w:rPr/>
            </w:pPr>
            <w:r>
              <w:rPr/>
              <w:t>Item 5(c) of the Statement is hereby amended and supplemented as follows: Except as described herein, the Reporting Persons have not effected any transactions in the Issuer's Shares in the last 60 days.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(d)</w:t>
            </w:r>
          </w:p>
        </w:tc>
        <w:tc>
          <w:tcPr>
            <w:tcW w:w="8876"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(e)</w:t>
            </w:r>
          </w:p>
        </w:tc>
        <w:tc>
          <w:tcPr>
            <w:tcW w:w="887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6.</w:t>
            </w:r>
          </w:p>
        </w:tc>
        <w:tc>
          <w:tcPr>
            <w:tcW w:w="887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6 of the Statement is hereby amended and supplemented by inserting the following: Item 4 above summarizes certain provisions of the Registration Rights Agreement and the Term Loan Facility Amendment and are incorporated herein by reference. A copy of such agreements are filed as exhibits to this Statement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7.</w:t>
            </w:r>
          </w:p>
        </w:tc>
        <w:tc>
          <w:tcPr>
            <w:tcW w:w="887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7 of the Statement is hereby amended and supplemented by inserting the following: Exhibit 8: Registration Rights Agreement, dated as of June 30, 2026, by and between Polestar Automotive Holding UK PLC and Geely Sweden Automotive Investment B.V. Exhibit 9: Amendment Letter, dated as of June 3, 2026, by and between Geely Sweden Automotive Investment AB and Polestar Automotive Holding UK PLC, to the Term Facility Agreement dated December 16, 2025 (incorporated by reference to Exhibit 99.1 of the Issuer's Form 6-K filed with the Securities and Exchange Commission on June 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signatureInfo"/>
      <w:bookmarkStart w:id="57" w:name="signatureInfo"/>
      <w:bookmarkEnd w:id="5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862" w:type="dxa"/>
        <w:jc w:val="left"/>
        <w:tblInd w:w="0" w:type="dxa"/>
        <w:tblLayout w:type="fixed"/>
        <w:tblCellMar>
          <w:top w:w="28" w:type="dxa"/>
          <w:left w:w="28" w:type="dxa"/>
          <w:bottom w:w="28" w:type="dxa"/>
          <w:right w:w="28" w:type="dxa"/>
        </w:tblCellMar>
      </w:tblPr>
      <w:tblGrid>
        <w:gridCol w:w="931"/>
        <w:gridCol w:w="931"/>
      </w:tblGrid>
      <w:tr>
        <w:trPr/>
        <w:tc>
          <w:tcPr>
            <w:tcW w:w="931" w:type="dxa"/>
            <w:tcBorders/>
            <w:vAlign w:val="center"/>
          </w:tcPr>
          <w:p>
            <w:pPr>
              <w:pStyle w:val="TableContents"/>
              <w:bidi w:val="0"/>
              <w:spacing w:before="0" w:after="0"/>
              <w:jc w:val="left"/>
              <w:rPr/>
            </w:pPr>
            <w:r>
              <w:rPr/>
              <w:t> </w:t>
            </w:r>
          </w:p>
          <w:tbl>
            <w:tblPr>
              <w:tblW w:w="826" w:type="dxa"/>
              <w:jc w:val="left"/>
              <w:tblInd w:w="0" w:type="dxa"/>
              <w:tblLayout w:type="fixed"/>
              <w:tblCellMar>
                <w:top w:w="28" w:type="dxa"/>
                <w:left w:w="28" w:type="dxa"/>
                <w:bottom w:w="28" w:type="dxa"/>
                <w:right w:w="28" w:type="dxa"/>
              </w:tblCellMar>
            </w:tblPr>
            <w:tblGrid>
              <w:gridCol w:w="826"/>
            </w:tblGrid>
            <w:tr>
              <w:trPr/>
              <w:tc>
                <w:tcPr>
                  <w:tcW w:w="826" w:type="dxa"/>
                  <w:tcBorders/>
                  <w:vAlign w:val="center"/>
                </w:tcPr>
                <w:p>
                  <w:pPr>
                    <w:pStyle w:val="TableContents"/>
                    <w:bidi w:val="0"/>
                    <w:spacing w:before="0" w:after="0"/>
                    <w:jc w:val="left"/>
                    <w:rPr/>
                  </w:pPr>
                  <w:r>
                    <w:rPr/>
                    <w:t>Eric Li</w:t>
                  </w:r>
                </w:p>
              </w:tc>
            </w:tr>
          </w:tbl>
          <w:p>
            <w:pPr>
              <w:pStyle w:val="TableContents"/>
              <w:bidi w:val="0"/>
              <w:spacing w:before="0" w:after="283"/>
              <w:jc w:val="left"/>
              <w:rPr/>
            </w:pPr>
            <w:r>
              <w:rPr/>
            </w:r>
          </w:p>
        </w:tc>
        <w:tc>
          <w:tcPr>
            <w:tcW w:w="9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Eric Li</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Eric Li (Shufu Li)</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VOLVO CAR CORPORATION</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Fredrik Hansson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Fredrik Hansson, 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Helen Hu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Helen Hu, Director &amp;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PSD INVESTMENT LIMITED</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Shufu Li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Shufu Li, Sole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PSD CAPITAL LIMITED</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Shufu Li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Shufu Li, Sole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SNITA HOLDING B.V.</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Fredrik Hansson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Fredrik Hansson, 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Helen Hu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Helen Hu, Director &amp;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VOLVO CAR AB</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Fredrik Hansson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Fredrik Hansson,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Helen Hu</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Helen Hu,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GEELY SWEDEN HOLDINGS AB</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Shufu Li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Shufu Li,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Donghui Li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Donghui Li, 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15"/>
        <w:gridCol w:w="4590"/>
      </w:tblGrid>
      <w:tr>
        <w:trPr/>
        <w:tc>
          <w:tcPr>
            <w:tcW w:w="5615" w:type="dxa"/>
            <w:tcBorders/>
            <w:vAlign w:val="center"/>
          </w:tcPr>
          <w:p>
            <w:pPr>
              <w:pStyle w:val="TableContents"/>
              <w:bidi w:val="0"/>
              <w:spacing w:before="0" w:after="0"/>
              <w:jc w:val="left"/>
              <w:rPr/>
            </w:pPr>
            <w:r>
              <w:rPr/>
              <w:t> </w:t>
            </w:r>
          </w:p>
          <w:tbl>
            <w:tblPr>
              <w:tblW w:w="8536" w:type="dxa"/>
              <w:jc w:val="left"/>
              <w:tblInd w:w="0" w:type="dxa"/>
              <w:tblLayout w:type="fixed"/>
              <w:tblCellMar>
                <w:top w:w="28" w:type="dxa"/>
                <w:left w:w="28" w:type="dxa"/>
                <w:bottom w:w="28" w:type="dxa"/>
                <w:right w:w="28" w:type="dxa"/>
              </w:tblCellMar>
            </w:tblPr>
            <w:tblGrid>
              <w:gridCol w:w="8536"/>
            </w:tblGrid>
            <w:tr>
              <w:trPr/>
              <w:tc>
                <w:tcPr>
                  <w:tcW w:w="8536" w:type="dxa"/>
                  <w:tcBorders/>
                  <w:vAlign w:val="center"/>
                </w:tcPr>
                <w:p>
                  <w:pPr>
                    <w:pStyle w:val="TableContents"/>
                    <w:bidi w:val="0"/>
                    <w:spacing w:before="0" w:after="0"/>
                    <w:jc w:val="left"/>
                    <w:rPr/>
                  </w:pPr>
                  <w:r>
                    <w:rPr/>
                    <w:t>SHANGHAI GEELY ZHAOYUAN INTERNATIONAL INVESTMENT CO., LTD</w:t>
                  </w:r>
                </w:p>
              </w:tc>
            </w:tr>
          </w:tbl>
          <w:p>
            <w:pPr>
              <w:pStyle w:val="TableContents"/>
              <w:bidi w:val="0"/>
              <w:spacing w:before="0" w:after="283"/>
              <w:jc w:val="left"/>
              <w:rPr/>
            </w:pPr>
            <w:r>
              <w:rPr/>
            </w:r>
          </w:p>
        </w:tc>
        <w:tc>
          <w:tcPr>
            <w:tcW w:w="45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Quang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78"/>
        <w:gridCol w:w="4627"/>
      </w:tblGrid>
      <w:tr>
        <w:trPr/>
        <w:tc>
          <w:tcPr>
            <w:tcW w:w="5578" w:type="dxa"/>
            <w:tcBorders/>
            <w:vAlign w:val="center"/>
          </w:tcPr>
          <w:p>
            <w:pPr>
              <w:pStyle w:val="TableContents"/>
              <w:bidi w:val="0"/>
              <w:spacing w:before="0" w:after="0"/>
              <w:jc w:val="left"/>
              <w:rPr/>
            </w:pPr>
            <w:r>
              <w:rPr/>
              <w:t> </w:t>
            </w:r>
          </w:p>
          <w:tbl>
            <w:tblPr>
              <w:tblW w:w="8056" w:type="dxa"/>
              <w:jc w:val="left"/>
              <w:tblInd w:w="0" w:type="dxa"/>
              <w:tblLayout w:type="fixed"/>
              <w:tblCellMar>
                <w:top w:w="28" w:type="dxa"/>
                <w:left w:w="28" w:type="dxa"/>
                <w:bottom w:w="28" w:type="dxa"/>
                <w:right w:w="28" w:type="dxa"/>
              </w:tblCellMar>
            </w:tblPr>
            <w:tblGrid>
              <w:gridCol w:w="8056"/>
            </w:tblGrid>
            <w:tr>
              <w:trPr/>
              <w:tc>
                <w:tcPr>
                  <w:tcW w:w="8056" w:type="dxa"/>
                  <w:tcBorders/>
                  <w:vAlign w:val="center"/>
                </w:tcPr>
                <w:p>
                  <w:pPr>
                    <w:pStyle w:val="TableContents"/>
                    <w:bidi w:val="0"/>
                    <w:spacing w:before="0" w:after="0"/>
                    <w:jc w:val="left"/>
                    <w:rPr/>
                  </w:pPr>
                  <w:r>
                    <w:rPr/>
                    <w:t>BEIJING GEELY WANYUAN INTERNATIONAL INVESTMENT CO., LTD</w:t>
                  </w:r>
                </w:p>
              </w:tc>
            </w:tr>
          </w:tbl>
          <w:p>
            <w:pPr>
              <w:pStyle w:val="TableContents"/>
              <w:bidi w:val="0"/>
              <w:spacing w:before="0" w:after="283"/>
              <w:jc w:val="left"/>
              <w:rPr/>
            </w:pPr>
            <w:r>
              <w:rPr/>
            </w:r>
          </w:p>
        </w:tc>
        <w:tc>
          <w:tcPr>
            <w:tcW w:w="46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74"/>
        <w:gridCol w:w="4631"/>
      </w:tblGrid>
      <w:tr>
        <w:trPr/>
        <w:tc>
          <w:tcPr>
            <w:tcW w:w="5574" w:type="dxa"/>
            <w:tcBorders/>
            <w:vAlign w:val="center"/>
          </w:tcPr>
          <w:p>
            <w:pPr>
              <w:pStyle w:val="TableContents"/>
              <w:bidi w:val="0"/>
              <w:spacing w:before="0" w:after="0"/>
              <w:jc w:val="left"/>
              <w:rPr/>
            </w:pPr>
            <w:r>
              <w:rPr/>
              <w:t> </w:t>
            </w:r>
          </w:p>
          <w:tbl>
            <w:tblPr>
              <w:tblW w:w="8011" w:type="dxa"/>
              <w:jc w:val="left"/>
              <w:tblInd w:w="0" w:type="dxa"/>
              <w:tblLayout w:type="fixed"/>
              <w:tblCellMar>
                <w:top w:w="28" w:type="dxa"/>
                <w:left w:w="28" w:type="dxa"/>
                <w:bottom w:w="28" w:type="dxa"/>
                <w:right w:w="28" w:type="dxa"/>
              </w:tblCellMar>
            </w:tblPr>
            <w:tblGrid>
              <w:gridCol w:w="8011"/>
            </w:tblGrid>
            <w:tr>
              <w:trPr/>
              <w:tc>
                <w:tcPr>
                  <w:tcW w:w="8011" w:type="dxa"/>
                  <w:tcBorders/>
                  <w:vAlign w:val="center"/>
                </w:tcPr>
                <w:p>
                  <w:pPr>
                    <w:pStyle w:val="TableContents"/>
                    <w:bidi w:val="0"/>
                    <w:spacing w:before="0" w:after="0"/>
                    <w:jc w:val="left"/>
                    <w:rPr/>
                  </w:pPr>
                  <w:r>
                    <w:rPr/>
                    <w:t>BEIJING GEELY KAISHENG INTERNATIONAL INVESTMENT CO., LTD</w:t>
                  </w:r>
                </w:p>
              </w:tc>
            </w:tr>
          </w:tbl>
          <w:p>
            <w:pPr>
              <w:pStyle w:val="TableContents"/>
              <w:bidi w:val="0"/>
              <w:spacing w:before="0" w:after="283"/>
              <w:jc w:val="left"/>
              <w:rPr/>
            </w:pPr>
            <w:r>
              <w:rPr/>
            </w:r>
          </w:p>
        </w:tc>
        <w:tc>
          <w:tcPr>
            <w:tcW w:w="46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90"/>
        <w:gridCol w:w="4915"/>
      </w:tblGrid>
      <w:tr>
        <w:trPr/>
        <w:tc>
          <w:tcPr>
            <w:tcW w:w="5290" w:type="dxa"/>
            <w:tcBorders/>
            <w:vAlign w:val="center"/>
          </w:tcPr>
          <w:p>
            <w:pPr>
              <w:pStyle w:val="TableContents"/>
              <w:bidi w:val="0"/>
              <w:spacing w:before="0" w:after="0"/>
              <w:jc w:val="left"/>
              <w:rPr/>
            </w:pPr>
            <w:r>
              <w:rPr/>
              <w:t> </w:t>
            </w:r>
          </w:p>
          <w:tbl>
            <w:tblPr>
              <w:tblW w:w="6646" w:type="dxa"/>
              <w:jc w:val="left"/>
              <w:tblInd w:w="0" w:type="dxa"/>
              <w:tblLayout w:type="fixed"/>
              <w:tblCellMar>
                <w:top w:w="28" w:type="dxa"/>
                <w:left w:w="28" w:type="dxa"/>
                <w:bottom w:w="28" w:type="dxa"/>
                <w:right w:w="28" w:type="dxa"/>
              </w:tblCellMar>
            </w:tblPr>
            <w:tblGrid>
              <w:gridCol w:w="6646"/>
            </w:tblGrid>
            <w:tr>
              <w:trPr/>
              <w:tc>
                <w:tcPr>
                  <w:tcW w:w="6646" w:type="dxa"/>
                  <w:tcBorders/>
                  <w:vAlign w:val="center"/>
                </w:tcPr>
                <w:p>
                  <w:pPr>
                    <w:pStyle w:val="TableContents"/>
                    <w:bidi w:val="0"/>
                    <w:spacing w:before="0" w:after="0"/>
                    <w:jc w:val="left"/>
                    <w:rPr/>
                  </w:pPr>
                  <w:r>
                    <w:rPr/>
                    <w:t>ZHEJIANG GEELY HOLDING GROUP COMPANY LIMITED</w:t>
                  </w:r>
                </w:p>
              </w:tc>
            </w:tr>
          </w:tbl>
          <w:p>
            <w:pPr>
              <w:pStyle w:val="TableContents"/>
              <w:bidi w:val="0"/>
              <w:spacing w:before="0" w:after="283"/>
              <w:jc w:val="left"/>
              <w:rPr/>
            </w:pPr>
            <w:r>
              <w:rPr/>
            </w:r>
          </w:p>
        </w:tc>
        <w:tc>
          <w:tcPr>
            <w:tcW w:w="49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Conghui An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Conghui An, Legal Representative &amp; Director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4"/>
        <w:gridCol w:w="4941"/>
      </w:tblGrid>
      <w:tr>
        <w:trPr/>
        <w:tc>
          <w:tcPr>
            <w:tcW w:w="5264" w:type="dxa"/>
            <w:tcBorders/>
            <w:vAlign w:val="center"/>
          </w:tcPr>
          <w:p>
            <w:pPr>
              <w:pStyle w:val="TableContents"/>
              <w:bidi w:val="0"/>
              <w:spacing w:before="0" w:after="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0"/>
                    <w:jc w:val="left"/>
                    <w:rPr/>
                  </w:pPr>
                  <w:r>
                    <w:rPr/>
                    <w:t>GEELY SWEDEN AUTOMOTIVE INVESTMENT B.V.</w:t>
                  </w:r>
                </w:p>
              </w:tc>
            </w:tr>
          </w:tbl>
          <w:p>
            <w:pPr>
              <w:pStyle w:val="TableContents"/>
              <w:bidi w:val="0"/>
              <w:spacing w:before="0" w:after="283"/>
              <w:jc w:val="left"/>
              <w:rPr/>
            </w:pPr>
            <w:r>
              <w:rPr/>
            </w:r>
          </w:p>
        </w:tc>
        <w:tc>
          <w:tcPr>
            <w:tcW w:w="49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Per Ansgar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Per Ansgar,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58" w:name="tm2619647d1_ex8.htm"/>
      <w:bookmarkStart w:id="59" w:name="kstm2619647d1_ex8"/>
      <w:bookmarkEnd w:id="58"/>
      <w:bookmarkEnd w:id="59"/>
      <w:r>
        <w:rPr/>
        <w:t> </w:t>
      </w:r>
      <w:r>
        <w:br w:type="page"/>
      </w:r>
    </w:p>
    <w:p>
      <w:pPr>
        <w:pStyle w:val="TextBody"/>
        <w:bidi w:val="0"/>
        <w:jc w:val="right"/>
        <w:rPr>
          <w:b/>
        </w:rPr>
      </w:pPr>
      <w:r>
        <w:rPr>
          <w:b/>
        </w:rPr>
        <w:t>Exhibit 8</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June 30, 2026, by and between Polestar Automotive Holding UK PLC, a public limited company organized under the laws of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Geely Sweden Automotive Investment B.V., a private company incorporated under Dutch law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xml:space="preserve">”). The Holder and any person or entity who hereafter becomes a party to this Agreement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this Agreement are each referred to herein as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December 19, 2025, the Company entered into a Conversion Agreement (along with any subsequent amendments, the “</w:t>
      </w:r>
      <w:r>
        <w:rPr>
          <w:rFonts w:ascii="Times New Roman;Times;Serif" w:hAnsi="Times New Roman;Times;Serif"/>
          <w:b w:val="false"/>
          <w:i w:val="false"/>
          <w:caps w:val="false"/>
          <w:smallCaps w:val="false"/>
          <w:sz w:val="20"/>
          <w:u w:val="single"/>
        </w:rPr>
        <w:t>Conversion Agreement</w:t>
      </w:r>
      <w:r>
        <w:rPr>
          <w:rFonts w:ascii="Times New Roman;Times;Serif" w:hAnsi="Times New Roman;Times;Serif"/>
          <w:b w:val="false"/>
          <w:i w:val="false"/>
          <w:caps w:val="false"/>
          <w:smallCaps w:val="false"/>
          <w:sz w:val="20"/>
        </w:rPr>
        <w:t>”) with Geely Sweden Automotive Investment AB (“</w:t>
      </w:r>
      <w:r>
        <w:rPr>
          <w:rFonts w:ascii="Times New Roman;Times;Serif" w:hAnsi="Times New Roman;Times;Serif"/>
          <w:b w:val="false"/>
          <w:i w:val="false"/>
          <w:caps w:val="false"/>
          <w:smallCaps w:val="false"/>
          <w:sz w:val="20"/>
          <w:u w:val="single"/>
        </w:rPr>
        <w:t>Geely Sweden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Joinder Agreement dated June 29, 2026, Geely Sweden transferred and assigned its rights and obligations under the Conversion Agreement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the Conversion Agreement, the Holder converted a portion of the approximately $300 million outstanding under the Term Facility Agreement, dated November 8, 2023 into 15,511,892 shares of class A American depositary shares (“</w:t>
      </w:r>
      <w:r>
        <w:rPr>
          <w:rFonts w:ascii="Times New Roman;Times;Serif" w:hAnsi="Times New Roman;Times;Serif"/>
          <w:b w:val="false"/>
          <w:i w:val="false"/>
          <w:caps w:val="false"/>
          <w:smallCaps w:val="false"/>
          <w:sz w:val="20"/>
          <w:u w:val="single"/>
        </w:rPr>
        <w:t>Class A ADSs</w:t>
      </w:r>
      <w:r>
        <w:rPr>
          <w:rFonts w:ascii="Times New Roman;Times;Serif" w:hAnsi="Times New Roman;Times;Serif"/>
          <w:b w:val="false"/>
          <w:i w:val="false"/>
          <w:caps w:val="false"/>
          <w:smallCaps w:val="false"/>
          <w:sz w:val="20"/>
        </w:rPr>
        <w:t>”) of the Company in restricted form, each Class A ADS representing 30 class A ordinary shares of $0.01 each in the capital of the Company (each, a “</w:t>
      </w:r>
      <w:r>
        <w:rPr>
          <w:rFonts w:ascii="Times New Roman;Times;Serif" w:hAnsi="Times New Roman;Times;Serif"/>
          <w:b w:val="false"/>
          <w:i w:val="false"/>
          <w:caps w:val="false"/>
          <w:smallCaps w:val="false"/>
          <w:sz w:val="20"/>
          <w:u w:val="single"/>
        </w:rPr>
        <w:t>Class A Ordinary Share</w:t>
      </w:r>
      <w:r>
        <w:rPr>
          <w:rFonts w:ascii="Times New Roman;Times;Serif" w:hAnsi="Times New Roman;Times;Serif"/>
          <w:b w:val="false"/>
          <w:i w:val="false"/>
          <w:caps w:val="false"/>
          <w:smallCaps w:val="false"/>
          <w:sz w:val="20"/>
        </w:rPr>
        <w:t>”), as more fully described in the Conversion Agreement (the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Conversion Agreement, the Company has agreed to provide the Holder with certain registration rights under the U.S. Securities Act of 1933, as amended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promises herein made, and in consideration of the representations, warranties and covenants herein contained, the receipt and sufficiency of which the parties hereto hereby acknowledge,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in this Agreement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Disclosure</w:t>
      </w:r>
      <w:r>
        <w:rPr>
          <w:rFonts w:ascii="Times New Roman;Times;Serif" w:hAnsi="Times New Roman;Times;Serif"/>
          <w:b w:val="false"/>
          <w:i w:val="false"/>
          <w:caps w:val="false"/>
          <w:smallCaps w:val="false"/>
          <w:sz w:val="20"/>
        </w:rPr>
        <w:t>” means any public disclosure of material non-public information (including information with respect to a potential financing, acquisition, disposition, merger, reorganization or similar transaction), which disclosure, in the good faith judgment of the Board or Chief Executive Officer or Chief Financial Officer of the Company, after consultation with counsel to the Company, (a) would be required to be made in any Registration Statement or Prospectus in order for the applicable Registration Statement or Prospectus not to contain any Misstatement, (b) would not be required to be made at such time if the Registration Statement were not being filed, declared effective or used, as the case may be, and (c) the Company has a bona fide business purpose for not making such information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 Trade</w:t>
      </w:r>
      <w:r>
        <w:rPr>
          <w:rFonts w:ascii="Times New Roman;Times;Serif" w:hAnsi="Times New Roman;Times;Serif"/>
          <w:b w:val="false"/>
          <w:i w:val="false"/>
          <w:caps w:val="false"/>
          <w:smallCaps w:val="false"/>
          <w:sz w:val="20"/>
        </w:rPr>
        <w:t>” means an offering or sale of Registrable Securities by any Holder on an underwritten basis (whether firm commitment or otherwise) without substantial marketing efforts prior to pricing and is commonly known as a “block trade,” including a same-day trade, overnight trade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a Saturday or Sunday or (b) any other day on which banks located in (i) New York, New York, United States of America, (ii) Hong Kong, China, (iii) Singapore, (iv) Stockholm, Sweden or (v) London, United Kingdom are required or authorized by law to be closed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ADS</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 Guidance</w:t>
      </w:r>
      <w:r>
        <w:rPr>
          <w:rFonts w:ascii="Times New Roman;Times;Serif" w:hAnsi="Times New Roman;Times;Serif"/>
          <w:b w:val="false"/>
          <w:i w:val="false"/>
          <w:caps w:val="false"/>
          <w:smallCaps w:val="false"/>
          <w:sz w:val="20"/>
        </w:rPr>
        <w:t>” means (a) any publicly-available written or oral guidance of the Commission staff, or any comments, requirements or requests of the Commission staff and (b)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Shelf Take Down Notice</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Agreement</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xml:space="preserve">” means, as applicable, (a) the applicable Holders making a written demand for the Registration of Registrable Securities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or (b) the applicable Holders making a written demand for a Shelf Underwritten Offering of Registrable Securities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June 23, 2022, by and among the Company, Depositary and the Holders and beneficial owners of the Company’s American depositary shares issued thereunder,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 Bank</w:t>
      </w:r>
      <w:r>
        <w:rPr>
          <w:rFonts w:ascii="Times New Roman;Times;Serif" w:hAnsi="Times New Roman;Times;Serif"/>
          <w:b w:val="false"/>
          <w:i w:val="false"/>
          <w:caps w:val="false"/>
          <w:smallCaps w:val="false"/>
          <w:sz w:val="20"/>
        </w:rPr>
        <w:t>” means Citibank, N.A., as the depositary pursuant to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Exempted Registration Statement</w:t>
      </w:r>
      <w:r>
        <w:rPr>
          <w:rFonts w:ascii="Times New Roman;Times;Serif" w:hAnsi="Times New Roman;Times;Serif"/>
          <w:b w:val="false"/>
          <w:i w:val="false"/>
          <w:caps w:val="false"/>
          <w:smallCaps w:val="false"/>
          <w:sz w:val="20"/>
        </w:rPr>
        <w:t xml:space="preserve">” means a Registration Statement (a) filed in connection with any employee stock option or other benefit plan, including a Registration Statement on Form S-8 (or similar successor form), (b) for an exchange offer or offering of securities solely to the Company’s existing shareholders, (c) filed on a Registration Statement on Form S-4 or Form F-4 (or similar successor forms), (d) for an offering of debt that is convertible into equity securities of the Company, (e) for a dividend reinvestment plan, or (f) filed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F-1 Shelf</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F-3 Shelf</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Geely Sweden</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Number of Securities</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Amount</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Misstatement</w:t>
      </w:r>
      <w:r>
        <w:rPr>
          <w:rFonts w:ascii="Times New Roman;Times;Serif" w:hAnsi="Times New Roman;Times;Serif"/>
          <w:b w:val="false"/>
          <w:i w:val="false"/>
          <w:caps w:val="false"/>
          <w:smallCaps w:val="false"/>
          <w:sz w:val="20"/>
        </w:rPr>
        <w:t>” means an untrue statement of a material fact or an omission to state a material fact required to be stated therein, or necessary to make the statements therein (in the case of any Prospectus and any preliminary Prospectus,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Class A Ordinary Shares represented by Class A ADSs issued at the closing of the Conversion pursuant to the Conversion Agreement to the Holder and that have been deposited with the Depositary Bank in accordance with the Deposit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Class A Ordinary Shares issued or issuable with respect to the securities referred to in the foregoing clause (a) by way of a stock dividend or stock split or in connection with a combination of shares, recapitalization, merger, consolidation or other reorganization or otherwise to be represented by Class A ADSs issued in accordance with the Deposit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Class A ADSs representing Class A Ordinary Shares described in the foregoing clauses (a) and (b)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the Class A Ordinary Shares and Class A ADSs described in foregoing clauses (a), (b) and (c) shall have been otherwise transferred, new certificates for such securities not bearing (or book entry positions not subject to)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means the out-of-pocket expenses of a Registration,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and filing fees (including fees with respect to filings required to be made with the U.S. Financial Industry Regulatory Authority, Inc.) and any securities exchange on which the Registrable Securities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fees and disbursements of counsel for the Underwriters in connection with “blue sky” qualifications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delivery and reasonable road show or other reasonable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reasonable fees and disbursements of all independent registered public accountants of the Company incurred specifically in connection with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reasonable fees and expenses of one (1) legal counsel selected by either (i) the majority-in-interest of the Demanding Holders (and any local or foreign counsel) initiating a Demand Registration or Shelf Underwritten Offering (including a Block Trade), or (ii) of a majority-in-interest of participating Holders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if the Registration was initiated by the Company for its own account or that of a Company stockholder other than pursuant to rights under this Agreement, in each case to be registered for offer and sale in the applicable Registration;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Depositary issuance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The term Registration Statement shall include any registration statement on Form F-6, or any successor form, necessary to register Class A ADSs representing Class A Ordinary Shares issued in accordance with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Removed Securities</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Holder</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has the meaning given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Take Down Notice</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Underwritten Offering</w:t>
      </w:r>
      <w:r>
        <w:rPr>
          <w:rFonts w:ascii="Times New Roman;Times;Serif" w:hAnsi="Times New Roman;Times;Serif"/>
          <w:b w:val="false"/>
          <w:i w:val="false"/>
          <w:caps w:val="false"/>
          <w:smallCaps w:val="false"/>
          <w:sz w:val="20"/>
        </w:rPr>
        <w:t xml:space="preserve">” has the meaning given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means a securities dealer who purchases any Registrable Securities as principal in an Underwritten Offering and not as part of such dealer’s market-making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means a Registration in which securities of the Company are sold to an Underwriter in a firm commitment underwriting for distribution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REGISTRATIONS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as soon as practicable, but in any event no later than ninety (90) calendar days after the date hereof, file a Registration Statement under the Securities Act to permit the public resale by the Holders of all the Registrable Securities held by the Holders from time to time as permitted by Rule 415 under the Securities Act (or any successor or similar provision adopted by the Commission then in effect) on the terms and conditions specified in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and shall use its commercially reasonable efforts to cause such Registration Statement to be declared effective as soon as practicable after the filing thereof, but in no event later than ninety (90) calendar days following the filing deadline (the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Effectiveness Deadline shall be extended to one hundred and twenty (120) calendar days after the filing deadline if the Registration Statement is reviewed by, and receives comments from, the Commission. The Registration Statement filed with the Commission pursuant to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shall be on a shelf Registration Statement on Form F-3 (“</w:t>
      </w:r>
      <w:r>
        <w:rPr>
          <w:rFonts w:ascii="Times New Roman;Times;Serif" w:hAnsi="Times New Roman;Times;Serif"/>
          <w:b w:val="false"/>
          <w:i w:val="false"/>
          <w:caps w:val="false"/>
          <w:smallCaps w:val="false"/>
          <w:sz w:val="20"/>
          <w:u w:val="single"/>
        </w:rPr>
        <w:t>Form F-3 Shelf</w:t>
      </w:r>
      <w:r>
        <w:rPr>
          <w:rFonts w:ascii="Times New Roman;Times;Serif" w:hAnsi="Times New Roman;Times;Serif"/>
          <w:b w:val="false"/>
          <w:i w:val="false"/>
          <w:caps w:val="false"/>
          <w:smallCaps w:val="false"/>
          <w:sz w:val="20"/>
        </w:rPr>
        <w:t>”) or Form F-1 (“</w:t>
      </w:r>
      <w:r>
        <w:rPr>
          <w:rFonts w:ascii="Times New Roman;Times;Serif" w:hAnsi="Times New Roman;Times;Serif"/>
          <w:b w:val="false"/>
          <w:i w:val="false"/>
          <w:caps w:val="false"/>
          <w:smallCaps w:val="false"/>
          <w:sz w:val="20"/>
          <w:u w:val="single"/>
        </w:rPr>
        <w:t>Form F-1 Shelf</w:t>
      </w:r>
      <w:r>
        <w:rPr>
          <w:rFonts w:ascii="Times New Roman;Times;Serif" w:hAnsi="Times New Roman;Times;Serif"/>
          <w:b w:val="false"/>
          <w:i w:val="false"/>
          <w:caps w:val="false"/>
          <w:smallCaps w:val="false"/>
          <w:sz w:val="20"/>
        </w:rPr>
        <w:t xml:space="preserve">”), as applicable,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shall provide for the resale pursuant to any method or combination of methods legally available to, and requested by, the Holders. The Company shall use its commercially reasonable efforts to cause a Registration Statement filed pursuant to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When effective, a Registration Statement filed pursuant to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limitations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at any time and from time to time following the effectiveness of the shelf Registration Statement required by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a majority in interest of the then-outstanding number of Registrable Securities held by the Holders (the “</w:t>
      </w:r>
      <w:r>
        <w:rPr>
          <w:rFonts w:ascii="Times New Roman;Times;Serif" w:hAnsi="Times New Roman;Times;Serif"/>
          <w:b w:val="false"/>
          <w:i w:val="false"/>
          <w:caps w:val="false"/>
          <w:smallCaps w:val="false"/>
          <w:sz w:val="20"/>
          <w:u w:val="single"/>
        </w:rPr>
        <w:t>Demanding Holders</w:t>
      </w:r>
      <w:r>
        <w:rPr>
          <w:rFonts w:ascii="Times New Roman;Times;Serif" w:hAnsi="Times New Roman;Times;Serif"/>
          <w:b w:val="false"/>
          <w:i w:val="false"/>
          <w:caps w:val="false"/>
          <w:smallCaps w:val="false"/>
          <w:sz w:val="20"/>
        </w:rPr>
        <w:t>”) may request to sell all or a portion of their Registrable Securities in an underwritten offering that is registered pursuant to such shelf Registration Statement, including a Block Trade (a “</w:t>
      </w:r>
      <w:r>
        <w:rPr>
          <w:rFonts w:ascii="Times New Roman;Times;Serif" w:hAnsi="Times New Roman;Times;Serif"/>
          <w:b w:val="false"/>
          <w:i w:val="false"/>
          <w:caps w:val="false"/>
          <w:smallCaps w:val="false"/>
          <w:sz w:val="20"/>
          <w:u w:val="single"/>
        </w:rPr>
        <w:t>Shelf Underwritten Offering</w:t>
      </w:r>
      <w:r>
        <w:rPr>
          <w:rFonts w:ascii="Times New Roman;Times;Serif" w:hAnsi="Times New Roman;Times;Serif"/>
          <w:b w:val="false"/>
          <w:i w:val="false"/>
          <w:caps w:val="false"/>
          <w:smallCaps w:val="false"/>
          <w:sz w:val="20"/>
        </w:rPr>
        <w:t>”) provided that the Demanding Holders (i) reasonably expect to sell Registrable Securities yielding aggregate gross proceeds in excess of $50,000,000 from such Shelf Underwritten Offering or (ii) reasonably expect to sell all of the Registrable Securities held by such Holders in such Shelf Underwritten Offering (the amount of Registrable Securities pursuant to the foregoing clause (i) or (ii), as applicable, the “</w:t>
      </w:r>
      <w:r>
        <w:rPr>
          <w:rFonts w:ascii="Times New Roman;Times;Serif" w:hAnsi="Times New Roman;Times;Serif"/>
          <w:b w:val="false"/>
          <w:i w:val="false"/>
          <w:caps w:val="false"/>
          <w:smallCaps w:val="false"/>
          <w:sz w:val="20"/>
          <w:u w:val="single"/>
        </w:rPr>
        <w:t>Minimum Amount</w:t>
      </w:r>
      <w:r>
        <w:rPr>
          <w:rFonts w:ascii="Times New Roman;Times;Serif" w:hAnsi="Times New Roman;Times;Serif"/>
          <w:b w:val="false"/>
          <w:i w:val="false"/>
          <w:caps w:val="false"/>
          <w:smallCaps w:val="false"/>
          <w:sz w:val="20"/>
        </w:rPr>
        <w:t>”). All requests for a Shelf Underwritten Offering shall be made by giving written notice to the Company (the “</w:t>
      </w:r>
      <w:r>
        <w:rPr>
          <w:rFonts w:ascii="Times New Roman;Times;Serif" w:hAnsi="Times New Roman;Times;Serif"/>
          <w:b w:val="false"/>
          <w:i w:val="false"/>
          <w:caps w:val="false"/>
          <w:smallCaps w:val="false"/>
          <w:sz w:val="20"/>
          <w:u w:val="single"/>
        </w:rPr>
        <w:t>Shelf Take Down Notice</w:t>
      </w:r>
      <w:r>
        <w:rPr>
          <w:rFonts w:ascii="Times New Roman;Times;Serif" w:hAnsi="Times New Roman;Times;Serif"/>
          <w:b w:val="false"/>
          <w:i w:val="false"/>
          <w:caps w:val="false"/>
          <w:smallCaps w:val="false"/>
          <w:sz w:val="20"/>
        </w:rPr>
        <w:t>”). Each Shelf Take Down Notice shall specify the approximate number of Registrable Securities proposed to be sold in the Shelf Underwritten Offering and the expected price range (net of underwriting discounts and commissions) of such Shelf Underwritten Offering. Within five (5) Business Days after receipt of any Shelf Take Down Notice, the Company shall give written notice of such requested Shelf Underwritten Offering to all other Holders of Registrable Securities (the “</w:t>
      </w:r>
      <w:r>
        <w:rPr>
          <w:rFonts w:ascii="Times New Roman;Times;Serif" w:hAnsi="Times New Roman;Times;Serif"/>
          <w:b w:val="false"/>
          <w:i w:val="false"/>
          <w:caps w:val="false"/>
          <w:smallCaps w:val="false"/>
          <w:sz w:val="20"/>
          <w:u w:val="single"/>
        </w:rPr>
        <w:t>Company Shelf Take Down Notice</w:t>
      </w:r>
      <w:r>
        <w:rPr>
          <w:rFonts w:ascii="Times New Roman;Times;Serif" w:hAnsi="Times New Roman;Times;Serif"/>
          <w:b w:val="false"/>
          <w:i w:val="false"/>
          <w:caps w:val="false"/>
          <w:smallCaps w:val="false"/>
          <w:sz w:val="20"/>
        </w:rPr>
        <w:t xml:space="preserve">”) and, subject to the provisions of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shall include in such Shelf Underwritten Offering all Registrable Securities with respect to which the Company has received written requests for inclusion therein, within five (5) Business Days after sending the Company Shelf Take Down Notice, or, in the case of a Block Trade,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The Company shall enter into an underwriting agreement in a form as is customary in Underwritten Offerings of securities by the Company with the managing Underwriter or Underwriters selected by the Holders and reasonably acceptable to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the underwriting agreement into which each Holder and the Company shall enter shall contain such representations, covenants, indemnities and other rights and obligations as are customary in underwritten offerings of securities by the Company. Any Shelf Underwritten Offering effected pursuant to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shall be counted as a Registration for purposes of the limit on the number of Registrations that can be effected under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Demand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at any time and from time to time on or after the closing of the Conversion, each of the Demanding Holders may make a written demand for Registration of all or part of their Registrable Securities on (i) Form F-3 or (ii) if not eligible to use Form F-3, Form F-1, which in the case of either clause (i) or (ii), may be a shelf Registration Statement filed pursuant to Rule 415 under the Securities Act, which written demand shall describe the amount and type of securities to be included in such Registration and the intended method(s) of distribution thereof (such written demand a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The Company shall, promptly following the Company’s receipt of a Demand Registration (and, in any event, within twenty (20) days of its receipt of such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Times;Serif" w:hAnsi="Times New Roman;Times;Serif"/>
          <w:b w:val="false"/>
          <w:i w:val="false"/>
          <w:caps w:val="false"/>
          <w:smallCaps w:val="false"/>
          <w:sz w:val="20"/>
          <w:u w:val="single"/>
        </w:rPr>
        <w:t>Requesting Holder</w:t>
      </w:r>
      <w:r>
        <w:rPr>
          <w:rFonts w:ascii="Times New Roman;Times;Serif" w:hAnsi="Times New Roman;Times;Serif"/>
          <w:b w:val="false"/>
          <w:i w:val="false"/>
          <w:caps w:val="false"/>
          <w:smallCaps w:val="false"/>
          <w:sz w:val="20"/>
        </w:rPr>
        <w:t xml:space="preserve">”) shall so notify the Company, in writing, within ten (10) days after the receipt by the Holder of the notice from the Company. For the avoidance of doubt, to the extent a Requesting Holder also separately possesses Demand Registration rights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but is not the Holder who exercises such Demand Registration rights, the exercise by such Requesting Holder of its rights pursuant to the foregoing sentence shall not count as the exercise by it of one of its Demand Registration rights. Upon receipt by the Company of any such written notification from a Requesting Holder(s) to the Company, subject to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provisions of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ten (10) days after the removal, rescission or other termination of such stop order or injunction, of such election;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Company shall not be obligated or required to file another Registration Statement until the Registration Statement that has been previously filed with respect to a Registration pursuant to a Demand Registration by the same Demand Holder becomes effective or is subsequently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provisions of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shall enter into an underwriting agreement in customary form with the Company and the Underwriter or Underwriters, as applicable, selected for such Underwritten Offering by the majority-in-interest of the Demanding Holders initiating the Demand Registration, which Underwriter or Underwriters, as applicable, shall be reasonably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Registrable Securities or other equity securities that the Company desires to sell for its own account and the Registrable Securities,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val="false"/>
          <w:i w:val="false"/>
          <w:caps w:val="false"/>
          <w:smallCaps w:val="false"/>
          <w:sz w:val="20"/>
          <w:u w:val="single"/>
        </w:rPr>
        <w:t>Maximum Number of Securities</w:t>
      </w:r>
      <w:r>
        <w:rPr>
          <w:rFonts w:ascii="Times New Roman;Times;Serif" w:hAnsi="Times New Roman;Times;Serif"/>
          <w:b w:val="false"/>
          <w:i w:val="false"/>
          <w:caps w:val="false"/>
          <w:smallCaps w:val="false"/>
          <w:sz w:val="20"/>
        </w:rPr>
        <w:t>”), then the Company shall include in such Underwritten Offering, as follows: (i) first, the Registrable Securities of the Demanding Holders and the Requesting Holders (if any) (pro rata based on the total amount of Registrable Securities held by each such Demanding Holder and Requesting Holder (if any) (such proportion is referred to herein as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that can be sold without exceeding the Maximum Number of Securities; (ii) second, to the extent that the Maximum Number of Securities has not been reached under the foregoing clause (i), the Registrable Securities or other equity securities that the Company desires to sell for its own account, which can be sold without exceeding the Maximum Number of Securities; and (iii) third, to the extent that the Maximum Number of Securities has not been reached under the foregoing clauses (i) and (ii), the Registrable Securities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Withdrawal of Securities</w:t>
      </w:r>
      <w:r>
        <w:rPr>
          <w:rFonts w:ascii="Times New Roman;Times;Serif" w:hAnsi="Times New Roman;Times;Serif"/>
          <w:b w:val="false"/>
          <w:i w:val="false"/>
          <w:caps w:val="false"/>
          <w:smallCaps w:val="false"/>
          <w:sz w:val="20"/>
        </w:rPr>
        <w:t xml:space="preserve">. A Demanding Holder or a Requesting Holder shall have the right to withdraw all or a portion of its Registrable Securities included in a Demand Registration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or a Shelf Underwritten Offering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for any or no reason whatsoever upon written notification to the Company and the Underwriter or Underwriters (if any) of its intention to so withdraw at any time prior to (i) in the case of a Demand Registration not involving an Underwritten Offering, the effectiveness of the applicable Registration Statement or (ii)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or a Shelf Underwritten Offering prior to and including its withdrawal under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other than an Exempted Registration Statement, then the Company shall give written notice of such proposed filing to all of the Holders of Registrable Securities as soon as practicable but not less than ten (10) days (or, in the case of a Block Trade, five (5) Business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such Holders’ rights under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(iii) offer to all of the Holders of Registrable Securities the opportunity to register the sale of such number of Registrable Securities as such Holders may request in writing within five (5) days after receipt of such written notice (or in the case of a Block Trade, within two (2) Business Days) (such Registration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The Company shall, in good faith, cause such Registrable Securities identified in a Holder’s response notice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to be included in a Piggyback Registration on the same terms and conditions as any similar securities of the Company or Company stockholder or stockholders, applicable,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enter into an underwriting agreement in customary form with the Underwriter(s) selected for such Underwritten Offering by the Company or Company stockholder or stockholders, as applicable, for whose account the Registration Statement is to be filed. For purposes of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 filing by the Company of an automatic shelf Registration Statement for offerings pursuant to Rule 415(a) that omits information with respect to any specific offering pursuant to Rule 430B shall not trigger any notification or participation rights hereunder until such time as the Company amends or supplements such Registration Statement to include information with respect to a specific offering of Securities (and such amendment or supplement shall trigger the notice and participation rights provided for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Piggyback Registration is to be an Underwritten Offering and the managing Underwriter or Underwriters, in good faith, advises the Company and the Holders of Registrable Securities participating in the Piggyback Registration in writing that, in its opinion, the dollar amount or number of the Registrable Securities that the Company desires to sell, taken together with (x) the Registrable Securities, if any, as to which Registration has been demanded pursuant to separate written contractual arrangements with persons or entities other than the Holders of Registrable Securities hereunder, (y) the Registrable Securities as to which registration has been requested pursuant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and (z) the Registrable Securities, if any, as to which Registration has been requested pursuant to separate written contractual piggyback registration rights of other stockholders of the Company, exceeds the Maximum Number of Securities,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Registration is undertaken for the Company’s account, the Company shall include in any such Registration (1) first, the Registrable Securities or other equity securities that the Company desires to sell for its own account,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Pro Rata, which can be sold without exceeding the Maximum Number of Securities and (3) third, to the extent that the Maximum Number of Securities has not been reached under the foregoing clauses (1) and (2), the Registrable Securities, if any, as to which Registration has been requested pursuant to written contractual piggyback registration rights of other stockholders of the Company, which can be sold without exceeding the Maximum Number of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Registration is pursuant to a request by persons or entities other than the Holders of Registrable Securities, then the Company shall include in any such Registration (1) first, the Registrable Securities or other equity securities, if any, of such requesting persons or entities, other than the Holders of Registrable Securities,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Pro Rata, which can be sold without exceeding the Maximum Number of Securities, (3) third, to the extent that the Maximum Number of Securities has not been reached under the foregoing clauses (1) and (2), the Registrable Securities or other equity securities that the Company desires to sell for its own account, which can be sold without exceeding the Maximum Number of Securities and (4) fourth, to the extent that the Maximum Number of Securities has not been reached under the foregoing clauses (1), (2) and (3), the Registrable Securities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prior to (i) in the case of a Piggyback Registration not involving an Underwritten Offering or Shelf Underwritten Offering, the effectiveness of the applicable Registration Statement or (ii), in the case of any Piggyback Registration involving an Underwritten Offering or any Shelf Underwritten Offering, prior to the pricing of such Underwritten Offering or Shelf Underwritten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and including its withdrawal under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clarity, any Registration effected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not be counted as a Registration pursuant to a Demand Registration effected under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a Shelf Underwritten Offering effected under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i w:val="false"/>
          <w:caps w:val="false"/>
          <w:smallCaps w:val="false"/>
          <w:sz w:val="20"/>
          <w:u w:val="single"/>
        </w:rPr>
        <w:t>Block Trades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if the Holders desire to effect a Block Trade, then notwithstanding any other time periods in this Article II, the Holders shall provide written notice to the Company at least five (5) Business Days prior to the date such Block Trade will commence. As expeditiously as possible, the Company shall use its commercially reasonable efforts to facilitate such Block Trade. The Holders shall use reasonable best efforts to work with the Company and the Underwriters (including by disclosing the maximum number of Registrable Securities proposed to be the subject of such Block Trade) in order to facilitate preparation of the Registration Statement, Prospectus and other offering documentation related to the Block Trade and any related due diligence and comfort procedures. In the event of a Block Trade, and after consultation with the Company, the Demanding Holders and the Requesting Holders (if any) shall determine the Maximum Number of Securities, the underwriter or underwriters and share price of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2.6 </w:t>
      </w:r>
      <w:r>
        <w:rPr>
          <w:rFonts w:ascii="Times New Roman;Times;Serif" w:hAnsi="Times New Roman;Times;Serif"/>
          <w:b/>
          <w:i w:val="false"/>
          <w:caps w:val="false"/>
          <w:smallCaps w:val="false"/>
          <w:sz w:val="20"/>
          <w:u w:val="single"/>
        </w:rPr>
        <w:t>Rule 415; Removal</w:t>
      </w:r>
      <w:r>
        <w:rPr>
          <w:rFonts w:ascii="Times New Roman;Times;Serif" w:hAnsi="Times New Roman;Times;Serif"/>
          <w:b w:val="false"/>
          <w:i w:val="false"/>
          <w:caps w:val="false"/>
          <w:smallCaps w:val="false"/>
          <w:sz w:val="20"/>
        </w:rPr>
        <w:t xml:space="preserve">. If at any time, the Commission takes the position that the offering of some or all of the Registrable Securities in a Registration Statement on Form F-3 filed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is not eligible to be made on a delayed or continuous basis under the provisions of Rule 415 under the Securities Act (provided, however, the Company shall be obligated to use diligent efforts to advocate with the Commission for the registration of all of the Registrable Securities in accordance with the Commission Guidance, including Compliance and Disclosure Interpretation 612.09) or requires a Holder to be named as an “underwriter,” the Company shall (a) promptly notify each Holder of Registrable Securities thereof (or in the case of the Commission requiring a Holder to be named as an “underwriter,” the Holder) and (b) use commercially reasonable efforts to persuade the Commission that the offering contemplated by such Registration Statement is a valid secondary offering and not an offering “by or on behalf of the issuer” as defined in Rule 415 and that none of the Holders is an “underwriter.” The Holders shall have the right to select one legal counsel designated by the holders of a majority of the Registrable Securities subject to such Registration Statement to review and oversee any registration or matters pursuant to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including participation in any meetings or discussions with the Commission regarding the Commission’s position and to comment on any written submission made to the Commission with respect thereto. No such written submission with respect to this matter shall be made to the Commission to which the applicable Holders’ counsel reasonably objects. In the event that, despite the Company’s commercially reasonable efforts and compliance with the terms of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the Commission refuses to alter its position, the Company shall (a) remove from such Registration Statement such portion of the Registrable Securities (the “</w:t>
      </w:r>
      <w:r>
        <w:rPr>
          <w:rFonts w:ascii="Times New Roman;Times;Serif" w:hAnsi="Times New Roman;Times;Serif"/>
          <w:b w:val="false"/>
          <w:i w:val="false"/>
          <w:caps w:val="false"/>
          <w:smallCaps w:val="false"/>
          <w:sz w:val="20"/>
          <w:u w:val="single"/>
        </w:rPr>
        <w:t>Removed Securities</w:t>
      </w:r>
      <w:r>
        <w:rPr>
          <w:rFonts w:ascii="Times New Roman;Times;Serif" w:hAnsi="Times New Roman;Times;Serif"/>
          <w:b w:val="false"/>
          <w:i w:val="false"/>
          <w:caps w:val="false"/>
          <w:smallCaps w:val="false"/>
          <w:sz w:val="20"/>
        </w:rPr>
        <w:t xml:space="preserve">”) or (b) agree to such restrictions and limitations on the registration and resale of the Registrable Securities as the Commission may require to assure the Company’s compliance with the requirements of Rule 415;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agree to name any Holder as an “underwriter” in such Registration Statement without the prior written consent of such Holder. In the event of a share removal pursuant to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the Company shall give the applicable Holders at least five (5) days prior written notice along with the calculations as to such Holder’s allotment. Subject to the Company’s obligations under the Conversion Agreement, any removal of Class A Ordinary Shares represented by Class A ADSs of the Holders pursuant to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first be applied to Holders other than the Holders with securities registered for resale under the applicable Registration Statement and thereafter allocated between the Holders on a Pro Rata basis based on the aggregate amount of Registrable Securities held by the Holders. In the event of a share removal of the Holders pursuant to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the Company shall promptly register the resale of any Removed Securities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In the case of a Form F-1 Shelf filed to register the resale of Removed Securities, upon such date as the Company becomes eligible to register all of the Removed Securities for resale on a Form F-3 Shelf pursuant to the Commission Guidance and, if applicable, without a requirement that any of the Holders be named as an “underwriter” therein, the Company shall use its commercially reasonable efforts to file a Form F-3 Shelf as promptly as practicable to replace the applicable Form F-1 Shelf and have the Form F-3 Shelf declared effective as promptly as practicable and to cause such Form F-3 Shelf to remain effective, and to be supplemented and amended to the extent necessary to ensure that such Registration Statement is available or, if not available, that another Registration Statement is available, for the resale of all the Registrable Securities thereunder held by the applicable Holders until all such Registrable Securities have ceased to be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2.7 </w:t>
      </w:r>
      <w:r>
        <w:rPr>
          <w:rFonts w:ascii="Times New Roman;Times;Serif" w:hAnsi="Times New Roman;Times;Serif"/>
          <w:b/>
          <w:i w:val="false"/>
          <w:caps w:val="false"/>
          <w:smallCaps w:val="false"/>
          <w:sz w:val="20"/>
          <w:u w:val="single"/>
        </w:rPr>
        <w:t>Restrictions on Registration and Block Trade Rights; Suspension of Sales; Adverse Disclosure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in this Agreement to the contrary, in no event will the Holders be entitled, on a collective basis, to initiate more than (i) an aggregate of ten (10) Registrations pursuant to a Demand Registration, (ii) more than four (4) Shelf Underwritten Offerings in any twelve-month period or (iii) more than four (4) Block Trades in any twelve month period, provided that the estimated proceeds of any such Block Trade shall not be less than $25,000,000, in each of the foregoing clauses (i), (ii) and (iii)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Registration shall not be counted for such purposes unless a Registration Statement that may be available at such time has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herein,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believes to be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The Company shall promptly notify the Holders of the expiration of any period during which it exercised its rights under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herein, the Company shall not be obligated to (i) effect any Demand Registration or Underwritten Offering or (ii) file a Registration Statement (or any amendment thereto) or effect an Underwritten Offering (or, if the Company has filed a Registration Statement that includes Registrable Securities, the Company shall be entitled to suspend the offer and sale of Registrable Securities pursuant to such Registration Statement) for a period of up to forty-five (45) days if the Company has determined that the sale of Registrable Securities pursuant a Registration Statement would require the Company to make an Adverse Disclosure, would require the inclusion in such Registration Statement of financial statements that are unavailable to the Company for reasons beyond the Company’s control or in the good faith judgment of the Board would be materially detrimental to the Company (any such period, a “</w:t>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any Blackout Period together with other Blackout Periods exceed an aggregate of one hundred and twenty (120) days in any twelve (12)-month period. In the event the Company exercises its rights under this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xml:space="preserve">, the Holders agree to suspend, immediately upon their receipt of the notice referred to above, their use of any Prospectus relating to any Registration in connection with any sale or offer to sell Registrable Securities. The Company shall promptly notify the Holders of the expiration of any period during which it exercised its rights under this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The Holders receiving notice of a Blackout Period (and the expiration thereof) shall maintain the confidentiality of the existence (and circumstances, to the extent known) of a Blackout Period. In connection with any notice of a Blackout Period, the Company may not deliver any material non-public information, and, for avoidance of doubt, solely the receipt of notice of a Blackout Period without additional information shall not constitute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COMPANY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General Procedures</w:t>
      </w:r>
      <w:r>
        <w:rPr>
          <w:rFonts w:ascii="Times New Roman;Times;Serif" w:hAnsi="Times New Roman;Times;Serif"/>
          <w:b w:val="false"/>
          <w:i w:val="false"/>
          <w:caps w:val="false"/>
          <w:smallCaps w:val="false"/>
          <w:sz w:val="20"/>
        </w:rPr>
        <w:t>. If the Company is required to effect the Registration of Registrable Securities, the Company shall use its commercially reasonable efforts to effect such Registration to permit the sale of such Registrable Securities in accordance with the intended method of distribution thereof, and pursuant thereto the Company shall, as expeditiously as reasonably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prepare and file with the Commission such amendments and post-effective amendments to the Registration Statement, and such supplements to the Prospectus as may be required by the Securities Act or rules and regulations thereunder to keep the Registration Statement effective until all Registrable Securities covered by such Registration Statement are sold in accordance with the intended method of distribution set forth in such Registration Statement or supplement 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any public offering of Registrable Securities, but in any case no later than the effective date of the applicable Registration Statement,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method of distribution) may reasonably request and to keep such registration or qualification in effect for so long as such Registration Statement remains in effect and (ii) take such action as may be necessary to cause such Registrable Securities covered by the Registration Statement to be registered with or approved by such other governmental authorities as may be necessary by virtue of the business and operations of the Company or otherwise and do any and all other acts and things that may be necessary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cause all such Registrable Securities to be listed on the Nasdaq Global Select Market no later than the effective date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provide a transfer agent and registrar for all such Registrable Securities no later than the effective date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furnish to each seller of Registrable Securities covered by such Registration Statement such number of conformed copies of such Registration Statement and of each such amendment and supplement thereto (in each case including all exhibits),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such other documents as such seller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advise each seller of such Registrable Securities, promptly after it shall receive notice or obtain knowledge thereof, of the issuance of any stop order by the Commission suspending the effectiveness of such Registration Statement or Prospectus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notify the Holders at any time when a Prospectus relating to such Registration Statement is required to be delivered under the Securities Act, of the happening of any event or the existence of any condition as a result of which the Prospectus included in such Registration Statement, as then in effect, includes a Misstatement, or in the opinion of counsel for the Company it is necessary to supplement or amend such Prospectus to comply with law, and then to correct such Misstatement or include such information as is necessary to comply with law, in each case as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 Misstatement or such Prospectus, as supplemented or amended, shall comply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available for inspection, at such place and in such manner as determined by the Company in its sole discretion, permit a representative of the Holders, the Underwriters, if any, and any attorney or accountant retained by such Holders or Underwriter access to the Company’s books and records and such opportunities to discuss the business, finances and accounts of the Company and its subsidiaries with its officers, directors and the independent public accountants who have certified its financial statements as shall be necessary, in the opinion of such Holders’ and such Underwriters’ respective counsel, to conduct a reasonable investigation within the meaning of the Securities Act, and will cause the Company’s officers, directors and employees to supply all information reasonably requested by any such representative, Underwriter, attorney or accountant in connection with the Registration; provided, however, that (i) if requested by the Company, such representatives, Holders or Underwriters enter into a confidentiality agreement, in form and substance reasonably satisfactory to the Company, prior to the release or disclosure of any such information and (ii) any records, information or documents that are furnished by the Company and that are non-public shall be used only in connection with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obtain a “comfort” letter from the Company’s independent registered public accountants in the event of an Underwritten Offering, in customary form and covering such matters of the type customarily covered by “comfort” letters as the managing Underwriter may reasonably request, and reasonably satisfactory to a majority-in-interest of the participating Holders and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on the date the Registrable Securities are delivered for sale pursuant to such Registration, obtain an opinion and negative assurance letter, dated such date, of counsel representing the Company for the purposes of such Registration, addressed to the placement agent or sales agent, if any, and the Underwriters, if any, covering such legal matters with respect to the Registration as are customarily included in such opinions and negative assurance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 the event of any Underwritten Offering, enter into an underwriting agreement, in usual and customary form, with the managing Underwriter of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otherwise use its commercially reasonable efforts to comply with all applicable rules and regulations of the Commission, and to make available to its security holders, as soon as reasonably practicable, an earnings statement covering a period of at least twelve (12) months which satisfies the provisions of Section 11(a) of the Securities Act and the rules and regulations thereunder, including Rule 158 thereunder (or any successor rule promulgated thereafter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use its reasonable efforts to make available senior executives of the Company to participate in customary “road show” presentations that may be reasonably requested by the Underwriter in an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good faith, cooperate with, and take such customary actions as may reasonably be requested by the Holders, in connection with such Underwritten Offering;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assist the Depositary Bank to maintain an effective registration of the Class A ADSs on Form F-6 in accordance with the Deposit Agreement and cooperate with the Depositary Bank in filing amendments to such Form F-6 sufficient to allow the Holders to exercise its rights hereunder and under the Deposit Agreement to cover the Registrable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Registration Expenses</w:t>
      </w:r>
      <w:r>
        <w:rPr>
          <w:rFonts w:ascii="Times New Roman;Times;Serif" w:hAnsi="Times New Roman;Times;Serif"/>
          <w:b w:val="false"/>
          <w:i w:val="false"/>
          <w:caps w:val="false"/>
          <w:smallCaps w:val="false"/>
          <w:sz w:val="20"/>
        </w:rPr>
        <w:t>. The Registration Expenses of all Registrations shall be borne by the Company. It is acknowledged by the Holders that the Holders shall bear certain selling expenses relating to the sale of Registrable Securities, such as Underwriters’ commissions and discounts, brokerage fees and, other than as set forth in the definition of “Registration Expenses,” all fees, expenses and disbursements of any legal counsel representing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Participation in Underwritten Offerings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indemnities, lock-up agreements, underwriting agreements and other customary documents as may be reasonably required under the terms of such underwriting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use its commercially reasonable efforts to ensure that no Underwriter shall require any Holder to make any representations or warranties to or agreements with the Company or the Underwriters other than representations, warranties or agreements regarding such Holder and such Holder’s intended method of distribution and any other representation required by law, and if, despite the Company’s commercially reasonable efforts, an Underwriter requires any Holder to make additional representation or warranties to or agreements with such Underwriter, such Holder may elect not to participate in such Underwritten Offering (but shall not have any claims against the Company as a result of such election). Any liability of such Holder to any Underwriter or other person under such underwriting agreement shall be limited to an amount equal to the proceeds (net of expenses and underwriting discounts and commissions) that it derives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Additional Covenants of the Company</w:t>
      </w:r>
      <w:r>
        <w:rPr>
          <w:rFonts w:ascii="Times New Roman;Times;Serif" w:hAnsi="Times New Roman;Times;Serif"/>
          <w:b w:val="false"/>
          <w:i w:val="false"/>
          <w:caps w:val="false"/>
          <w:smallCaps w:val="false"/>
          <w:sz w:val="20"/>
        </w:rPr>
        <w:t>. As long as any Holder shall own Registrable Securities, the Company hereby covenants and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file any Registration Statement or Prospectus included therein with the Commission which refers to any Holder of Registrable Securities by name or otherwise without the prior written approval of such Holder, which may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all times while it shall be a reporting company under the Exchange Act, to file timely (or obtain extensions in respect thereof and file within the applicable grace period) all reports required to be filed by the Company after the closing of the Conversion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following the effectiveness of the shelf Registration Statement required by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the Company shall cause the transfer agent to remove any restrictive legends (including any electronic transfer restrictions) from any Class A ADSs held by such Holder and provide or cause any customary opinions of counsel to be delivered to the transfer agent in connection with such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to the extent permitted by law, each Holder of Registrable Securities, its officers, directors, partners, stockholders or members, employees, agents, investment advisors and each person who controls such Holder (within the meaning of the Securities Act and Exchange Act) from and against all losses, claims, damages, liabilities and expenses (including attorneys’ fees), joint or several (or actions or proceedings, whether commenced or threatened, in respect thereof)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to which any such Holder or other persons may become subject, insofar as such Claims arise out of or are based on any untrue or alleged untrue statement of any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and the Company will reimburse such Holder or other person for any legal or any other expenses reasonably incurred by them in connection with investigating or defending any such Claim; except insofar as the Claim or expense arises out of or is based upon an untrue statement or alleged untrue statement or omission or alleged omission made in such filing in reliance upon and in conformity with information furnished in writing to the Company by such Holder expressly for use therein. The Company shall indemnify the Underwriters, their officers and directors and each person who controls such Underwriters (within the meaning of the Securities Act and Exchange Act) to the same extent as provided in the foregoing with respect to the indemnification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any Registration Statement in which a Holder of Registrable Securities is participating, as a condition to including any Registrable Securities in any Registration Statement, the Company shall have received an undertaking reasonably satisfactory to it from such Holder, to indemnify the Company, its directors and officers and agents and each person who controls the Company (within the meaning of the Securities Act and Exchange Act) from and against any Claims, to which any the Company or such other persons may become subject, insofar as such Claims arise out of or are based on any untrue statement of any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furnished in writing by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and Exchange Act) to the same extent as provided in the foregoing with respect to indemnification of the Company and the Company shall use its reasonable best efforts to ensure that no Underwriter shall require any Holder of Registrable Securities to provide any indemnification other than that provided hereinabove in this Section 4.1(b), and, if, despite the Company’s reasonable best efforts, an Underwriter requires any Holder of Registrable Securities to provide additional indemnification, such Holder may elect not to participate in such Underwritten Offering (but shall not have any claim against the Company as a result of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Transfer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Claims, then the indemnifying party, in lieu of indemnifying the indemnified party, shall contribute to the amount paid or payable by the indemnified party as a result of such Claims (i) in such proportion as is appropriate to reflect the relative benefits received by the indemnifying party or parties on the one hand and the indemnified party or parties on the other hand from the offering of the Registrable Securities or (ii) if the allocation provided by clause (i) above is not permitted by applicable law, in such proportion as is appropriate to reflect not only the relative benefits referred to in clause (i) above but also to reflect the relative fault of the indemnifying party or parties on the other hand in connection with the statements or omissions that resulted in such Claims, as well as any other relevant equitable considerations;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any Holder or any director, officer, employee, agent, investment advisor or controlling person thereof under this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xml:space="preserve">.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and other communications hereunder shall be in writing and shall be deemed to have been given when delivered (a) upon personal delivery or (b) by e-mail or other means of electronic transmission (so long as confirmation of transmission is electronically or mechanically generated or sent and kept on file by the sending party, and no “bounceback” or notice of non-delivery is received), and the sender may, in its sole discretion, deliver a copy by prepaid certified or registered mail or by prepaid reputable courier service. Notices shall be given to the respective Parties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Automotive Holding UK PLC</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Assar Gabrielssons Väg 9, 405 31</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Göteborg, Sweden</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Anna Rudensjö, General Counsel</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F Street NW</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A. Brown</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If to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Geely Sweden Automotive Investment B.V.</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Stationsweg 2</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Beesd 4153RD</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Netherlands</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Assignment; No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rights, duties and obligations of the Company hereunder may not be assigned or delegated by the Company in whole or in part without the prior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Agreement, this Agreement and the provisions hereof shall be binding upon and shall inure to the benefit of each of the parties and its successors and the permitted assigns of the applicable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not confer any rights or benefits on any persons that are not parties hereto, other than as expressly set forth in this Agreement and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assignment by any party hereto of such party’s rights, duties and obligations hereunder shall be binding upon or obligate the Company unless and until the Company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(ii) the written agreement of the assignee, in a form reasonably satisfactory to the Company and in compliance with applicable law, to be bound by the terms and provisions of this Agreement (which may be accomplished by an addendum or certificate of joinder to this Agreement).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each of which when executed and delivered shall thereby be deemed to be an original and all of which taken together shall constitute one and the same instrument. Any party hereto may execute and deliver signed counterparts of this Agreement to the other Parties by electronic mail or other electronic transmission in portable document format (.PDF) or any other electronic signature complying with the U.S. ESIGN Act of 2000 (including www.docusign.com), each of which shall be deemed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contemplated herein, shall be governed by, and construed in accordance with, the laws of the State of New York,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Jurisdiction</w:t>
      </w:r>
      <w:r>
        <w:rPr>
          <w:rFonts w:ascii="Times New Roman;Times;Serif" w:hAnsi="Times New Roman;Times;Serif"/>
          <w:b w:val="false"/>
          <w:i w:val="false"/>
          <w:caps w:val="false"/>
          <w:smallCaps w:val="false"/>
          <w:sz w:val="20"/>
        </w:rPr>
        <w:t>. In any action or proceeding arising out of or relating to this Agreement or any of the transactions contemplated herein: (a) each of the parties hereto hereby irrevocably and unconditionally consents and submits to the exclusive jurisdiction and venue of the state or federal courts of the State of New York (unless the federal courts have exclusive jurisdiction over the matter, in which case the U.S. District Court for the Southern District of New York); (b) each of the parties hereto irrevocably waives and agrees that it will not attempt to deny or defeat such jurisdiction by motion or other request for leave from such court; and (c) each of the parties hereto agrees that it will not bring any such action in any court other than the state or federal courts of the State of New York (unless the federal courts have exclusive jurisdiction over the matter, in which case the U.S. District Court for the Southern District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WAIVER OF TRIAL BY JURY</w:t>
      </w:r>
      <w:r>
        <w:rPr>
          <w:rFonts w:ascii="Times New Roman;Times;Serif" w:hAnsi="Times New Roman;Times;Serif"/>
          <w:b w:val="false"/>
          <w:i w:val="false"/>
          <w:caps w:val="false"/>
          <w:smallCaps w:val="false"/>
          <w:sz w:val="20"/>
        </w:rPr>
        <w:t>. TO THE EXTENT PERMITTED BY LAW, EACH PARTY HEREBY KNOWINGLY, VOLUNTARILY AND INTENTIONALLY WAIVES (AND SHALL CAUSE ITS SUBSIDIARIES AND AFFILIATES TO WAIVE) THE RIGHT TO A TRIAL BY JURY IN RESPECT OF ANY LITIGATION BASED HEREON, ARISING OUT OF, UNDER OR IN CONNECTION WITH THIS AGREEMENT OR THE TRANSACTIONS CONTEMPLATED HEREIN OR ANY COURSE OF CONDUCT, COURSE OF DEALINGS, STATEMENTS (WHETHER VERBAL OR WRITTEN) OR ACTIONS OF ANY PARTY IN CONNECTION HEREWITH. EACH PARTY ACKNOWLEDGES THAT (A) THIS WAIVER IS A MATERIAL INDUCEMENT FOR THE OTHER PARTIES TO ENTER INTO THIS AGREEMENT, AND (B) NO REPRESENTATIVE, AGENT OR ATTORNEY OF ANY OTHER PARTY HAS REPRESENTED, EXPRESSLY OR OTHERWISE, THAT SUCH OTHER PARTY WOULD NOT, IN THE EVENT OF LITIGATION, SEEK TO ENFORCE THAT FOREGOING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5.7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herein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herein be consummated as originally contemplated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5.8 </w:t>
      </w:r>
      <w:r>
        <w:rPr>
          <w:rFonts w:ascii="Times New Roman;Times;Serif" w:hAnsi="Times New Roman;Times;Serif"/>
          <w:b/>
          <w:i w:val="false"/>
          <w:caps w:val="false"/>
          <w:smallCaps w:val="false"/>
          <w:sz w:val="20"/>
          <w:u w:val="single"/>
        </w:rPr>
        <w:t>Modification or Amendment</w:t>
      </w:r>
      <w:r>
        <w:rPr>
          <w:rFonts w:ascii="Times New Roman;Times;Serif" w:hAnsi="Times New Roman;Times;Serif"/>
          <w:b w:val="false"/>
          <w:i w:val="false"/>
          <w:caps w:val="false"/>
          <w:smallCaps w:val="false"/>
          <w:sz w:val="20"/>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any amendment hereto or waiver hereof that adversely affects one Holder, solely in its capacity as a holder of Registrable Securities, in a manner that is adverse and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5.9 </w:t>
      </w:r>
      <w:r>
        <w:rPr>
          <w:rFonts w:ascii="Times New Roman;Times;Serif" w:hAnsi="Times New Roman;Times;Serif"/>
          <w:b/>
          <w:i w:val="false"/>
          <w:caps w:val="false"/>
          <w:smallCaps w:val="false"/>
          <w:sz w:val="20"/>
          <w:u w:val="single"/>
        </w:rPr>
        <w:t>Other Registration Rights</w:t>
      </w:r>
      <w:r>
        <w:rPr>
          <w:rFonts w:ascii="Times New Roman;Times;Serif" w:hAnsi="Times New Roman;Times;Serif"/>
          <w:b w:val="false"/>
          <w:i w:val="false"/>
          <w:caps w:val="false"/>
          <w:smallCaps w:val="false"/>
          <w:sz w:val="20"/>
        </w:rPr>
        <w:t>. Other than pursuant to the terms of the Conversion Agreement,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among the parties thereto with respect to the Registrable Security and in the event of a conflict between any such agreement or agreements and this Agreement, the terms of this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Term</w:t>
      </w:r>
      <w:r>
        <w:rPr>
          <w:rFonts w:ascii="Times New Roman;Times;Serif" w:hAnsi="Times New Roman;Times;Serif"/>
          <w:b w:val="false"/>
          <w:i w:val="false"/>
          <w:caps w:val="false"/>
          <w:smallCaps w:val="false"/>
          <w:sz w:val="20"/>
        </w:rPr>
        <w:t xml:space="preserve">. This Agreement shall terminate upon the earlier of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as to any Holder individually, such Holder is permitted to sell all of such Holder’s Registrable Securities under Rule 144 (or any similar provision) under the Securities Act without limitation on the amount of securities sold or the manner of sale and the reporting requirements of Rule 144(i)(2) are not applicable or has otherwise sold all of the Registrable Securities held by such Holder. The provisions of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any termination to the extent related to a Claim arising prior to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5.11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The parties hereto have participated jointly in negotiating and drafting this Agreement. If an ambiguity or a question of intent or interpretation arises, this Agreement shall be construed as if drafted jointly by the parties hereto, and no presumption or burden of proof shall arise favoring or disfavoring any party hereto by virtue of the authorship of any provision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Reference to any law means such law as amended, modified, codified, replaced or re-enacted, in whole or in part, from time to time, including rules, regulations, enforcement procedures and any interpretations promulgated thereunder. Underscored references to Articles or Sections shall refer to those portions of this Agreement, and any underscored references to a clause shall, unless otherwise identified, refer to the appropriate clause within the same Section in which such reference occurs. The headings for this Agreement are for reference purposes only and do not affect in any way the meaning or interpretation of this Agreement. The use of the terms “hereunder,” “hereof,” “hereto” and words of similar import shall refer to this Agreement as a whole and not to any particular Article, Section or clause of this Agreement. The word “or” is not exclusive and is deemed to have the meaning “and/or” unless expressly indicated otherwise.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immediately following Business Day. References to “writing,” “written” and comparable terms refer to printing, typing and other means of reproducing words (including electronic media) in a visible form. References to a Person are also to its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512"/>
        <w:gridCol w:w="3722"/>
        <w:gridCol w:w="75"/>
      </w:tblGrid>
      <w:tr>
        <w:trPr/>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75" w:type="dxa"/>
            <w:tcBorders/>
            <w:vAlign w:val="center"/>
          </w:tcPr>
          <w:p>
            <w:pPr>
              <w:pStyle w:val="TableContents"/>
              <w:bidi w:val="0"/>
              <w:spacing w:before="0" w:after="283"/>
              <w:jc w:val="left"/>
              <w:rPr/>
            </w:pPr>
            <w:r>
              <w:rPr/>
              <w:t> </w:t>
            </w:r>
          </w:p>
        </w:tc>
      </w:tr>
      <w:tr>
        <w:trPr/>
        <w:tc>
          <w:tcPr>
            <w:tcW w:w="42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tcMar>
              <w:bottom w:w="28" w:type="dxa"/>
            </w:tcMar>
            <w:vAlign w:val="center"/>
          </w:tcPr>
          <w:p>
            <w:pPr>
              <w:pStyle w:val="TableContents"/>
              <w:bidi w:val="0"/>
              <w:spacing w:before="0" w:after="283"/>
              <w:jc w:val="left"/>
              <w:rPr/>
            </w:pPr>
            <w:r>
              <w:rPr/>
              <w:t>/s/ Michael Lohscheller</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Lohscheller</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tcMar>
              <w:bottom w:w="28" w:type="dxa"/>
            </w:tcMar>
            <w:vAlign w:val="center"/>
          </w:tcPr>
          <w:p>
            <w:pPr>
              <w:pStyle w:val="TableContents"/>
              <w:bidi w:val="0"/>
              <w:spacing w:before="0" w:after="283"/>
              <w:jc w:val="left"/>
              <w:rPr/>
            </w:pPr>
            <w:r>
              <w:rPr/>
              <w:t>/s/ Jean-François Mady</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Jean-François Mady</w:t>
            </w:r>
          </w:p>
        </w:tc>
        <w:tc>
          <w:tcPr>
            <w:tcW w:w="75" w:type="dxa"/>
            <w:tcBorders/>
            <w:vAlign w:val="center"/>
          </w:tcPr>
          <w:p>
            <w:pPr>
              <w:pStyle w:val="TableContents"/>
              <w:bidi w:val="0"/>
              <w:spacing w:before="0" w:after="283"/>
              <w:jc w:val="left"/>
              <w:rPr/>
            </w:pPr>
            <w:r>
              <w:rPr/>
              <w:t> </w:t>
            </w:r>
          </w:p>
        </w:tc>
      </w:tr>
      <w:tr>
        <w:trPr/>
        <w:tc>
          <w:tcPr>
            <w:tcW w:w="512"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9" w:type="dxa"/>
        <w:jc w:val="left"/>
        <w:tblInd w:w="0" w:type="dxa"/>
        <w:tblLayout w:type="fixed"/>
        <w:tblCellMar>
          <w:top w:w="0" w:type="dxa"/>
          <w:left w:w="0" w:type="dxa"/>
          <w:bottom w:w="0" w:type="dxa"/>
          <w:right w:w="0" w:type="dxa"/>
        </w:tblCellMar>
      </w:tblPr>
      <w:tblGrid>
        <w:gridCol w:w="511"/>
        <w:gridCol w:w="4263"/>
        <w:gridCol w:w="75"/>
      </w:tblGrid>
      <w:tr>
        <w:trPr/>
        <w:tc>
          <w:tcPr>
            <w:tcW w:w="47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w:t>
            </w:r>
          </w:p>
        </w:tc>
        <w:tc>
          <w:tcPr>
            <w:tcW w:w="75" w:type="dxa"/>
            <w:tcBorders/>
            <w:vAlign w:val="center"/>
          </w:tcPr>
          <w:p>
            <w:pPr>
              <w:pStyle w:val="TableContents"/>
              <w:bidi w:val="0"/>
              <w:spacing w:before="0" w:after="283"/>
              <w:jc w:val="left"/>
              <w:rPr/>
            </w:pPr>
            <w:r>
              <w:rPr/>
              <w:t> </w:t>
            </w:r>
          </w:p>
        </w:tc>
      </w:tr>
      <w:tr>
        <w:trPr/>
        <w:tc>
          <w:tcPr>
            <w:tcW w:w="47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GEELY SWEDEN AUTOMOTIVE INVESTMENT B.V.</w:t>
            </w:r>
          </w:p>
        </w:tc>
        <w:tc>
          <w:tcPr>
            <w:tcW w:w="75" w:type="dxa"/>
            <w:tcBorders/>
            <w:vAlign w:val="center"/>
          </w:tcPr>
          <w:p>
            <w:pPr>
              <w:pStyle w:val="TableContents"/>
              <w:bidi w:val="0"/>
              <w:spacing w:before="0" w:after="283"/>
              <w:jc w:val="left"/>
              <w:rPr/>
            </w:pPr>
            <w:r>
              <w:rPr/>
              <w:t> </w:t>
            </w:r>
          </w:p>
        </w:tc>
      </w:tr>
      <w:tr>
        <w:trPr/>
        <w:tc>
          <w:tcPr>
            <w:tcW w:w="511" w:type="dxa"/>
            <w:tcBorders/>
            <w:vAlign w:val="center"/>
          </w:tcPr>
          <w:p>
            <w:pPr>
              <w:pStyle w:val="TableContents"/>
              <w:bidi w:val="0"/>
              <w:spacing w:before="0" w:after="283"/>
              <w:jc w:val="left"/>
              <w:rPr/>
            </w:pPr>
            <w:r>
              <w:rPr/>
              <w:t> </w:t>
            </w:r>
          </w:p>
        </w:tc>
        <w:tc>
          <w:tcPr>
            <w:tcW w:w="426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3" w:type="dxa"/>
            <w:tcBorders>
              <w:bottom w:val="single" w:sz="8" w:space="0" w:color="000000"/>
            </w:tcBorders>
            <w:tcMar>
              <w:bottom w:w="28" w:type="dxa"/>
            </w:tcMar>
            <w:vAlign w:val="center"/>
          </w:tcPr>
          <w:p>
            <w:pPr>
              <w:pStyle w:val="TableContents"/>
              <w:bidi w:val="0"/>
              <w:spacing w:before="0" w:after="283"/>
              <w:jc w:val="left"/>
              <w:rPr/>
            </w:pPr>
            <w:r>
              <w:rPr/>
              <w:t>/s/ P.A. Ansgar</w:t>
            </w:r>
          </w:p>
        </w:tc>
        <w:tc>
          <w:tcPr>
            <w:tcW w:w="75" w:type="dxa"/>
            <w:tcBorders/>
            <w:vAlign w:val="center"/>
          </w:tcPr>
          <w:p>
            <w:pPr>
              <w:pStyle w:val="TableContents"/>
              <w:bidi w:val="0"/>
              <w:spacing w:before="0" w:after="283"/>
              <w:jc w:val="left"/>
              <w:rPr/>
            </w:pPr>
            <w:r>
              <w:rPr/>
              <w:t> </w:t>
            </w:r>
          </w:p>
        </w:tc>
      </w:tr>
      <w:tr>
        <w:trPr/>
        <w:tc>
          <w:tcPr>
            <w:tcW w:w="511" w:type="dxa"/>
            <w:tcBorders/>
            <w:vAlign w:val="center"/>
          </w:tcPr>
          <w:p>
            <w:pPr>
              <w:pStyle w:val="TableContents"/>
              <w:bidi w:val="0"/>
              <w:spacing w:before="0" w:after="283"/>
              <w:jc w:val="left"/>
              <w:rPr/>
            </w:pPr>
            <w:r>
              <w:rPr/>
              <w:t> </w:t>
            </w:r>
          </w:p>
        </w:tc>
        <w:tc>
          <w:tcPr>
            <w:tcW w:w="4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 Ansgar</w:t>
            </w:r>
          </w:p>
        </w:tc>
        <w:tc>
          <w:tcPr>
            <w:tcW w:w="75" w:type="dxa"/>
            <w:tcBorders/>
            <w:vAlign w:val="center"/>
          </w:tcPr>
          <w:p>
            <w:pPr>
              <w:pStyle w:val="TableContents"/>
              <w:bidi w:val="0"/>
              <w:spacing w:before="0" w:after="283"/>
              <w:jc w:val="left"/>
              <w:rPr/>
            </w:pPr>
            <w:r>
              <w:rPr/>
              <w:t> </w:t>
            </w:r>
          </w:p>
        </w:tc>
      </w:tr>
      <w:tr>
        <w:trPr/>
        <w:tc>
          <w:tcPr>
            <w:tcW w:w="511" w:type="dxa"/>
            <w:tcBorders/>
            <w:vAlign w:val="center"/>
          </w:tcPr>
          <w:p>
            <w:pPr>
              <w:pStyle w:val="TableContents"/>
              <w:bidi w:val="0"/>
              <w:spacing w:before="0" w:after="283"/>
              <w:jc w:val="left"/>
              <w:rPr/>
            </w:pPr>
            <w:r>
              <w:rPr/>
              <w:t>   </w:t>
            </w:r>
          </w:p>
        </w:tc>
        <w:tc>
          <w:tcPr>
            <w:tcW w:w="4263" w:type="dxa"/>
            <w:tcBorders/>
            <w:vAlign w:val="center"/>
          </w:tcPr>
          <w:p>
            <w:pPr>
              <w:pStyle w:val="TableContents"/>
              <w:bidi w:val="0"/>
              <w:spacing w:before="0" w:after="283"/>
              <w:jc w:val="left"/>
              <w:rPr/>
            </w:pPr>
            <w:r>
              <w:rPr>
                <w:sz w:val="20"/>
              </w:rPr>
              <w:t xml:space="preserve">Title: </w:t>
            </w:r>
            <w:r>
              <w:rPr/>
              <w:t>Authorized Signatory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15417</Words>
  <Characters>83420</Characters>
  <CharactersWithSpaces>98566</CharactersWithSpaces>
  <Paragraphs>1137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