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9"/>
        <w:spacing w:after="0"/>
        <w:rPr>
          <w:sz w:val="20"/>
          <w:szCs w:val="20"/>
          <w:color w:val="auto"/>
        </w:rPr>
      </w:pPr>
      <w:r>
        <w:rPr>
          <w:rFonts w:ascii="Times New Roman" w:cs="Times New Roman" w:eastAsia="Times New Roman" w:hAnsi="Times New Roman"/>
          <w:sz w:val="23"/>
          <w:szCs w:val="23"/>
          <w:b w:val="1"/>
          <w:bCs w:val="1"/>
          <w:color w:val="auto"/>
        </w:rPr>
        <w:drawing>
          <wp:anchor simplePos="0" relativeHeight="251657728" behindDoc="1" locked="0" layoutInCell="0" allowOverlap="1">
            <wp:simplePos x="0" y="0"/>
            <wp:positionH relativeFrom="page">
              <wp:posOffset>1318895</wp:posOffset>
            </wp:positionH>
            <wp:positionV relativeFrom="page">
              <wp:posOffset>142875</wp:posOffset>
            </wp:positionV>
            <wp:extent cx="4910455" cy="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4910455" cy="5715"/>
                    </a:xfrm>
                    <a:prstGeom prst="rect">
                      <a:avLst/>
                    </a:prstGeom>
                    <a:noFill/>
                  </pic:spPr>
                </pic:pic>
              </a:graphicData>
            </a:graphic>
          </wp:anchor>
        </w:drawing>
        <w:drawing>
          <wp:anchor simplePos="0" relativeHeight="251657728" behindDoc="1" locked="0" layoutInCell="0" allowOverlap="1">
            <wp:simplePos x="0" y="0"/>
            <wp:positionH relativeFrom="page">
              <wp:posOffset>1318895</wp:posOffset>
            </wp:positionH>
            <wp:positionV relativeFrom="page">
              <wp:posOffset>173355</wp:posOffset>
            </wp:positionV>
            <wp:extent cx="4910455" cy="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4910455" cy="5715"/>
                    </a:xfrm>
                    <a:prstGeom prst="rect">
                      <a:avLst/>
                    </a:prstGeom>
                    <a:noFill/>
                  </pic:spPr>
                </pic:pic>
              </a:graphicData>
            </a:graphic>
          </wp:anchor>
        </w:drawing>
        <w:t>UNITED STATES</w:t>
      </w:r>
    </w:p>
    <w:p>
      <w:pPr>
        <w:spacing w:after="0" w:line="14"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23"/>
          <w:szCs w:val="23"/>
          <w:b w:val="1"/>
          <w:bCs w:val="1"/>
          <w:color w:val="auto"/>
        </w:rPr>
        <w:t>SECURITIES AND EXCHANGE COMMISSION</w:t>
      </w:r>
    </w:p>
    <w:p>
      <w:pPr>
        <w:jc w:val="center"/>
        <w:ind w:right="19"/>
        <w:spacing w:after="0"/>
        <w:rPr>
          <w:sz w:val="20"/>
          <w:szCs w:val="20"/>
          <w:color w:val="auto"/>
        </w:rPr>
      </w:pPr>
      <w:r>
        <w:rPr>
          <w:rFonts w:ascii="Times New Roman" w:cs="Times New Roman" w:eastAsia="Times New Roman" w:hAnsi="Times New Roman"/>
          <w:sz w:val="15"/>
          <w:szCs w:val="15"/>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2342515</wp:posOffset>
            </wp:positionH>
            <wp:positionV relativeFrom="paragraph">
              <wp:posOffset>156845</wp:posOffset>
            </wp:positionV>
            <wp:extent cx="1035050" cy="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035050" cy="5715"/>
                    </a:xfrm>
                    <a:prstGeom prst="rect">
                      <a:avLst/>
                    </a:prstGeom>
                    <a:noFill/>
                  </pic:spPr>
                </pic:pic>
              </a:graphicData>
            </a:graphic>
          </wp:anchor>
        </w:drawing>
      </w:r>
    </w:p>
    <w:p>
      <w:pPr>
        <w:spacing w:after="0" w:line="354"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23"/>
          <w:szCs w:val="23"/>
          <w:b w:val="1"/>
          <w:bCs w:val="1"/>
          <w:color w:val="auto"/>
        </w:rPr>
        <w:t>FORM 6-K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2342515</wp:posOffset>
            </wp:positionH>
            <wp:positionV relativeFrom="paragraph">
              <wp:posOffset>172085</wp:posOffset>
            </wp:positionV>
            <wp:extent cx="1035050" cy="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035050" cy="5715"/>
                    </a:xfrm>
                    <a:prstGeom prst="rect">
                      <a:avLst/>
                    </a:prstGeom>
                    <a:noFill/>
                  </pic:spPr>
                </pic:pic>
              </a:graphicData>
            </a:graphic>
          </wp:anchor>
        </w:drawing>
      </w:r>
    </w:p>
    <w:p>
      <w:pPr>
        <w:spacing w:after="0" w:line="390"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5"/>
          <w:szCs w:val="15"/>
          <w:b w:val="1"/>
          <w:bCs w:val="1"/>
          <w:color w:val="auto"/>
        </w:rPr>
        <w:t>REPORT OF FOREIGN PRIVATE ISSUER</w:t>
      </w:r>
    </w:p>
    <w:p>
      <w:pPr>
        <w:spacing w:after="0" w:line="16"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5"/>
          <w:szCs w:val="15"/>
          <w:b w:val="1"/>
          <w:bCs w:val="1"/>
          <w:color w:val="auto"/>
        </w:rPr>
        <w:t>PURSUANT TO RULE 13a-16 OR 15d-16</w:t>
      </w:r>
    </w:p>
    <w:p>
      <w:pPr>
        <w:jc w:val="center"/>
        <w:ind w:right="19"/>
        <w:spacing w:after="0"/>
        <w:rPr>
          <w:sz w:val="20"/>
          <w:szCs w:val="20"/>
          <w:color w:val="auto"/>
        </w:rPr>
      </w:pPr>
      <w:r>
        <w:rPr>
          <w:rFonts w:ascii="Times New Roman" w:cs="Times New Roman" w:eastAsia="Times New Roman" w:hAnsi="Times New Roman"/>
          <w:sz w:val="15"/>
          <w:szCs w:val="15"/>
          <w:b w:val="1"/>
          <w:bCs w:val="1"/>
          <w:color w:val="auto"/>
        </w:rPr>
        <w:t>UNDER THE SECURITIES EXCHANGE ACT OF 1934</w:t>
      </w:r>
    </w:p>
    <w:p>
      <w:pPr>
        <w:spacing w:after="0" w:line="137"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3"/>
          <w:szCs w:val="13"/>
          <w:b w:val="1"/>
          <w:bCs w:val="1"/>
          <w:color w:val="auto"/>
        </w:rPr>
        <w:t>For the month of November 2022</w:t>
      </w:r>
    </w:p>
    <w:p>
      <w:pPr>
        <w:spacing w:after="0" w:line="154"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3"/>
          <w:szCs w:val="13"/>
          <w:b w:val="1"/>
          <w:bCs w:val="1"/>
          <w:color w:val="auto"/>
        </w:rPr>
        <w:t>Commission File Number: 001-41431</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2342515</wp:posOffset>
            </wp:positionH>
            <wp:positionV relativeFrom="paragraph">
              <wp:posOffset>173355</wp:posOffset>
            </wp:positionV>
            <wp:extent cx="1035050" cy="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035050" cy="5715"/>
                    </a:xfrm>
                    <a:prstGeom prst="rect">
                      <a:avLst/>
                    </a:prstGeom>
                    <a:noFill/>
                  </pic:spPr>
                </pic:pic>
              </a:graphicData>
            </a:graphic>
          </wp:anchor>
        </w:drawing>
      </w:r>
    </w:p>
    <w:p>
      <w:pPr>
        <w:spacing w:after="0" w:line="379"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30"/>
          <w:szCs w:val="30"/>
          <w:b w:val="1"/>
          <w:bCs w:val="1"/>
          <w:color w:val="auto"/>
        </w:rPr>
        <w:t>Polestar Automotive Holding UK PLC</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2342515</wp:posOffset>
            </wp:positionH>
            <wp:positionV relativeFrom="paragraph">
              <wp:posOffset>182245</wp:posOffset>
            </wp:positionV>
            <wp:extent cx="1035050" cy="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035050" cy="5715"/>
                    </a:xfrm>
                    <a:prstGeom prst="rect">
                      <a:avLst/>
                    </a:prstGeom>
                    <a:noFill/>
                  </pic:spPr>
                </pic:pic>
              </a:graphicData>
            </a:graphic>
          </wp:anchor>
        </w:drawing>
      </w:r>
    </w:p>
    <w:p>
      <w:pPr>
        <w:spacing w:after="0" w:line="200" w:lineRule="exact"/>
        <w:rPr>
          <w:sz w:val="24"/>
          <w:szCs w:val="24"/>
          <w:color w:val="auto"/>
        </w:rPr>
      </w:pPr>
    </w:p>
    <w:p>
      <w:pPr>
        <w:spacing w:after="0" w:line="214" w:lineRule="exact"/>
        <w:rPr>
          <w:sz w:val="24"/>
          <w:szCs w:val="24"/>
          <w:color w:val="auto"/>
        </w:rPr>
      </w:pPr>
    </w:p>
    <w:p>
      <w:pPr>
        <w:ind w:left="3820"/>
        <w:spacing w:after="0"/>
        <w:rPr>
          <w:sz w:val="20"/>
          <w:szCs w:val="20"/>
          <w:color w:val="auto"/>
        </w:rPr>
      </w:pPr>
      <w:r>
        <w:rPr>
          <w:rFonts w:ascii="Times New Roman" w:cs="Times New Roman" w:eastAsia="Times New Roman" w:hAnsi="Times New Roman"/>
          <w:sz w:val="13"/>
          <w:szCs w:val="13"/>
          <w:b w:val="1"/>
          <w:bCs w:val="1"/>
          <w:color w:val="auto"/>
        </w:rPr>
        <w:t>Assar Gabrielssons Väg 9</w:t>
      </w:r>
    </w:p>
    <w:p>
      <w:pPr>
        <w:spacing w:after="0" w:line="14" w:lineRule="exact"/>
        <w:rPr>
          <w:sz w:val="24"/>
          <w:szCs w:val="24"/>
          <w:color w:val="auto"/>
        </w:rPr>
      </w:pPr>
    </w:p>
    <w:p>
      <w:pPr>
        <w:ind w:left="3820"/>
        <w:spacing w:after="0"/>
        <w:rPr>
          <w:sz w:val="20"/>
          <w:szCs w:val="20"/>
          <w:color w:val="auto"/>
        </w:rPr>
      </w:pPr>
      <w:r>
        <w:rPr>
          <w:rFonts w:ascii="Times New Roman" w:cs="Times New Roman" w:eastAsia="Times New Roman" w:hAnsi="Times New Roman"/>
          <w:sz w:val="13"/>
          <w:szCs w:val="13"/>
          <w:b w:val="1"/>
          <w:bCs w:val="1"/>
          <w:color w:val="auto"/>
        </w:rPr>
        <w:t>405 31 Göteborg, Sweden</w:t>
      </w:r>
    </w:p>
    <w:p>
      <w:pPr>
        <w:jc w:val="center"/>
        <w:ind w:right="19"/>
        <w:spacing w:after="0"/>
        <w:rPr>
          <w:sz w:val="20"/>
          <w:szCs w:val="20"/>
          <w:color w:val="auto"/>
        </w:rPr>
      </w:pPr>
      <w:r>
        <w:rPr>
          <w:rFonts w:ascii="Times New Roman" w:cs="Times New Roman" w:eastAsia="Times New Roman" w:hAnsi="Times New Roman"/>
          <w:sz w:val="10"/>
          <w:szCs w:val="10"/>
          <w:b w:val="1"/>
          <w:bCs w:val="1"/>
          <w:color w:val="auto"/>
        </w:rPr>
        <w:t>(Address of principal executive office)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2342515</wp:posOffset>
            </wp:positionH>
            <wp:positionV relativeFrom="paragraph">
              <wp:posOffset>152400</wp:posOffset>
            </wp:positionV>
            <wp:extent cx="1035050" cy="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035050" cy="5715"/>
                    </a:xfrm>
                    <a:prstGeom prst="rect">
                      <a:avLst/>
                    </a:prstGeom>
                    <a:noFill/>
                  </pic:spPr>
                </pic:pic>
              </a:graphicData>
            </a:graphic>
          </wp:anchor>
        </w:drawing>
      </w:r>
    </w:p>
    <w:p>
      <w:pPr>
        <w:spacing w:after="0" w:line="369" w:lineRule="exact"/>
        <w:rPr>
          <w:sz w:val="24"/>
          <w:szCs w:val="24"/>
          <w:color w:val="auto"/>
        </w:rPr>
      </w:pPr>
    </w:p>
    <w:p>
      <w:pPr>
        <w:ind w:left="640"/>
        <w:spacing w:after="0"/>
        <w:rPr>
          <w:sz w:val="20"/>
          <w:szCs w:val="20"/>
          <w:color w:val="auto"/>
        </w:rPr>
      </w:pPr>
      <w:r>
        <w:rPr>
          <w:rFonts w:ascii="Times New Roman" w:cs="Times New Roman" w:eastAsia="Times New Roman" w:hAnsi="Times New Roman"/>
          <w:sz w:val="13"/>
          <w:szCs w:val="13"/>
          <w:color w:val="auto"/>
        </w:rPr>
        <w:t>Indicate by check mark whether the registrant files or will file annual reports under cover of Form 20-F or Form 40-F.</w:t>
      </w:r>
    </w:p>
    <w:p>
      <w:pPr>
        <w:spacing w:after="0" w:line="133" w:lineRule="exact"/>
        <w:rPr>
          <w:sz w:val="24"/>
          <w:szCs w:val="24"/>
          <w:color w:val="auto"/>
        </w:rPr>
      </w:pPr>
    </w:p>
    <w:p>
      <w:pPr>
        <w:jc w:val="center"/>
        <w:spacing w:after="0" w:line="150" w:lineRule="exact"/>
        <w:tabs>
          <w:tab w:leader="none" w:pos="360" w:val="left"/>
        </w:tabs>
        <w:rPr>
          <w:sz w:val="20"/>
          <w:szCs w:val="20"/>
          <w:color w:val="auto"/>
        </w:rPr>
      </w:pPr>
      <w:r>
        <w:rPr>
          <w:rFonts w:ascii="Times New Roman" w:cs="Times New Roman" w:eastAsia="Times New Roman" w:hAnsi="Times New Roman"/>
          <w:sz w:val="13"/>
          <w:szCs w:val="13"/>
          <w:color w:val="auto"/>
        </w:rPr>
        <w:t xml:space="preserve">Form 20-F </w:t>
      </w:r>
      <w:r>
        <w:rPr>
          <w:rFonts w:ascii="MS PGothic" w:cs="MS PGothic" w:eastAsia="MS PGothic" w:hAnsi="MS PGothic"/>
          <w:sz w:val="13"/>
          <w:szCs w:val="13"/>
          <w:color w:val="auto"/>
        </w:rPr>
        <w:t>☒</w:t>
      </w:r>
      <w:r>
        <w:rPr>
          <w:sz w:val="20"/>
          <w:szCs w:val="20"/>
          <w:color w:val="auto"/>
        </w:rPr>
        <w:tab/>
      </w:r>
      <w:r>
        <w:rPr>
          <w:rFonts w:ascii="Times New Roman" w:cs="Times New Roman" w:eastAsia="Times New Roman" w:hAnsi="Times New Roman"/>
          <w:sz w:val="12"/>
          <w:szCs w:val="12"/>
          <w:color w:val="auto"/>
        </w:rPr>
        <w:t xml:space="preserve">Form 40-F </w:t>
      </w:r>
      <w:r>
        <w:rPr>
          <w:rFonts w:ascii="MS PGothic" w:cs="MS PGothic" w:eastAsia="MS PGothic" w:hAnsi="MS PGothic"/>
          <w:sz w:val="12"/>
          <w:szCs w:val="12"/>
          <w:color w:val="auto"/>
        </w:rPr>
        <w:t>☐</w:t>
      </w:r>
    </w:p>
    <w:p>
      <w:pPr>
        <w:spacing w:after="0" w:line="154" w:lineRule="exact"/>
        <w:rPr>
          <w:sz w:val="24"/>
          <w:szCs w:val="24"/>
          <w:color w:val="auto"/>
        </w:rPr>
      </w:pPr>
    </w:p>
    <w:p>
      <w:pPr>
        <w:ind w:left="640"/>
        <w:spacing w:after="0" w:line="138" w:lineRule="exact"/>
        <w:rPr>
          <w:sz w:val="20"/>
          <w:szCs w:val="20"/>
          <w:color w:val="auto"/>
        </w:rPr>
      </w:pPr>
      <w:r>
        <w:rPr>
          <w:rFonts w:ascii="Times New Roman" w:cs="Times New Roman" w:eastAsia="Times New Roman" w:hAnsi="Times New Roman"/>
          <w:sz w:val="12"/>
          <w:szCs w:val="12"/>
          <w:color w:val="auto"/>
        </w:rPr>
        <w:t xml:space="preserve">Indicate by check mark if the registrant is submitting the Form 6-K in paper as permitted by Regulation S-T Rule 101(b)(1): </w:t>
      </w:r>
      <w:r>
        <w:rPr>
          <w:rFonts w:ascii="MS PGothic" w:cs="MS PGothic" w:eastAsia="MS PGothic" w:hAnsi="MS PGothic"/>
          <w:sz w:val="12"/>
          <w:szCs w:val="12"/>
          <w:color w:val="auto"/>
        </w:rPr>
        <w:t>☐</w:t>
      </w:r>
    </w:p>
    <w:p>
      <w:pPr>
        <w:spacing w:after="0" w:line="165" w:lineRule="exact"/>
        <w:rPr>
          <w:sz w:val="24"/>
          <w:szCs w:val="24"/>
          <w:color w:val="auto"/>
        </w:rPr>
      </w:pPr>
    </w:p>
    <w:p>
      <w:pPr>
        <w:ind w:left="640"/>
        <w:spacing w:after="0" w:line="138" w:lineRule="exact"/>
        <w:rPr>
          <w:sz w:val="20"/>
          <w:szCs w:val="20"/>
          <w:color w:val="auto"/>
        </w:rPr>
      </w:pPr>
      <w:r>
        <w:rPr>
          <w:rFonts w:ascii="Times New Roman" w:cs="Times New Roman" w:eastAsia="Times New Roman" w:hAnsi="Times New Roman"/>
          <w:sz w:val="12"/>
          <w:szCs w:val="12"/>
          <w:color w:val="auto"/>
        </w:rPr>
        <w:t xml:space="preserve">Indicate by check mark if the registrant is submitting the Form 6-K in paper as permitted by Regulation S-T Rule 101(b)(7): </w:t>
      </w:r>
      <w:r>
        <w:rPr>
          <w:rFonts w:ascii="MS PGothic" w:cs="MS PGothic" w:eastAsia="MS PGothic" w:hAnsi="MS PGothic"/>
          <w:sz w:val="12"/>
          <w:szCs w:val="12"/>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404495</wp:posOffset>
            </wp:positionH>
            <wp:positionV relativeFrom="paragraph">
              <wp:posOffset>138430</wp:posOffset>
            </wp:positionV>
            <wp:extent cx="4910455" cy="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4910455" cy="5715"/>
                    </a:xfrm>
                    <a:prstGeom prst="rect">
                      <a:avLst/>
                    </a:prstGeom>
                    <a:noFill/>
                  </pic:spPr>
                </pic:pic>
              </a:graphicData>
            </a:graphic>
          </wp:anchor>
        </w:drawing>
        <w:drawing>
          <wp:anchor simplePos="0" relativeHeight="251657728" behindDoc="1" locked="0" layoutInCell="0" allowOverlap="1">
            <wp:simplePos x="0" y="0"/>
            <wp:positionH relativeFrom="column">
              <wp:posOffset>404495</wp:posOffset>
            </wp:positionH>
            <wp:positionV relativeFrom="paragraph">
              <wp:posOffset>168275</wp:posOffset>
            </wp:positionV>
            <wp:extent cx="4910455" cy="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4910455" cy="5715"/>
                    </a:xfrm>
                    <a:prstGeom prst="rect">
                      <a:avLst/>
                    </a:prstGeom>
                    <a:noFill/>
                  </pic:spPr>
                </pic:pic>
              </a:graphicData>
            </a:graphic>
          </wp:anchor>
        </w:drawing>
      </w:r>
    </w:p>
    <w:p>
      <w:pPr>
        <w:sectPr>
          <w:pgSz w:w="11900" w:h="16838" w:orient="portrait"/>
          <w:cols w:equalWidth="0" w:num="1">
            <w:col w:w="9019"/>
          </w:cols>
          <w:pgMar w:left="1440" w:top="305" w:right="1440" w:bottom="1440" w:gutter="0" w:footer="0" w:header="0"/>
        </w:sectPr>
      </w:pPr>
    </w:p>
    <w:bookmarkStart w:id="1" w:name="page2"/>
    <w:bookmarkEnd w:id="1"/>
    <w:p>
      <w:pPr>
        <w:jc w:val="center"/>
        <w:ind w:right="19"/>
        <w:spacing w:after="0"/>
        <w:rPr>
          <w:sz w:val="20"/>
          <w:szCs w:val="20"/>
          <w:color w:val="auto"/>
        </w:rPr>
      </w:pPr>
      <w:r>
        <w:rPr>
          <w:rFonts w:ascii="Times New Roman" w:cs="Times New Roman" w:eastAsia="Times New Roman" w:hAnsi="Times New Roman"/>
          <w:sz w:val="13"/>
          <w:szCs w:val="13"/>
          <w:b w:val="1"/>
          <w:bCs w:val="1"/>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10425" cy="30480"/>
                    </a:xfrm>
                    <a:prstGeom prst="rect">
                      <a:avLst/>
                    </a:prstGeom>
                    <a:noFill/>
                  </pic:spPr>
                </pic:pic>
              </a:graphicData>
            </a:graphic>
          </wp:anchor>
        </w:drawing>
        <w:t>INFORMATION CONTAINED IN THIS REPORT ON FORM 6-K</w:t>
      </w:r>
    </w:p>
    <w:p>
      <w:pPr>
        <w:spacing w:after="0" w:line="156" w:lineRule="exact"/>
        <w:rPr>
          <w:sz w:val="20"/>
          <w:szCs w:val="20"/>
          <w:color w:val="auto"/>
        </w:rPr>
      </w:pPr>
    </w:p>
    <w:p>
      <w:pPr>
        <w:jc w:val="both"/>
        <w:ind w:left="640" w:right="819"/>
        <w:spacing w:after="0" w:line="255" w:lineRule="auto"/>
        <w:rPr>
          <w:sz w:val="20"/>
          <w:szCs w:val="20"/>
          <w:color w:val="auto"/>
        </w:rPr>
      </w:pPr>
      <w:r>
        <w:rPr>
          <w:rFonts w:ascii="Times New Roman" w:cs="Times New Roman" w:eastAsia="Times New Roman" w:hAnsi="Times New Roman"/>
          <w:sz w:val="13"/>
          <w:szCs w:val="13"/>
          <w:color w:val="auto"/>
        </w:rPr>
        <w:t>On November 11, 2022, Polestar Automotive Holding UK PLC (“Polestar”) announced its financial results for the third quarter ended September 30, 2022. A copy of the investor update presentation that was posted on the investor relations website of Polestar in connection with the announcement is attached hereto as Exhibit 99.1.</w:t>
      </w:r>
    </w:p>
    <w:p>
      <w:pPr>
        <w:spacing w:after="0" w:line="130" w:lineRule="exact"/>
        <w:rPr>
          <w:sz w:val="20"/>
          <w:szCs w:val="20"/>
          <w:color w:val="auto"/>
        </w:rPr>
      </w:pPr>
    </w:p>
    <w:p>
      <w:pPr>
        <w:ind w:left="640" w:right="819"/>
        <w:spacing w:after="0" w:line="251" w:lineRule="auto"/>
        <w:rPr>
          <w:sz w:val="20"/>
          <w:szCs w:val="20"/>
          <w:color w:val="auto"/>
        </w:rPr>
      </w:pPr>
      <w:r>
        <w:rPr>
          <w:rFonts w:ascii="Times New Roman" w:cs="Times New Roman" w:eastAsia="Times New Roman" w:hAnsi="Times New Roman"/>
          <w:sz w:val="13"/>
          <w:szCs w:val="13"/>
          <w:color w:val="auto"/>
        </w:rPr>
        <w:t>Also attached as exhibits to this Report on Form 6-K are (i) Polestar’s Management’s Discussion and Analysis of Financial Conditions and Results of Operations for the Three and Nine Months Ended September 30, 2022 and 2021, which is attached as Exhibit 99.2; and (ii) Polestar’s Unaudited Condensed Consolidated Financial Statements as of September 30, 2022 and for the Three and Nine Months Ended September 30, 2022 and 2021, which are attached as Exhibit 99.3.</w:t>
      </w:r>
    </w:p>
    <w:p>
      <w:pPr>
        <w:spacing w:after="0" w:line="133" w:lineRule="exact"/>
        <w:rPr>
          <w:sz w:val="20"/>
          <w:szCs w:val="20"/>
          <w:color w:val="auto"/>
        </w:rPr>
      </w:pPr>
    </w:p>
    <w:p>
      <w:pPr>
        <w:ind w:left="640" w:right="659"/>
        <w:spacing w:after="0" w:line="249" w:lineRule="auto"/>
        <w:rPr>
          <w:sz w:val="20"/>
          <w:szCs w:val="20"/>
          <w:color w:val="auto"/>
        </w:rPr>
      </w:pPr>
      <w:r>
        <w:rPr>
          <w:rFonts w:ascii="Times New Roman" w:cs="Times New Roman" w:eastAsia="Times New Roman" w:hAnsi="Times New Roman"/>
          <w:sz w:val="13"/>
          <w:szCs w:val="13"/>
          <w:color w:val="auto"/>
        </w:rPr>
        <w:t>The information contained in Exhibit 99.2 and Exhibit 99.3 shall be deemed to be incorporated by reference into Polestar’s registration statement on Form S-8 (File No: 333-267146) and to be a part thereof from the date on which this report is submitted, to the extent not superseded by documents or reports subsequently filed or furnished. Exhibit 99.1 to this Report on Form 6-K shall not be deemed “filed” for purposes of Section 18 of the Securities Exchange Act of 1934 (the “Exchange Act”) or otherwise subject to the liabilities of that section, nor shall it be deemed incorporated by reference in any filing under the Securities Act of 1933 or the Exchange Act.</w:t>
      </w:r>
    </w:p>
    <w:p>
      <w:pPr>
        <w:spacing w:after="0" w:line="8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2</w:t>
      </w:r>
    </w:p>
    <w:p>
      <w:pPr>
        <w:sectPr>
          <w:pgSz w:w="11900" w:h="16838" w:orient="portrait"/>
          <w:cols w:equalWidth="0" w:num="1">
            <w:col w:w="9019"/>
          </w:cols>
          <w:pgMar w:left="1440" w:top="229" w:right="1440" w:bottom="1440" w:gutter="0" w:footer="0" w:header="0"/>
        </w:sectPr>
      </w:pPr>
    </w:p>
    <w:bookmarkStart w:id="2" w:name="page3"/>
    <w:bookmarkEnd w:id="2"/>
    <w:tbl>
      <w:tblPr>
        <w:tblLayout w:type="fixed"/>
        <w:tblInd w:w="640" w:type="dxa"/>
        <w:tblCellMar>
          <w:top w:w="0" w:type="dxa"/>
          <w:left w:w="0" w:type="dxa"/>
          <w:bottom w:w="0" w:type="dxa"/>
          <w:right w:w="0" w:type="dxa"/>
        </w:tblCellMar>
      </w:tblPr>
      <w:tr>
        <w:trPr>
          <w:trHeight w:val="167"/>
        </w:trPr>
        <w:tc>
          <w:tcPr>
            <w:tcW w:w="5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6720" w:type="dxa"/>
            <w:vAlign w:val="bottom"/>
          </w:tcPr>
          <w:p>
            <w:pPr>
              <w:ind w:left="2360"/>
              <w:spacing w:after="0"/>
              <w:rPr>
                <w:sz w:val="20"/>
                <w:szCs w:val="20"/>
                <w:color w:val="auto"/>
              </w:rPr>
            </w:pPr>
            <w:r>
              <w:rPr>
                <w:rFonts w:ascii="Times New Roman" w:cs="Times New Roman" w:eastAsia="Times New Roman" w:hAnsi="Times New Roman"/>
                <w:sz w:val="13"/>
                <w:szCs w:val="13"/>
                <w:b w:val="1"/>
                <w:bCs w:val="1"/>
                <w:color w:val="auto"/>
              </w:rPr>
              <w:t>EXHIBIT INDEX</w:t>
            </w:r>
          </w:p>
        </w:tc>
      </w:tr>
      <w:tr>
        <w:trPr>
          <w:trHeight w:val="284"/>
        </w:trPr>
        <w:tc>
          <w:tcPr>
            <w:tcW w:w="1020" w:type="dxa"/>
            <w:vAlign w:val="bottom"/>
            <w:gridSpan w:val="2"/>
          </w:tcPr>
          <w:p>
            <w:pPr>
              <w:spacing w:after="0"/>
              <w:rPr>
                <w:sz w:val="20"/>
                <w:szCs w:val="20"/>
                <w:color w:val="auto"/>
              </w:rPr>
            </w:pPr>
            <w:r>
              <w:rPr>
                <w:rFonts w:ascii="Times New Roman" w:cs="Times New Roman" w:eastAsia="Times New Roman" w:hAnsi="Times New Roman"/>
                <w:sz w:val="10"/>
                <w:szCs w:val="10"/>
                <w:b w:val="1"/>
                <w:bCs w:val="1"/>
                <w:color w:val="auto"/>
              </w:rPr>
              <w:t>Exhibit No.</w:t>
            </w:r>
          </w:p>
        </w:tc>
        <w:tc>
          <w:tcPr>
            <w:tcW w:w="6720" w:type="dxa"/>
            <w:vAlign w:val="bottom"/>
          </w:tcPr>
          <w:p>
            <w:pPr>
              <w:spacing w:after="0"/>
              <w:rPr>
                <w:sz w:val="20"/>
                <w:szCs w:val="20"/>
                <w:color w:val="auto"/>
              </w:rPr>
            </w:pPr>
            <w:r>
              <w:rPr>
                <w:rFonts w:ascii="Times New Roman" w:cs="Times New Roman" w:eastAsia="Times New Roman" w:hAnsi="Times New Roman"/>
                <w:sz w:val="10"/>
                <w:szCs w:val="10"/>
                <w:b w:val="1"/>
                <w:bCs w:val="1"/>
                <w:color w:val="auto"/>
              </w:rPr>
              <w:t>Description of Exhibit</w:t>
            </w:r>
          </w:p>
        </w:tc>
      </w:tr>
      <w:tr>
        <w:trPr>
          <w:trHeight w:val="208"/>
        </w:trPr>
        <w:tc>
          <w:tcPr>
            <w:tcW w:w="500" w:type="dxa"/>
            <w:vAlign w:val="bottom"/>
            <w:tcBorders>
              <w:top w:val="single" w:sz="8" w:color="auto"/>
            </w:tcBorders>
          </w:tcPr>
          <w:p>
            <w:pPr>
              <w:spacing w:after="0"/>
              <w:rPr>
                <w:sz w:val="20"/>
                <w:szCs w:val="20"/>
                <w:color w:val="auto"/>
              </w:rPr>
            </w:pPr>
            <w:r>
              <w:rPr>
                <w:rFonts w:ascii="Times New Roman" w:cs="Times New Roman" w:eastAsia="Times New Roman" w:hAnsi="Times New Roman"/>
                <w:sz w:val="13"/>
                <w:szCs w:val="13"/>
                <w:color w:val="auto"/>
              </w:rPr>
              <w:t>99.1</w:t>
            </w:r>
          </w:p>
        </w:tc>
        <w:tc>
          <w:tcPr>
            <w:tcW w:w="520" w:type="dxa"/>
            <w:vAlign w:val="bottom"/>
          </w:tcPr>
          <w:p>
            <w:pPr>
              <w:spacing w:after="0"/>
              <w:rPr>
                <w:sz w:val="18"/>
                <w:szCs w:val="18"/>
                <w:color w:val="auto"/>
              </w:rPr>
            </w:pPr>
          </w:p>
        </w:tc>
        <w:tc>
          <w:tcPr>
            <w:tcW w:w="6720" w:type="dxa"/>
            <w:vAlign w:val="bottom"/>
            <w:tcBorders>
              <w:top w:val="single" w:sz="8" w:color="auto"/>
            </w:tcBorders>
          </w:tcPr>
          <w:p>
            <w:pPr>
              <w:spacing w:after="0"/>
              <w:rPr>
                <w:sz w:val="20"/>
                <w:szCs w:val="20"/>
                <w:color w:val="auto"/>
              </w:rPr>
            </w:pPr>
            <w:r>
              <w:rPr>
                <w:rFonts w:ascii="Times New Roman" w:cs="Times New Roman" w:eastAsia="Times New Roman" w:hAnsi="Times New Roman"/>
                <w:sz w:val="13"/>
                <w:szCs w:val="13"/>
                <w:color w:val="auto"/>
              </w:rPr>
              <w:t>Investor Update, dated November 11, 2022.</w:t>
            </w:r>
          </w:p>
        </w:tc>
      </w:tr>
      <w:tr>
        <w:trPr>
          <w:trHeight w:val="215"/>
        </w:trPr>
        <w:tc>
          <w:tcPr>
            <w:tcW w:w="500" w:type="dxa"/>
            <w:vAlign w:val="bottom"/>
          </w:tcPr>
          <w:p>
            <w:pPr>
              <w:spacing w:after="0"/>
              <w:rPr>
                <w:sz w:val="20"/>
                <w:szCs w:val="20"/>
                <w:color w:val="auto"/>
              </w:rPr>
            </w:pPr>
            <w:r>
              <w:rPr>
                <w:rFonts w:ascii="Times New Roman" w:cs="Times New Roman" w:eastAsia="Times New Roman" w:hAnsi="Times New Roman"/>
                <w:sz w:val="13"/>
                <w:szCs w:val="13"/>
                <w:color w:val="auto"/>
              </w:rPr>
              <w:t>99.2</w:t>
            </w:r>
          </w:p>
        </w:tc>
        <w:tc>
          <w:tcPr>
            <w:tcW w:w="520" w:type="dxa"/>
            <w:vAlign w:val="bottom"/>
          </w:tcPr>
          <w:p>
            <w:pPr>
              <w:spacing w:after="0"/>
              <w:rPr>
                <w:sz w:val="18"/>
                <w:szCs w:val="18"/>
                <w:color w:val="auto"/>
              </w:rPr>
            </w:pPr>
          </w:p>
        </w:tc>
        <w:tc>
          <w:tcPr>
            <w:tcW w:w="6720" w:type="dxa"/>
            <w:vAlign w:val="bottom"/>
          </w:tcPr>
          <w:p>
            <w:pPr>
              <w:spacing w:after="0"/>
              <w:rPr>
                <w:sz w:val="20"/>
                <w:szCs w:val="20"/>
                <w:color w:val="auto"/>
              </w:rPr>
            </w:pPr>
            <w:r>
              <w:rPr>
                <w:rFonts w:ascii="Times New Roman" w:cs="Times New Roman" w:eastAsia="Times New Roman" w:hAnsi="Times New Roman"/>
                <w:sz w:val="13"/>
                <w:szCs w:val="13"/>
                <w:color w:val="auto"/>
                <w:w w:val="99"/>
              </w:rPr>
              <w:t>Management’s Discussion and Analysis of Financial Conditions and Results of Operations for the Three and Nine Months Ended</w:t>
            </w:r>
          </w:p>
        </w:tc>
      </w:tr>
      <w:tr>
        <w:trPr>
          <w:trHeight w:val="165"/>
        </w:trPr>
        <w:tc>
          <w:tcPr>
            <w:tcW w:w="5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6720" w:type="dxa"/>
            <w:vAlign w:val="bottom"/>
          </w:tcPr>
          <w:p>
            <w:pPr>
              <w:spacing w:after="0"/>
              <w:rPr>
                <w:sz w:val="20"/>
                <w:szCs w:val="20"/>
                <w:color w:val="auto"/>
              </w:rPr>
            </w:pPr>
            <w:r>
              <w:rPr>
                <w:rFonts w:ascii="Times New Roman" w:cs="Times New Roman" w:eastAsia="Times New Roman" w:hAnsi="Times New Roman"/>
                <w:sz w:val="13"/>
                <w:szCs w:val="13"/>
                <w:color w:val="auto"/>
              </w:rPr>
              <w:t>September 30, 2022 and 2021.</w:t>
            </w:r>
          </w:p>
        </w:tc>
      </w:tr>
      <w:tr>
        <w:trPr>
          <w:trHeight w:val="215"/>
        </w:trPr>
        <w:tc>
          <w:tcPr>
            <w:tcW w:w="500" w:type="dxa"/>
            <w:vAlign w:val="bottom"/>
          </w:tcPr>
          <w:p>
            <w:pPr>
              <w:spacing w:after="0"/>
              <w:rPr>
                <w:sz w:val="20"/>
                <w:szCs w:val="20"/>
                <w:color w:val="auto"/>
              </w:rPr>
            </w:pPr>
            <w:r>
              <w:rPr>
                <w:rFonts w:ascii="Times New Roman" w:cs="Times New Roman" w:eastAsia="Times New Roman" w:hAnsi="Times New Roman"/>
                <w:sz w:val="13"/>
                <w:szCs w:val="13"/>
                <w:color w:val="auto"/>
              </w:rPr>
              <w:t>99.3</w:t>
            </w:r>
          </w:p>
        </w:tc>
        <w:tc>
          <w:tcPr>
            <w:tcW w:w="520" w:type="dxa"/>
            <w:vAlign w:val="bottom"/>
          </w:tcPr>
          <w:p>
            <w:pPr>
              <w:spacing w:after="0"/>
              <w:rPr>
                <w:sz w:val="18"/>
                <w:szCs w:val="18"/>
                <w:color w:val="auto"/>
              </w:rPr>
            </w:pPr>
          </w:p>
        </w:tc>
        <w:tc>
          <w:tcPr>
            <w:tcW w:w="6720" w:type="dxa"/>
            <w:vAlign w:val="bottom"/>
          </w:tcPr>
          <w:p>
            <w:pPr>
              <w:spacing w:after="0"/>
              <w:rPr>
                <w:sz w:val="20"/>
                <w:szCs w:val="20"/>
                <w:color w:val="auto"/>
              </w:rPr>
            </w:pPr>
            <w:r>
              <w:rPr>
                <w:rFonts w:ascii="Times New Roman" w:cs="Times New Roman" w:eastAsia="Times New Roman" w:hAnsi="Times New Roman"/>
                <w:sz w:val="13"/>
                <w:szCs w:val="13"/>
                <w:color w:val="auto"/>
              </w:rPr>
              <w:t>Unaudited Condensed Consolidated Financial Statements as of September 30, 2022 and for the Three and Nine Months Ended</w:t>
            </w:r>
          </w:p>
        </w:tc>
      </w:tr>
      <w:tr>
        <w:trPr>
          <w:trHeight w:val="165"/>
        </w:trPr>
        <w:tc>
          <w:tcPr>
            <w:tcW w:w="5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6720" w:type="dxa"/>
            <w:vAlign w:val="bottom"/>
          </w:tcPr>
          <w:p>
            <w:pPr>
              <w:spacing w:after="0"/>
              <w:rPr>
                <w:sz w:val="20"/>
                <w:szCs w:val="20"/>
                <w:color w:val="auto"/>
              </w:rPr>
            </w:pPr>
            <w:r>
              <w:rPr>
                <w:rFonts w:ascii="Times New Roman" w:cs="Times New Roman" w:eastAsia="Times New Roman" w:hAnsi="Times New Roman"/>
                <w:sz w:val="13"/>
                <w:szCs w:val="13"/>
                <w:color w:val="auto"/>
              </w:rPr>
              <w:t>September 30, 2022 and 2021.</w:t>
            </w:r>
          </w:p>
        </w:tc>
      </w:tr>
      <w:tr>
        <w:trPr>
          <w:trHeight w:val="256"/>
        </w:trPr>
        <w:tc>
          <w:tcPr>
            <w:tcW w:w="50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6720" w:type="dxa"/>
            <w:vAlign w:val="bottom"/>
          </w:tcPr>
          <w:p>
            <w:pPr>
              <w:ind w:left="2820"/>
              <w:spacing w:after="0"/>
              <w:rPr>
                <w:sz w:val="20"/>
                <w:szCs w:val="20"/>
                <w:color w:val="auto"/>
              </w:rPr>
            </w:pPr>
            <w:r>
              <w:rPr>
                <w:rFonts w:ascii="Times New Roman" w:cs="Times New Roman" w:eastAsia="Times New Roman" w:hAnsi="Times New Roman"/>
                <w:sz w:val="13"/>
                <w:szCs w:val="13"/>
                <w:color w:val="auto"/>
              </w:rPr>
              <w:t>3</w:t>
            </w:r>
          </w:p>
        </w:tc>
      </w:tr>
    </w:tbl>
    <w:p>
      <w:pPr>
        <w:ind w:left="2820"/>
        <w:spacing w:after="0"/>
        <w:rPr>
          <w:sz w:val="20"/>
          <w:szCs w:val="20"/>
          <w:color w:val="auto"/>
        </w:rPr>
        <w:sectPr>
          <w:pgSz w:w="11900" w:h="16838" w:orient="portrait"/>
          <w:cols w:equalWidth="0" w:num="1">
            <w:col w:w="9019"/>
          </w:cols>
          <w:pgMar w:left="1440" w:top="229" w:right="1440" w:bottom="1440" w:gutter="0" w:footer="0" w:header="0"/>
        </w:sect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10425" cy="30480"/>
                    </a:xfrm>
                    <a:prstGeom prst="rect">
                      <a:avLst/>
                    </a:prstGeom>
                    <a:noFill/>
                  </pic:spPr>
                </pic:pic>
              </a:graphicData>
            </a:graphic>
          </wp:anchor>
        </w:drawing>
      </w:r>
    </w:p>
    <w:bookmarkStart w:id="3" w:name="page4"/>
    <w:bookmarkEnd w:id="3"/>
    <w:p>
      <w:pPr>
        <w:jc w:val="center"/>
        <w:spacing w:after="0"/>
        <w:rPr>
          <w:sz w:val="20"/>
          <w:szCs w:val="20"/>
          <w:color w:val="auto"/>
        </w:rPr>
      </w:pPr>
      <w:r>
        <w:rPr>
          <w:rFonts w:ascii="Times New Roman" w:cs="Times New Roman" w:eastAsia="Times New Roman" w:hAnsi="Times New Roman"/>
          <w:sz w:val="13"/>
          <w:szCs w:val="13"/>
          <w:b w:val="1"/>
          <w:bCs w:val="1"/>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10425" cy="30480"/>
                    </a:xfrm>
                    <a:prstGeom prst="rect">
                      <a:avLst/>
                    </a:prstGeom>
                    <a:noFill/>
                  </pic:spPr>
                </pic:pic>
              </a:graphicData>
            </a:graphic>
          </wp:anchor>
        </w:drawing>
        <w:t>SIGNATURES</w:t>
      </w:r>
    </w:p>
    <w:p>
      <w:pPr>
        <w:spacing w:after="0" w:line="80" w:lineRule="exact"/>
        <w:rPr>
          <w:sz w:val="20"/>
          <w:szCs w:val="20"/>
          <w:color w:val="auto"/>
        </w:rPr>
      </w:pPr>
    </w:p>
    <w:p>
      <w:pPr>
        <w:ind w:left="640" w:right="1179"/>
        <w:spacing w:after="0" w:line="267" w:lineRule="auto"/>
        <w:rPr>
          <w:sz w:val="20"/>
          <w:szCs w:val="20"/>
          <w:color w:val="auto"/>
        </w:rPr>
      </w:pPr>
      <w:r>
        <w:rPr>
          <w:rFonts w:ascii="Times New Roman" w:cs="Times New Roman" w:eastAsia="Times New Roman" w:hAnsi="Times New Roman"/>
          <w:sz w:val="13"/>
          <w:szCs w:val="13"/>
          <w:color w:val="auto"/>
        </w:rPr>
        <w:t>Pursuant to the requirements of the Securities Exchange Act of 1934, the registrant has duly caused this report to be signed on its behalf by the undersigned, thereunto duly authorized.</w:t>
      </w:r>
    </w:p>
    <w:p>
      <w:pPr>
        <w:spacing w:after="0" w:line="139" w:lineRule="exact"/>
        <w:rPr>
          <w:sz w:val="20"/>
          <w:szCs w:val="20"/>
          <w:color w:val="auto"/>
        </w:rPr>
      </w:pPr>
    </w:p>
    <w:tbl>
      <w:tblPr>
        <w:tblLayout w:type="fixed"/>
        <w:tblInd w:w="640" w:type="dxa"/>
        <w:tblCellMar>
          <w:top w:w="0" w:type="dxa"/>
          <w:left w:w="0" w:type="dxa"/>
          <w:bottom w:w="0" w:type="dxa"/>
          <w:right w:w="0" w:type="dxa"/>
        </w:tblCellMar>
      </w:tblPr>
      <w:tr>
        <w:trPr>
          <w:trHeight w:val="167"/>
        </w:trPr>
        <w:tc>
          <w:tcPr>
            <w:tcW w:w="2580" w:type="dxa"/>
            <w:vAlign w:val="bottom"/>
          </w:tcPr>
          <w:p>
            <w:pPr>
              <w:spacing w:after="0"/>
              <w:rPr>
                <w:sz w:val="14"/>
                <w:szCs w:val="14"/>
                <w:color w:val="auto"/>
              </w:rPr>
            </w:pPr>
          </w:p>
        </w:tc>
        <w:tc>
          <w:tcPr>
            <w:tcW w:w="5160" w:type="dxa"/>
            <w:vAlign w:val="bottom"/>
            <w:gridSpan w:val="2"/>
          </w:tcPr>
          <w:p>
            <w:pPr>
              <w:ind w:left="1300"/>
              <w:spacing w:after="0"/>
              <w:rPr>
                <w:sz w:val="20"/>
                <w:szCs w:val="20"/>
                <w:color w:val="auto"/>
              </w:rPr>
            </w:pPr>
            <w:r>
              <w:rPr>
                <w:rFonts w:ascii="Times New Roman" w:cs="Times New Roman" w:eastAsia="Times New Roman" w:hAnsi="Times New Roman"/>
                <w:sz w:val="13"/>
                <w:szCs w:val="13"/>
                <w:b w:val="1"/>
                <w:bCs w:val="1"/>
                <w:color w:val="auto"/>
              </w:rPr>
              <w:t>POLESTAR AUTOMOTIVE HOLDING UK PLC</w:t>
            </w:r>
          </w:p>
        </w:tc>
      </w:tr>
      <w:tr>
        <w:trPr>
          <w:trHeight w:val="303"/>
        </w:trPr>
        <w:tc>
          <w:tcPr>
            <w:tcW w:w="2580" w:type="dxa"/>
            <w:vAlign w:val="bottom"/>
          </w:tcPr>
          <w:p>
            <w:pPr>
              <w:spacing w:after="0"/>
              <w:rPr>
                <w:sz w:val="20"/>
                <w:szCs w:val="20"/>
                <w:color w:val="auto"/>
              </w:rPr>
            </w:pPr>
            <w:r>
              <w:rPr>
                <w:rFonts w:ascii="Times New Roman" w:cs="Times New Roman" w:eastAsia="Times New Roman" w:hAnsi="Times New Roman"/>
                <w:sz w:val="13"/>
                <w:szCs w:val="13"/>
                <w:color w:val="auto"/>
              </w:rPr>
              <w:t>Date: November 14, 2022</w:t>
            </w:r>
          </w:p>
        </w:tc>
        <w:tc>
          <w:tcPr>
            <w:tcW w:w="1740" w:type="dxa"/>
            <w:vAlign w:val="bottom"/>
          </w:tcPr>
          <w:p>
            <w:pPr>
              <w:ind w:left="1300"/>
              <w:spacing w:after="0"/>
              <w:rPr>
                <w:sz w:val="20"/>
                <w:szCs w:val="20"/>
                <w:color w:val="auto"/>
              </w:rPr>
            </w:pPr>
            <w:r>
              <w:rPr>
                <w:rFonts w:ascii="Times New Roman" w:cs="Times New Roman" w:eastAsia="Times New Roman" w:hAnsi="Times New Roman"/>
                <w:sz w:val="13"/>
                <w:szCs w:val="13"/>
                <w:color w:val="auto"/>
              </w:rPr>
              <w:t>By:</w:t>
            </w:r>
          </w:p>
        </w:tc>
        <w:tc>
          <w:tcPr>
            <w:tcW w:w="342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3"/>
                <w:szCs w:val="13"/>
                <w:color w:val="auto"/>
              </w:rPr>
              <w:t>/s/ Thomas Ingenlath</w:t>
            </w:r>
          </w:p>
        </w:tc>
      </w:tr>
      <w:tr>
        <w:trPr>
          <w:trHeight w:val="138"/>
        </w:trPr>
        <w:tc>
          <w:tcPr>
            <w:tcW w:w="2580" w:type="dxa"/>
            <w:vAlign w:val="bottom"/>
          </w:tcPr>
          <w:p>
            <w:pPr>
              <w:spacing w:after="0"/>
              <w:rPr>
                <w:sz w:val="11"/>
                <w:szCs w:val="11"/>
                <w:color w:val="auto"/>
              </w:rPr>
            </w:pPr>
          </w:p>
        </w:tc>
        <w:tc>
          <w:tcPr>
            <w:tcW w:w="1740" w:type="dxa"/>
            <w:vAlign w:val="bottom"/>
          </w:tcPr>
          <w:p>
            <w:pPr>
              <w:ind w:left="1300"/>
              <w:spacing w:after="0" w:line="138" w:lineRule="exact"/>
              <w:rPr>
                <w:sz w:val="20"/>
                <w:szCs w:val="20"/>
                <w:color w:val="auto"/>
              </w:rPr>
            </w:pPr>
            <w:r>
              <w:rPr>
                <w:rFonts w:ascii="Times New Roman" w:cs="Times New Roman" w:eastAsia="Times New Roman" w:hAnsi="Times New Roman"/>
                <w:sz w:val="13"/>
                <w:szCs w:val="13"/>
                <w:color w:val="auto"/>
              </w:rPr>
              <w:t>Name:</w:t>
            </w:r>
          </w:p>
        </w:tc>
        <w:tc>
          <w:tcPr>
            <w:tcW w:w="3420" w:type="dxa"/>
            <w:vAlign w:val="bottom"/>
          </w:tcPr>
          <w:p>
            <w:pPr>
              <w:spacing w:after="0" w:line="138" w:lineRule="exact"/>
              <w:rPr>
                <w:sz w:val="20"/>
                <w:szCs w:val="20"/>
                <w:color w:val="auto"/>
              </w:rPr>
            </w:pPr>
            <w:r>
              <w:rPr>
                <w:rFonts w:ascii="Times New Roman" w:cs="Times New Roman" w:eastAsia="Times New Roman" w:hAnsi="Times New Roman"/>
                <w:sz w:val="13"/>
                <w:szCs w:val="13"/>
                <w:color w:val="auto"/>
              </w:rPr>
              <w:t>Thomas Ingenlath</w:t>
            </w:r>
          </w:p>
        </w:tc>
      </w:tr>
      <w:tr>
        <w:trPr>
          <w:trHeight w:val="165"/>
        </w:trPr>
        <w:tc>
          <w:tcPr>
            <w:tcW w:w="2580" w:type="dxa"/>
            <w:vAlign w:val="bottom"/>
          </w:tcPr>
          <w:p>
            <w:pPr>
              <w:spacing w:after="0"/>
              <w:rPr>
                <w:sz w:val="14"/>
                <w:szCs w:val="14"/>
                <w:color w:val="auto"/>
              </w:rPr>
            </w:pPr>
          </w:p>
        </w:tc>
        <w:tc>
          <w:tcPr>
            <w:tcW w:w="1740" w:type="dxa"/>
            <w:vAlign w:val="bottom"/>
          </w:tcPr>
          <w:p>
            <w:pPr>
              <w:ind w:left="1300"/>
              <w:spacing w:after="0"/>
              <w:rPr>
                <w:sz w:val="20"/>
                <w:szCs w:val="20"/>
                <w:color w:val="auto"/>
              </w:rPr>
            </w:pPr>
            <w:r>
              <w:rPr>
                <w:rFonts w:ascii="Times New Roman" w:cs="Times New Roman" w:eastAsia="Times New Roman" w:hAnsi="Times New Roman"/>
                <w:sz w:val="13"/>
                <w:szCs w:val="13"/>
                <w:color w:val="auto"/>
              </w:rPr>
              <w:t>Title:</w:t>
            </w:r>
          </w:p>
        </w:tc>
        <w:tc>
          <w:tcPr>
            <w:tcW w:w="3420" w:type="dxa"/>
            <w:vAlign w:val="bottom"/>
          </w:tcPr>
          <w:p>
            <w:pPr>
              <w:spacing w:after="0"/>
              <w:rPr>
                <w:sz w:val="20"/>
                <w:szCs w:val="20"/>
                <w:color w:val="auto"/>
              </w:rPr>
            </w:pPr>
            <w:r>
              <w:rPr>
                <w:rFonts w:ascii="Times New Roman" w:cs="Times New Roman" w:eastAsia="Times New Roman" w:hAnsi="Times New Roman"/>
                <w:sz w:val="13"/>
                <w:szCs w:val="13"/>
                <w:color w:val="auto"/>
              </w:rPr>
              <w:t>Chief Executive Officer</w:t>
            </w:r>
          </w:p>
        </w:tc>
      </w:tr>
      <w:tr>
        <w:trPr>
          <w:trHeight w:val="303"/>
        </w:trPr>
        <w:tc>
          <w:tcPr>
            <w:tcW w:w="2580" w:type="dxa"/>
            <w:vAlign w:val="bottom"/>
          </w:tcPr>
          <w:p>
            <w:pPr>
              <w:spacing w:after="0"/>
              <w:rPr>
                <w:sz w:val="24"/>
                <w:szCs w:val="24"/>
                <w:color w:val="auto"/>
              </w:rPr>
            </w:pPr>
          </w:p>
        </w:tc>
        <w:tc>
          <w:tcPr>
            <w:tcW w:w="1740" w:type="dxa"/>
            <w:vAlign w:val="bottom"/>
          </w:tcPr>
          <w:p>
            <w:pPr>
              <w:ind w:left="1300"/>
              <w:spacing w:after="0"/>
              <w:rPr>
                <w:sz w:val="20"/>
                <w:szCs w:val="20"/>
                <w:color w:val="auto"/>
              </w:rPr>
            </w:pPr>
            <w:r>
              <w:rPr>
                <w:rFonts w:ascii="Times New Roman" w:cs="Times New Roman" w:eastAsia="Times New Roman" w:hAnsi="Times New Roman"/>
                <w:sz w:val="13"/>
                <w:szCs w:val="13"/>
                <w:color w:val="auto"/>
              </w:rPr>
              <w:t>By:</w:t>
            </w:r>
          </w:p>
        </w:tc>
        <w:tc>
          <w:tcPr>
            <w:tcW w:w="342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3"/>
                <w:szCs w:val="13"/>
                <w:color w:val="auto"/>
              </w:rPr>
              <w:t>/s/ Johan Malmqvist</w:t>
            </w:r>
          </w:p>
        </w:tc>
      </w:tr>
      <w:tr>
        <w:trPr>
          <w:trHeight w:val="138"/>
        </w:trPr>
        <w:tc>
          <w:tcPr>
            <w:tcW w:w="2580" w:type="dxa"/>
            <w:vAlign w:val="bottom"/>
          </w:tcPr>
          <w:p>
            <w:pPr>
              <w:spacing w:after="0"/>
              <w:rPr>
                <w:sz w:val="11"/>
                <w:szCs w:val="11"/>
                <w:color w:val="auto"/>
              </w:rPr>
            </w:pPr>
          </w:p>
        </w:tc>
        <w:tc>
          <w:tcPr>
            <w:tcW w:w="1740" w:type="dxa"/>
            <w:vAlign w:val="bottom"/>
          </w:tcPr>
          <w:p>
            <w:pPr>
              <w:ind w:left="1300"/>
              <w:spacing w:after="0" w:line="138" w:lineRule="exact"/>
              <w:rPr>
                <w:sz w:val="20"/>
                <w:szCs w:val="20"/>
                <w:color w:val="auto"/>
              </w:rPr>
            </w:pPr>
            <w:r>
              <w:rPr>
                <w:rFonts w:ascii="Times New Roman" w:cs="Times New Roman" w:eastAsia="Times New Roman" w:hAnsi="Times New Roman"/>
                <w:sz w:val="13"/>
                <w:szCs w:val="13"/>
                <w:color w:val="auto"/>
              </w:rPr>
              <w:t>Name:</w:t>
            </w:r>
          </w:p>
        </w:tc>
        <w:tc>
          <w:tcPr>
            <w:tcW w:w="3420" w:type="dxa"/>
            <w:vAlign w:val="bottom"/>
          </w:tcPr>
          <w:p>
            <w:pPr>
              <w:spacing w:after="0" w:line="138" w:lineRule="exact"/>
              <w:rPr>
                <w:sz w:val="20"/>
                <w:szCs w:val="20"/>
                <w:color w:val="auto"/>
              </w:rPr>
            </w:pPr>
            <w:r>
              <w:rPr>
                <w:rFonts w:ascii="Times New Roman" w:cs="Times New Roman" w:eastAsia="Times New Roman" w:hAnsi="Times New Roman"/>
                <w:sz w:val="13"/>
                <w:szCs w:val="13"/>
                <w:color w:val="auto"/>
              </w:rPr>
              <w:t>Johan Malmqvist</w:t>
            </w:r>
          </w:p>
        </w:tc>
      </w:tr>
      <w:tr>
        <w:trPr>
          <w:trHeight w:val="165"/>
        </w:trPr>
        <w:tc>
          <w:tcPr>
            <w:tcW w:w="2580" w:type="dxa"/>
            <w:vAlign w:val="bottom"/>
          </w:tcPr>
          <w:p>
            <w:pPr>
              <w:spacing w:after="0"/>
              <w:rPr>
                <w:sz w:val="14"/>
                <w:szCs w:val="14"/>
                <w:color w:val="auto"/>
              </w:rPr>
            </w:pPr>
          </w:p>
        </w:tc>
        <w:tc>
          <w:tcPr>
            <w:tcW w:w="1740" w:type="dxa"/>
            <w:vAlign w:val="bottom"/>
          </w:tcPr>
          <w:p>
            <w:pPr>
              <w:ind w:left="1300"/>
              <w:spacing w:after="0"/>
              <w:rPr>
                <w:sz w:val="20"/>
                <w:szCs w:val="20"/>
                <w:color w:val="auto"/>
              </w:rPr>
            </w:pPr>
            <w:r>
              <w:rPr>
                <w:rFonts w:ascii="Times New Roman" w:cs="Times New Roman" w:eastAsia="Times New Roman" w:hAnsi="Times New Roman"/>
                <w:sz w:val="13"/>
                <w:szCs w:val="13"/>
                <w:color w:val="auto"/>
              </w:rPr>
              <w:t>Title:</w:t>
            </w:r>
          </w:p>
        </w:tc>
        <w:tc>
          <w:tcPr>
            <w:tcW w:w="3420" w:type="dxa"/>
            <w:vAlign w:val="bottom"/>
          </w:tcPr>
          <w:p>
            <w:pPr>
              <w:spacing w:after="0"/>
              <w:rPr>
                <w:sz w:val="20"/>
                <w:szCs w:val="20"/>
                <w:color w:val="auto"/>
              </w:rPr>
            </w:pPr>
            <w:r>
              <w:rPr>
                <w:rFonts w:ascii="Times New Roman" w:cs="Times New Roman" w:eastAsia="Times New Roman" w:hAnsi="Times New Roman"/>
                <w:sz w:val="13"/>
                <w:szCs w:val="13"/>
                <w:color w:val="auto"/>
              </w:rPr>
              <w:t>Chief Financial Officer</w:t>
            </w:r>
          </w:p>
        </w:tc>
      </w:tr>
      <w:tr>
        <w:trPr>
          <w:trHeight w:val="256"/>
        </w:trPr>
        <w:tc>
          <w:tcPr>
            <w:tcW w:w="2580" w:type="dxa"/>
            <w:vAlign w:val="bottom"/>
          </w:tcPr>
          <w:p>
            <w:pPr>
              <w:spacing w:after="0"/>
              <w:rPr>
                <w:sz w:val="22"/>
                <w:szCs w:val="22"/>
                <w:color w:val="auto"/>
              </w:rPr>
            </w:pPr>
          </w:p>
        </w:tc>
        <w:tc>
          <w:tcPr>
            <w:tcW w:w="1740" w:type="dxa"/>
            <w:vAlign w:val="bottom"/>
          </w:tcPr>
          <w:p>
            <w:pPr>
              <w:ind w:left="1260"/>
              <w:spacing w:after="0"/>
              <w:rPr>
                <w:sz w:val="20"/>
                <w:szCs w:val="20"/>
                <w:color w:val="auto"/>
              </w:rPr>
            </w:pPr>
            <w:r>
              <w:rPr>
                <w:rFonts w:ascii="Times New Roman" w:cs="Times New Roman" w:eastAsia="Times New Roman" w:hAnsi="Times New Roman"/>
                <w:sz w:val="13"/>
                <w:szCs w:val="13"/>
                <w:color w:val="auto"/>
              </w:rPr>
              <w:t>4</w:t>
            </w:r>
          </w:p>
        </w:tc>
        <w:tc>
          <w:tcPr>
            <w:tcW w:w="3420" w:type="dxa"/>
            <w:vAlign w:val="bottom"/>
          </w:tcPr>
          <w:p>
            <w:pPr>
              <w:spacing w:after="0"/>
              <w:rPr>
                <w:sz w:val="22"/>
                <w:szCs w:val="22"/>
                <w:color w:val="auto"/>
              </w:rPr>
            </w:pPr>
          </w:p>
        </w:tc>
      </w:tr>
    </w:tbl>
    <w:p>
      <w:pPr>
        <w:sectPr>
          <w:pgSz w:w="11900" w:h="16838" w:orient="portrait"/>
          <w:cols w:equalWidth="0" w:num="1">
            <w:col w:w="9019"/>
          </w:cols>
          <w:pgMar w:left="1440" w:top="229" w:right="1440" w:bottom="1440" w:gutter="0" w:footer="0" w:header="0"/>
        </w:sectPr>
      </w:pPr>
    </w:p>
    <w:bookmarkStart w:id="4" w:name="page5"/>
    <w:bookmarkEnd w:id="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187960</wp:posOffset>
            </wp:positionH>
            <wp:positionV relativeFrom="page">
              <wp:posOffset>88900</wp:posOffset>
            </wp:positionV>
            <wp:extent cx="7216140" cy="40620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7216140" cy="40620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8754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10425" cy="387540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8754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210425" cy="387540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9" w:name="page30"/>
    <w:bookmarkEnd w:id="2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0" w:name="page31"/>
    <w:bookmarkEnd w:id="3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1" w:name="page32"/>
    <w:bookmarkEnd w:id="3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2" w:name="page33"/>
    <w:bookmarkEnd w:id="3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3" w:name="page34"/>
    <w:bookmarkEnd w:id="3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8754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10425" cy="387540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4" w:name="page35"/>
    <w:bookmarkEnd w:id="3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5" w:name="page36"/>
    <w:bookmarkEnd w:id="3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6" w:name="page37"/>
    <w:bookmarkEnd w:id="3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7" w:name="page38"/>
    <w:bookmarkEnd w:id="3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8" w:name="page39"/>
    <w:bookmarkEnd w:id="3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9" w:name="page40"/>
    <w:bookmarkEnd w:id="3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0" w:name="page41"/>
    <w:bookmarkEnd w:id="4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1" w:name="page42"/>
    <w:bookmarkEnd w:id="4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10425" cy="304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2" w:name="page43"/>
    <w:bookmarkEnd w:id="4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28840" cy="417639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28840" cy="41763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3" w:name="page44"/>
    <w:bookmarkEnd w:id="43"/>
    <w:p>
      <w:pPr>
        <w:jc w:val="right"/>
        <w:ind w:right="639"/>
        <w:spacing w:after="0"/>
        <w:rPr>
          <w:sz w:val="20"/>
          <w:szCs w:val="20"/>
          <w:color w:val="auto"/>
        </w:rPr>
      </w:pPr>
      <w:r>
        <w:rPr>
          <w:rFonts w:ascii="Times New Roman" w:cs="Times New Roman" w:eastAsia="Times New Roman" w:hAnsi="Times New Roman"/>
          <w:sz w:val="13"/>
          <w:szCs w:val="13"/>
          <w:b w:val="1"/>
          <w:bCs w:val="1"/>
          <w:color w:val="auto"/>
        </w:rPr>
        <w:t>Exhibit 99.2</w:t>
      </w:r>
    </w:p>
    <w:p>
      <w:pPr>
        <w:spacing w:after="0" w:line="15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b w:val="1"/>
          <w:bCs w:val="1"/>
          <w:color w:val="auto"/>
        </w:rPr>
        <w:t>Management’s Discussion and Analysis of Financial Conditions and Results of Operations</w:t>
      </w:r>
    </w:p>
    <w:p>
      <w:pPr>
        <w:spacing w:after="0" w:line="154" w:lineRule="exact"/>
        <w:rPr>
          <w:sz w:val="20"/>
          <w:szCs w:val="20"/>
          <w:color w:val="auto"/>
        </w:rPr>
      </w:pPr>
    </w:p>
    <w:p>
      <w:pPr>
        <w:ind w:left="640" w:right="799"/>
        <w:spacing w:after="0" w:line="250" w:lineRule="auto"/>
        <w:rPr>
          <w:sz w:val="20"/>
          <w:szCs w:val="20"/>
          <w:color w:val="auto"/>
        </w:rPr>
      </w:pPr>
      <w:r>
        <w:rPr>
          <w:rFonts w:ascii="Times New Roman" w:cs="Times New Roman" w:eastAsia="Times New Roman" w:hAnsi="Times New Roman"/>
          <w:sz w:val="13"/>
          <w:szCs w:val="13"/>
          <w:i w:val="1"/>
          <w:iCs w:val="1"/>
          <w:color w:val="auto"/>
        </w:rPr>
        <w:t>The following discussion includes information that is relevant to understanding Polestar’s financial condition and results of operations and should be read together with the Unaudited Condensed Consolidated Financial Statements as of September 30, 2022 and for the three and nine months ended September 30, 2022, included elsewhere in this report. Refer to the Form 20-F filed with the SEC on June 29, 2022 for information related to the year ended December 31, 2021. All amounts presented in this report are shown in thousands of U.S. dollars, except per share data and unless otherwise stated.</w:t>
      </w:r>
    </w:p>
    <w:p>
      <w:pPr>
        <w:spacing w:after="0" w:line="207"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Key figures</w:t>
      </w:r>
    </w:p>
    <w:p>
      <w:pPr>
        <w:spacing w:after="0" w:line="171" w:lineRule="exact"/>
        <w:rPr>
          <w:sz w:val="20"/>
          <w:szCs w:val="20"/>
          <w:color w:val="auto"/>
        </w:rPr>
      </w:pPr>
    </w:p>
    <w:tbl>
      <w:tblPr>
        <w:tblLayout w:type="fixed"/>
        <w:tblInd w:w="1260" w:type="dxa"/>
        <w:tblCellMar>
          <w:top w:w="0" w:type="dxa"/>
          <w:left w:w="0" w:type="dxa"/>
          <w:bottom w:w="0" w:type="dxa"/>
          <w:right w:w="0" w:type="dxa"/>
        </w:tblCellMar>
      </w:tblPr>
      <w:tr>
        <w:trPr>
          <w:trHeight w:val="121"/>
        </w:trPr>
        <w:tc>
          <w:tcPr>
            <w:tcW w:w="300" w:type="dxa"/>
            <w:vAlign w:val="bottom"/>
          </w:tcPr>
          <w:p>
            <w:pPr>
              <w:spacing w:after="0"/>
              <w:rPr>
                <w:sz w:val="10"/>
                <w:szCs w:val="10"/>
                <w:color w:val="auto"/>
              </w:rPr>
            </w:pPr>
          </w:p>
        </w:tc>
        <w:tc>
          <w:tcPr>
            <w:tcW w:w="2500" w:type="dxa"/>
            <w:vAlign w:val="bottom"/>
          </w:tcPr>
          <w:p>
            <w:pPr>
              <w:spacing w:after="0"/>
              <w:rPr>
                <w:sz w:val="10"/>
                <w:szCs w:val="10"/>
                <w:color w:val="auto"/>
              </w:rPr>
            </w:pPr>
          </w:p>
        </w:tc>
        <w:tc>
          <w:tcPr>
            <w:tcW w:w="122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600" w:type="dxa"/>
            <w:vAlign w:val="bottom"/>
            <w:gridSpan w:val="4"/>
          </w:tcPr>
          <w:p>
            <w:pPr>
              <w:jc w:val="right"/>
              <w:ind w:right="60"/>
              <w:spacing w:after="0"/>
              <w:rPr>
                <w:sz w:val="20"/>
                <w:szCs w:val="20"/>
                <w:color w:val="auto"/>
              </w:rPr>
            </w:pPr>
            <w:r>
              <w:rPr>
                <w:rFonts w:ascii="Times New Roman" w:cs="Times New Roman" w:eastAsia="Times New Roman" w:hAnsi="Times New Roman"/>
                <w:sz w:val="10"/>
                <w:szCs w:val="10"/>
                <w:b w:val="1"/>
                <w:bCs w:val="1"/>
                <w:color w:val="auto"/>
                <w:w w:val="85"/>
              </w:rPr>
              <w:t>September 30,</w:t>
            </w:r>
          </w:p>
        </w:tc>
        <w:tc>
          <w:tcPr>
            <w:tcW w:w="140" w:type="dxa"/>
            <w:vAlign w:val="bottom"/>
          </w:tcPr>
          <w:p>
            <w:pPr>
              <w:spacing w:after="0"/>
              <w:rPr>
                <w:sz w:val="10"/>
                <w:szCs w:val="10"/>
                <w:color w:val="auto"/>
              </w:rPr>
            </w:pPr>
          </w:p>
        </w:tc>
        <w:tc>
          <w:tcPr>
            <w:tcW w:w="980" w:type="dxa"/>
            <w:vAlign w:val="bottom"/>
            <w:gridSpan w:val="7"/>
          </w:tcPr>
          <w:p>
            <w:pPr>
              <w:jc w:val="center"/>
              <w:ind w:right="400"/>
              <w:spacing w:after="0"/>
              <w:rPr>
                <w:sz w:val="20"/>
                <w:szCs w:val="20"/>
                <w:color w:val="auto"/>
              </w:rPr>
            </w:pPr>
            <w:r>
              <w:rPr>
                <w:rFonts w:ascii="Times New Roman" w:cs="Times New Roman" w:eastAsia="Times New Roman" w:hAnsi="Times New Roman"/>
                <w:sz w:val="10"/>
                <w:szCs w:val="10"/>
                <w:b w:val="1"/>
                <w:bCs w:val="1"/>
                <w:color w:val="auto"/>
                <w:w w:val="99"/>
              </w:rPr>
              <w:t>December 31,</w:t>
            </w:r>
          </w:p>
        </w:tc>
        <w:tc>
          <w:tcPr>
            <w:tcW w:w="0" w:type="dxa"/>
            <w:vAlign w:val="bottom"/>
          </w:tcPr>
          <w:p>
            <w:pPr>
              <w:spacing w:after="0"/>
              <w:rPr>
                <w:sz w:val="1"/>
                <w:szCs w:val="1"/>
                <w:color w:val="auto"/>
              </w:rPr>
            </w:pPr>
          </w:p>
        </w:tc>
      </w:tr>
      <w:tr>
        <w:trPr>
          <w:trHeight w:val="94"/>
        </w:trPr>
        <w:tc>
          <w:tcPr>
            <w:tcW w:w="300" w:type="dxa"/>
            <w:vAlign w:val="bottom"/>
          </w:tcPr>
          <w:p>
            <w:pPr>
              <w:spacing w:after="0"/>
              <w:rPr>
                <w:sz w:val="8"/>
                <w:szCs w:val="8"/>
                <w:color w:val="auto"/>
              </w:rPr>
            </w:pPr>
          </w:p>
        </w:tc>
        <w:tc>
          <w:tcPr>
            <w:tcW w:w="2500" w:type="dxa"/>
            <w:vAlign w:val="bottom"/>
            <w:tcBorders>
              <w:bottom w:val="single" w:sz="8" w:color="CCEEFF"/>
            </w:tcBorders>
          </w:tcPr>
          <w:p>
            <w:pPr>
              <w:spacing w:after="0"/>
              <w:rPr>
                <w:sz w:val="8"/>
                <w:szCs w:val="8"/>
                <w:color w:val="auto"/>
              </w:rPr>
            </w:pPr>
          </w:p>
        </w:tc>
        <w:tc>
          <w:tcPr>
            <w:tcW w:w="1220" w:type="dxa"/>
            <w:vAlign w:val="bottom"/>
            <w:tcBorders>
              <w:bottom w:val="single" w:sz="8" w:color="CCEEFF"/>
            </w:tcBorders>
          </w:tcPr>
          <w:p>
            <w:pPr>
              <w:spacing w:after="0"/>
              <w:rPr>
                <w:sz w:val="8"/>
                <w:szCs w:val="8"/>
                <w:color w:val="auto"/>
              </w:rPr>
            </w:pPr>
          </w:p>
        </w:tc>
        <w:tc>
          <w:tcPr>
            <w:tcW w:w="760" w:type="dxa"/>
            <w:vAlign w:val="bottom"/>
            <w:tcBorders>
              <w:bottom w:val="single" w:sz="8" w:color="CCEEFF"/>
            </w:tcBorders>
          </w:tcPr>
          <w:p>
            <w:pPr>
              <w:spacing w:after="0"/>
              <w:rPr>
                <w:sz w:val="8"/>
                <w:szCs w:val="8"/>
                <w:color w:val="auto"/>
              </w:rPr>
            </w:pPr>
          </w:p>
        </w:tc>
        <w:tc>
          <w:tcPr>
            <w:tcW w:w="80" w:type="dxa"/>
            <w:vAlign w:val="bottom"/>
            <w:tcBorders>
              <w:top w:val="single" w:sz="8" w:color="auto"/>
              <w:bottom w:val="single" w:sz="8" w:color="auto"/>
            </w:tcBorders>
          </w:tcPr>
          <w:p>
            <w:pPr>
              <w:spacing w:after="0"/>
              <w:rPr>
                <w:sz w:val="8"/>
                <w:szCs w:val="8"/>
                <w:color w:val="auto"/>
              </w:rPr>
            </w:pPr>
          </w:p>
        </w:tc>
        <w:tc>
          <w:tcPr>
            <w:tcW w:w="460" w:type="dxa"/>
            <w:vAlign w:val="bottom"/>
            <w:tcBorders>
              <w:top w:val="single" w:sz="8" w:color="auto"/>
              <w:bottom w:val="single" w:sz="8" w:color="auto"/>
            </w:tcBorders>
            <w:gridSpan w:val="2"/>
          </w:tcPr>
          <w:p>
            <w:pPr>
              <w:jc w:val="right"/>
              <w:ind w:right="137"/>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60" w:type="dxa"/>
            <w:vAlign w:val="bottom"/>
            <w:tcBorders>
              <w:bottom w:val="single" w:sz="8" w:color="CCEEFF"/>
            </w:tcBorders>
          </w:tcPr>
          <w:p>
            <w:pPr>
              <w:spacing w:after="0"/>
              <w:rPr>
                <w:sz w:val="8"/>
                <w:szCs w:val="8"/>
                <w:color w:val="auto"/>
              </w:rPr>
            </w:pPr>
          </w:p>
        </w:tc>
        <w:tc>
          <w:tcPr>
            <w:tcW w:w="140" w:type="dxa"/>
            <w:vAlign w:val="bottom"/>
            <w:tcBorders>
              <w:bottom w:val="single" w:sz="8" w:color="CCEEFF"/>
            </w:tcBorders>
          </w:tcPr>
          <w:p>
            <w:pPr>
              <w:spacing w:after="0"/>
              <w:rPr>
                <w:sz w:val="8"/>
                <w:szCs w:val="8"/>
                <w:color w:val="auto"/>
              </w:rPr>
            </w:pPr>
          </w:p>
        </w:tc>
        <w:tc>
          <w:tcPr>
            <w:tcW w:w="80" w:type="dxa"/>
            <w:vAlign w:val="bottom"/>
            <w:tcBorders>
              <w:top w:val="single" w:sz="8" w:color="auto"/>
              <w:bottom w:val="single" w:sz="8" w:color="auto"/>
            </w:tcBorders>
          </w:tcPr>
          <w:p>
            <w:pPr>
              <w:spacing w:after="0"/>
              <w:rPr>
                <w:sz w:val="8"/>
                <w:szCs w:val="8"/>
                <w:color w:val="auto"/>
              </w:rPr>
            </w:pPr>
          </w:p>
        </w:tc>
        <w:tc>
          <w:tcPr>
            <w:tcW w:w="40" w:type="dxa"/>
            <w:vAlign w:val="bottom"/>
            <w:tcBorders>
              <w:top w:val="single" w:sz="8" w:color="auto"/>
              <w:bottom w:val="single" w:sz="8" w:color="auto"/>
            </w:tcBorders>
          </w:tcPr>
          <w:p>
            <w:pPr>
              <w:spacing w:after="0"/>
              <w:rPr>
                <w:sz w:val="8"/>
                <w:szCs w:val="8"/>
                <w:color w:val="auto"/>
              </w:rPr>
            </w:pPr>
          </w:p>
        </w:tc>
        <w:tc>
          <w:tcPr>
            <w:tcW w:w="460" w:type="dxa"/>
            <w:vAlign w:val="bottom"/>
            <w:tcBorders>
              <w:top w:val="single" w:sz="8" w:color="auto"/>
              <w:bottom w:val="single" w:sz="8" w:color="auto"/>
            </w:tcBorders>
            <w:gridSpan w:val="2"/>
          </w:tcPr>
          <w:p>
            <w:pPr>
              <w:jc w:val="right"/>
              <w:ind w:right="125"/>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80" w:type="dxa"/>
            <w:vAlign w:val="bottom"/>
            <w:tcBorders>
              <w:bottom w:val="single" w:sz="8" w:color="CCEEFF"/>
            </w:tcBorders>
          </w:tcPr>
          <w:p>
            <w:pPr>
              <w:spacing w:after="0"/>
              <w:rPr>
                <w:sz w:val="8"/>
                <w:szCs w:val="8"/>
                <w:color w:val="auto"/>
              </w:rPr>
            </w:pPr>
          </w:p>
        </w:tc>
        <w:tc>
          <w:tcPr>
            <w:tcW w:w="240" w:type="dxa"/>
            <w:vAlign w:val="bottom"/>
          </w:tcPr>
          <w:p>
            <w:pPr>
              <w:spacing w:after="0"/>
              <w:rPr>
                <w:sz w:val="8"/>
                <w:szCs w:val="8"/>
                <w:color w:val="auto"/>
              </w:rPr>
            </w:pP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2"/>
        </w:trPr>
        <w:tc>
          <w:tcPr>
            <w:tcW w:w="300" w:type="dxa"/>
            <w:vAlign w:val="bottom"/>
          </w:tcPr>
          <w:p>
            <w:pPr>
              <w:spacing w:after="0"/>
              <w:rPr>
                <w:sz w:val="11"/>
                <w:szCs w:val="11"/>
                <w:color w:val="auto"/>
              </w:rPr>
            </w:pPr>
          </w:p>
        </w:tc>
        <w:tc>
          <w:tcPr>
            <w:tcW w:w="2500" w:type="dxa"/>
            <w:vAlign w:val="bottom"/>
            <w:shd w:val="clear" w:color="auto" w:fill="CCEEFF"/>
          </w:tcPr>
          <w:p>
            <w:pPr>
              <w:spacing w:after="0" w:line="132" w:lineRule="exact"/>
              <w:rPr>
                <w:sz w:val="20"/>
                <w:szCs w:val="20"/>
                <w:color w:val="auto"/>
              </w:rPr>
            </w:pPr>
            <w:r>
              <w:rPr>
                <w:rFonts w:ascii="Times New Roman" w:cs="Times New Roman" w:eastAsia="Times New Roman" w:hAnsi="Times New Roman"/>
                <w:sz w:val="13"/>
                <w:szCs w:val="13"/>
                <w:b w:val="1"/>
                <w:bCs w:val="1"/>
                <w:color w:val="auto"/>
              </w:rPr>
              <w:t>Statement of financial position</w:t>
            </w:r>
          </w:p>
        </w:tc>
        <w:tc>
          <w:tcPr>
            <w:tcW w:w="1220" w:type="dxa"/>
            <w:vAlign w:val="bottom"/>
            <w:shd w:val="clear" w:color="auto" w:fill="CCEEFF"/>
          </w:tcPr>
          <w:p>
            <w:pPr>
              <w:spacing w:after="0"/>
              <w:rPr>
                <w:sz w:val="11"/>
                <w:szCs w:val="11"/>
                <w:color w:val="auto"/>
              </w:rPr>
            </w:pPr>
          </w:p>
        </w:tc>
        <w:tc>
          <w:tcPr>
            <w:tcW w:w="76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2"/>
        </w:trPr>
        <w:tc>
          <w:tcPr>
            <w:tcW w:w="300" w:type="dxa"/>
            <w:vAlign w:val="bottom"/>
          </w:tcPr>
          <w:p>
            <w:pPr>
              <w:spacing w:after="0"/>
              <w:rPr>
                <w:sz w:val="13"/>
                <w:szCs w:val="13"/>
                <w:color w:val="auto"/>
              </w:rPr>
            </w:pPr>
          </w:p>
        </w:tc>
        <w:tc>
          <w:tcPr>
            <w:tcW w:w="2500" w:type="dxa"/>
            <w:vAlign w:val="bottom"/>
          </w:tcPr>
          <w:p>
            <w:pPr>
              <w:spacing w:after="0"/>
              <w:rPr>
                <w:sz w:val="20"/>
                <w:szCs w:val="20"/>
                <w:color w:val="auto"/>
              </w:rPr>
            </w:pPr>
            <w:r>
              <w:rPr>
                <w:rFonts w:ascii="Times New Roman" w:cs="Times New Roman" w:eastAsia="Times New Roman" w:hAnsi="Times New Roman"/>
                <w:sz w:val="13"/>
                <w:szCs w:val="13"/>
                <w:color w:val="auto"/>
              </w:rPr>
              <w:t>Cash and cash equivalents</w:t>
            </w:r>
          </w:p>
        </w:tc>
        <w:tc>
          <w:tcPr>
            <w:tcW w:w="1220" w:type="dxa"/>
            <w:vAlign w:val="bottom"/>
          </w:tcPr>
          <w:p>
            <w:pPr>
              <w:spacing w:after="0"/>
              <w:rPr>
                <w:sz w:val="13"/>
                <w:szCs w:val="13"/>
                <w:color w:val="auto"/>
              </w:rPr>
            </w:pPr>
          </w:p>
        </w:tc>
        <w:tc>
          <w:tcPr>
            <w:tcW w:w="7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20" w:type="dxa"/>
            <w:vAlign w:val="bottom"/>
            <w:gridSpan w:val="3"/>
          </w:tcPr>
          <w:p>
            <w:pPr>
              <w:jc w:val="right"/>
              <w:ind w:right="60"/>
              <w:spacing w:after="0"/>
              <w:rPr>
                <w:sz w:val="20"/>
                <w:szCs w:val="20"/>
                <w:color w:val="auto"/>
              </w:rPr>
            </w:pPr>
            <w:r>
              <w:rPr>
                <w:rFonts w:ascii="Times New Roman" w:cs="Times New Roman" w:eastAsia="Times New Roman" w:hAnsi="Times New Roman"/>
                <w:sz w:val="13"/>
                <w:szCs w:val="13"/>
                <w:color w:val="auto"/>
              </w:rPr>
              <w:t>988,259</w:t>
            </w:r>
          </w:p>
        </w:tc>
        <w:tc>
          <w:tcPr>
            <w:tcW w:w="1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540" w:type="dxa"/>
            <w:vAlign w:val="bottom"/>
            <w:gridSpan w:val="3"/>
          </w:tcPr>
          <w:p>
            <w:pPr>
              <w:jc w:val="right"/>
              <w:ind w:right="80"/>
              <w:spacing w:after="0"/>
              <w:rPr>
                <w:sz w:val="20"/>
                <w:szCs w:val="20"/>
                <w:color w:val="auto"/>
              </w:rPr>
            </w:pPr>
            <w:r>
              <w:rPr>
                <w:rFonts w:ascii="Times New Roman" w:cs="Times New Roman" w:eastAsia="Times New Roman" w:hAnsi="Times New Roman"/>
                <w:sz w:val="13"/>
                <w:szCs w:val="13"/>
                <w:color w:val="auto"/>
              </w:rPr>
              <w:t>756,677</w:t>
            </w:r>
          </w:p>
        </w:tc>
        <w:tc>
          <w:tcPr>
            <w:tcW w:w="2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300" w:type="dxa"/>
            <w:vAlign w:val="bottom"/>
          </w:tcPr>
          <w:p>
            <w:pPr>
              <w:spacing w:after="0"/>
              <w:rPr>
                <w:sz w:val="13"/>
                <w:szCs w:val="13"/>
                <w:color w:val="auto"/>
              </w:rPr>
            </w:pPr>
          </w:p>
        </w:tc>
        <w:tc>
          <w:tcPr>
            <w:tcW w:w="25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Total assets</w:t>
            </w:r>
          </w:p>
        </w:tc>
        <w:tc>
          <w:tcPr>
            <w:tcW w:w="2580" w:type="dxa"/>
            <w:vAlign w:val="bottom"/>
            <w:gridSpan w:val="6"/>
            <w:shd w:val="clear" w:color="auto" w:fill="CCEEFF"/>
          </w:tcPr>
          <w:p>
            <w:pPr>
              <w:jc w:val="right"/>
              <w:ind w:right="60"/>
              <w:spacing w:after="0"/>
              <w:rPr>
                <w:sz w:val="20"/>
                <w:szCs w:val="20"/>
                <w:color w:val="auto"/>
              </w:rPr>
            </w:pPr>
            <w:r>
              <w:rPr>
                <w:rFonts w:ascii="Times New Roman" w:cs="Times New Roman" w:eastAsia="Times New Roman" w:hAnsi="Times New Roman"/>
                <w:sz w:val="13"/>
                <w:szCs w:val="13"/>
                <w:color w:val="auto"/>
              </w:rPr>
              <w:t>3,649,461</w:t>
            </w:r>
          </w:p>
        </w:tc>
        <w:tc>
          <w:tcPr>
            <w:tcW w:w="800" w:type="dxa"/>
            <w:vAlign w:val="bottom"/>
            <w:gridSpan w:val="6"/>
            <w:shd w:val="clear" w:color="auto" w:fill="CCEEFF"/>
          </w:tcPr>
          <w:p>
            <w:pPr>
              <w:jc w:val="right"/>
              <w:ind w:right="80"/>
              <w:spacing w:after="0"/>
              <w:rPr>
                <w:sz w:val="20"/>
                <w:szCs w:val="20"/>
                <w:color w:val="auto"/>
              </w:rPr>
            </w:pPr>
            <w:r>
              <w:rPr>
                <w:rFonts w:ascii="Times New Roman" w:cs="Times New Roman" w:eastAsia="Times New Roman" w:hAnsi="Times New Roman"/>
                <w:sz w:val="13"/>
                <w:szCs w:val="13"/>
                <w:color w:val="auto"/>
              </w:rPr>
              <w:t>3,309,693</w:t>
            </w:r>
          </w:p>
        </w:tc>
        <w:tc>
          <w:tcPr>
            <w:tcW w:w="2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300" w:type="dxa"/>
            <w:vAlign w:val="bottom"/>
          </w:tcPr>
          <w:p>
            <w:pPr>
              <w:spacing w:after="0"/>
              <w:rPr>
                <w:sz w:val="13"/>
                <w:szCs w:val="13"/>
                <w:color w:val="auto"/>
              </w:rPr>
            </w:pPr>
          </w:p>
        </w:tc>
        <w:tc>
          <w:tcPr>
            <w:tcW w:w="2500" w:type="dxa"/>
            <w:vAlign w:val="bottom"/>
          </w:tcPr>
          <w:p>
            <w:pPr>
              <w:spacing w:after="0"/>
              <w:rPr>
                <w:sz w:val="20"/>
                <w:szCs w:val="20"/>
                <w:color w:val="auto"/>
              </w:rPr>
            </w:pPr>
            <w:r>
              <w:rPr>
                <w:rFonts w:ascii="Times New Roman" w:cs="Times New Roman" w:eastAsia="Times New Roman" w:hAnsi="Times New Roman"/>
                <w:sz w:val="13"/>
                <w:szCs w:val="13"/>
                <w:color w:val="auto"/>
              </w:rPr>
              <w:t>Total equity</w:t>
            </w:r>
          </w:p>
        </w:tc>
        <w:tc>
          <w:tcPr>
            <w:tcW w:w="1220" w:type="dxa"/>
            <w:vAlign w:val="bottom"/>
          </w:tcPr>
          <w:p>
            <w:pPr>
              <w:spacing w:after="0"/>
              <w:rPr>
                <w:sz w:val="13"/>
                <w:szCs w:val="13"/>
                <w:color w:val="auto"/>
              </w:rPr>
            </w:pPr>
          </w:p>
        </w:tc>
        <w:tc>
          <w:tcPr>
            <w:tcW w:w="7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20" w:type="dxa"/>
            <w:vAlign w:val="bottom"/>
            <w:gridSpan w:val="3"/>
          </w:tcPr>
          <w:p>
            <w:pPr>
              <w:jc w:val="right"/>
              <w:spacing w:after="0"/>
              <w:rPr>
                <w:sz w:val="20"/>
                <w:szCs w:val="20"/>
                <w:color w:val="auto"/>
              </w:rPr>
            </w:pPr>
            <w:r>
              <w:rPr>
                <w:rFonts w:ascii="Times New Roman" w:cs="Times New Roman" w:eastAsia="Times New Roman" w:hAnsi="Times New Roman"/>
                <w:sz w:val="13"/>
                <w:szCs w:val="13"/>
                <w:color w:val="auto"/>
                <w:w w:val="98"/>
              </w:rPr>
              <w:t>(136,680)</w:t>
            </w:r>
          </w:p>
        </w:tc>
        <w:tc>
          <w:tcPr>
            <w:tcW w:w="1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540" w:type="dxa"/>
            <w:vAlign w:val="bottom"/>
            <w:gridSpan w:val="3"/>
          </w:tcPr>
          <w:p>
            <w:pPr>
              <w:jc w:val="right"/>
              <w:ind w:right="40"/>
              <w:spacing w:after="0"/>
              <w:rPr>
                <w:sz w:val="20"/>
                <w:szCs w:val="20"/>
                <w:color w:val="auto"/>
              </w:rPr>
            </w:pPr>
            <w:r>
              <w:rPr>
                <w:rFonts w:ascii="Times New Roman" w:cs="Times New Roman" w:eastAsia="Times New Roman" w:hAnsi="Times New Roman"/>
                <w:sz w:val="13"/>
                <w:szCs w:val="13"/>
                <w:color w:val="auto"/>
                <w:w w:val="94"/>
              </w:rPr>
              <w:t>(122,496)</w:t>
            </w:r>
          </w:p>
        </w:tc>
        <w:tc>
          <w:tcPr>
            <w:tcW w:w="2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300" w:type="dxa"/>
            <w:vAlign w:val="bottom"/>
          </w:tcPr>
          <w:p>
            <w:pPr>
              <w:spacing w:after="0"/>
              <w:rPr>
                <w:sz w:val="13"/>
                <w:szCs w:val="13"/>
                <w:color w:val="auto"/>
              </w:rPr>
            </w:pPr>
          </w:p>
        </w:tc>
        <w:tc>
          <w:tcPr>
            <w:tcW w:w="25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Total liabilities</w:t>
            </w:r>
          </w:p>
        </w:tc>
        <w:tc>
          <w:tcPr>
            <w:tcW w:w="2580" w:type="dxa"/>
            <w:vAlign w:val="bottom"/>
            <w:gridSpan w:val="6"/>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(3,512,782)</w:t>
            </w:r>
          </w:p>
        </w:tc>
        <w:tc>
          <w:tcPr>
            <w:tcW w:w="800" w:type="dxa"/>
            <w:vAlign w:val="bottom"/>
            <w:gridSpan w:val="6"/>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(3,187,197)</w:t>
            </w:r>
          </w:p>
        </w:tc>
        <w:tc>
          <w:tcPr>
            <w:tcW w:w="2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58"/>
        </w:trPr>
        <w:tc>
          <w:tcPr>
            <w:tcW w:w="300" w:type="dxa"/>
            <w:vAlign w:val="bottom"/>
          </w:tcPr>
          <w:p>
            <w:pPr>
              <w:spacing w:after="0"/>
              <w:rPr>
                <w:sz w:val="22"/>
                <w:szCs w:val="22"/>
                <w:color w:val="auto"/>
              </w:rPr>
            </w:pPr>
          </w:p>
        </w:tc>
        <w:tc>
          <w:tcPr>
            <w:tcW w:w="2500" w:type="dxa"/>
            <w:vAlign w:val="bottom"/>
          </w:tcPr>
          <w:p>
            <w:pPr>
              <w:spacing w:after="0"/>
              <w:rPr>
                <w:sz w:val="22"/>
                <w:szCs w:val="22"/>
                <w:color w:val="auto"/>
              </w:rPr>
            </w:pPr>
          </w:p>
        </w:tc>
        <w:tc>
          <w:tcPr>
            <w:tcW w:w="1220" w:type="dxa"/>
            <w:vAlign w:val="bottom"/>
          </w:tcPr>
          <w:p>
            <w:pPr>
              <w:spacing w:after="0"/>
              <w:rPr>
                <w:sz w:val="22"/>
                <w:szCs w:val="22"/>
                <w:color w:val="auto"/>
              </w:rPr>
            </w:pPr>
          </w:p>
        </w:tc>
        <w:tc>
          <w:tcPr>
            <w:tcW w:w="1620" w:type="dxa"/>
            <w:vAlign w:val="bottom"/>
            <w:gridSpan w:val="8"/>
            <w:vMerge w:val="restart"/>
          </w:tcPr>
          <w:p>
            <w:pPr>
              <w:jc w:val="right"/>
              <w:ind w:right="260"/>
              <w:spacing w:after="0"/>
              <w:rPr>
                <w:sz w:val="20"/>
                <w:szCs w:val="20"/>
                <w:color w:val="auto"/>
              </w:rPr>
            </w:pPr>
            <w:r>
              <w:rPr>
                <w:rFonts w:ascii="Times New Roman" w:cs="Times New Roman" w:eastAsia="Times New Roman" w:hAnsi="Times New Roman"/>
                <w:sz w:val="10"/>
                <w:szCs w:val="10"/>
                <w:b w:val="1"/>
                <w:bCs w:val="1"/>
                <w:color w:val="auto"/>
              </w:rPr>
              <w:t>For the nine months ended</w:t>
            </w:r>
          </w:p>
        </w:tc>
        <w:tc>
          <w:tcPr>
            <w:tcW w:w="100" w:type="dxa"/>
            <w:vAlign w:val="bottom"/>
          </w:tcPr>
          <w:p>
            <w:pPr>
              <w:spacing w:after="0"/>
              <w:rPr>
                <w:sz w:val="22"/>
                <w:szCs w:val="22"/>
                <w:color w:val="auto"/>
              </w:rPr>
            </w:pPr>
          </w:p>
        </w:tc>
        <w:tc>
          <w:tcPr>
            <w:tcW w:w="760" w:type="dxa"/>
            <w:vAlign w:val="bottom"/>
            <w:gridSpan w:val="4"/>
          </w:tcPr>
          <w:p>
            <w:pPr>
              <w:jc w:val="center"/>
              <w:ind w:right="80"/>
              <w:spacing w:after="0"/>
              <w:rPr>
                <w:sz w:val="20"/>
                <w:szCs w:val="20"/>
                <w:color w:val="auto"/>
              </w:rPr>
            </w:pPr>
            <w:r>
              <w:rPr>
                <w:rFonts w:ascii="Times New Roman" w:cs="Times New Roman" w:eastAsia="Times New Roman" w:hAnsi="Times New Roman"/>
                <w:sz w:val="10"/>
                <w:szCs w:val="10"/>
                <w:b w:val="1"/>
                <w:bCs w:val="1"/>
                <w:color w:val="auto"/>
                <w:w w:val="98"/>
              </w:rPr>
              <w:t>For the year</w:t>
            </w:r>
          </w:p>
        </w:tc>
        <w:tc>
          <w:tcPr>
            <w:tcW w:w="0" w:type="dxa"/>
            <w:vAlign w:val="bottom"/>
          </w:tcPr>
          <w:p>
            <w:pPr>
              <w:spacing w:after="0"/>
              <w:rPr>
                <w:sz w:val="1"/>
                <w:szCs w:val="1"/>
                <w:color w:val="auto"/>
              </w:rPr>
            </w:pPr>
          </w:p>
        </w:tc>
      </w:tr>
      <w:tr>
        <w:trPr>
          <w:trHeight w:val="104"/>
        </w:trPr>
        <w:tc>
          <w:tcPr>
            <w:tcW w:w="300" w:type="dxa"/>
            <w:vAlign w:val="bottom"/>
          </w:tcPr>
          <w:p>
            <w:pPr>
              <w:spacing w:after="0"/>
              <w:rPr>
                <w:sz w:val="9"/>
                <w:szCs w:val="9"/>
                <w:color w:val="auto"/>
              </w:rPr>
            </w:pPr>
          </w:p>
        </w:tc>
        <w:tc>
          <w:tcPr>
            <w:tcW w:w="250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620" w:type="dxa"/>
            <w:vAlign w:val="bottom"/>
            <w:gridSpan w:val="8"/>
            <w:vMerge w:val="continue"/>
          </w:tcPr>
          <w:p>
            <w:pPr>
              <w:spacing w:after="0"/>
              <w:rPr>
                <w:sz w:val="9"/>
                <w:szCs w:val="9"/>
                <w:color w:val="auto"/>
              </w:rPr>
            </w:pPr>
          </w:p>
        </w:tc>
        <w:tc>
          <w:tcPr>
            <w:tcW w:w="100" w:type="dxa"/>
            <w:vAlign w:val="bottom"/>
          </w:tcPr>
          <w:p>
            <w:pPr>
              <w:spacing w:after="0"/>
              <w:rPr>
                <w:sz w:val="9"/>
                <w:szCs w:val="9"/>
                <w:color w:val="auto"/>
              </w:rPr>
            </w:pPr>
          </w:p>
        </w:tc>
        <w:tc>
          <w:tcPr>
            <w:tcW w:w="760" w:type="dxa"/>
            <w:vAlign w:val="bottom"/>
            <w:gridSpan w:val="4"/>
          </w:tcPr>
          <w:p>
            <w:pPr>
              <w:jc w:val="center"/>
              <w:ind w:right="100"/>
              <w:spacing w:after="0" w:line="104" w:lineRule="exact"/>
              <w:rPr>
                <w:sz w:val="20"/>
                <w:szCs w:val="20"/>
                <w:color w:val="auto"/>
              </w:rPr>
            </w:pPr>
            <w:r>
              <w:rPr>
                <w:rFonts w:ascii="Times New Roman" w:cs="Times New Roman" w:eastAsia="Times New Roman" w:hAnsi="Times New Roman"/>
                <w:sz w:val="10"/>
                <w:szCs w:val="10"/>
                <w:b w:val="1"/>
                <w:bCs w:val="1"/>
                <w:color w:val="auto"/>
              </w:rPr>
              <w:t>ended</w:t>
            </w:r>
          </w:p>
        </w:tc>
        <w:tc>
          <w:tcPr>
            <w:tcW w:w="0" w:type="dxa"/>
            <w:vAlign w:val="bottom"/>
          </w:tcPr>
          <w:p>
            <w:pPr>
              <w:spacing w:after="0"/>
              <w:rPr>
                <w:sz w:val="1"/>
                <w:szCs w:val="1"/>
                <w:color w:val="auto"/>
              </w:rPr>
            </w:pPr>
          </w:p>
        </w:tc>
      </w:tr>
      <w:tr>
        <w:trPr>
          <w:trHeight w:val="121"/>
        </w:trPr>
        <w:tc>
          <w:tcPr>
            <w:tcW w:w="300" w:type="dxa"/>
            <w:vAlign w:val="bottom"/>
          </w:tcPr>
          <w:p>
            <w:pPr>
              <w:spacing w:after="0"/>
              <w:rPr>
                <w:sz w:val="10"/>
                <w:szCs w:val="10"/>
                <w:color w:val="auto"/>
              </w:rPr>
            </w:pPr>
          </w:p>
        </w:tc>
        <w:tc>
          <w:tcPr>
            <w:tcW w:w="2500" w:type="dxa"/>
            <w:vAlign w:val="bottom"/>
          </w:tcPr>
          <w:p>
            <w:pPr>
              <w:spacing w:after="0"/>
              <w:rPr>
                <w:sz w:val="10"/>
                <w:szCs w:val="10"/>
                <w:color w:val="auto"/>
              </w:rPr>
            </w:pPr>
          </w:p>
        </w:tc>
        <w:tc>
          <w:tcPr>
            <w:tcW w:w="1220" w:type="dxa"/>
            <w:vAlign w:val="bottom"/>
          </w:tcPr>
          <w:p>
            <w:pPr>
              <w:spacing w:after="0"/>
              <w:rPr>
                <w:sz w:val="10"/>
                <w:szCs w:val="10"/>
                <w:color w:val="auto"/>
              </w:rPr>
            </w:pPr>
          </w:p>
        </w:tc>
        <w:tc>
          <w:tcPr>
            <w:tcW w:w="1360" w:type="dxa"/>
            <w:vAlign w:val="bottom"/>
            <w:gridSpan w:val="5"/>
          </w:tcPr>
          <w:p>
            <w:pPr>
              <w:jc w:val="right"/>
              <w:ind w:right="260"/>
              <w:spacing w:after="0"/>
              <w:rPr>
                <w:sz w:val="20"/>
                <w:szCs w:val="20"/>
                <w:color w:val="auto"/>
              </w:rPr>
            </w:pPr>
            <w:r>
              <w:rPr>
                <w:rFonts w:ascii="Times New Roman" w:cs="Times New Roman" w:eastAsia="Times New Roman" w:hAnsi="Times New Roman"/>
                <w:sz w:val="10"/>
                <w:szCs w:val="10"/>
                <w:b w:val="1"/>
                <w:bCs w:val="1"/>
                <w:color w:val="auto"/>
              </w:rPr>
              <w:t>September 30,</w:t>
            </w: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60" w:type="dxa"/>
            <w:vAlign w:val="bottom"/>
            <w:gridSpan w:val="4"/>
          </w:tcPr>
          <w:p>
            <w:pPr>
              <w:jc w:val="center"/>
              <w:ind w:right="80"/>
              <w:spacing w:after="0"/>
              <w:rPr>
                <w:sz w:val="20"/>
                <w:szCs w:val="20"/>
                <w:color w:val="auto"/>
              </w:rPr>
            </w:pPr>
            <w:r>
              <w:rPr>
                <w:rFonts w:ascii="Times New Roman" w:cs="Times New Roman" w:eastAsia="Times New Roman" w:hAnsi="Times New Roman"/>
                <w:sz w:val="10"/>
                <w:szCs w:val="10"/>
                <w:b w:val="1"/>
                <w:bCs w:val="1"/>
                <w:color w:val="auto"/>
              </w:rPr>
              <w:t>December 31,</w:t>
            </w:r>
          </w:p>
        </w:tc>
        <w:tc>
          <w:tcPr>
            <w:tcW w:w="0" w:type="dxa"/>
            <w:vAlign w:val="bottom"/>
          </w:tcPr>
          <w:p>
            <w:pPr>
              <w:spacing w:after="0"/>
              <w:rPr>
                <w:sz w:val="1"/>
                <w:szCs w:val="1"/>
                <w:color w:val="auto"/>
              </w:rPr>
            </w:pPr>
          </w:p>
        </w:tc>
      </w:tr>
      <w:tr>
        <w:trPr>
          <w:trHeight w:val="94"/>
        </w:trPr>
        <w:tc>
          <w:tcPr>
            <w:tcW w:w="300" w:type="dxa"/>
            <w:vAlign w:val="bottom"/>
          </w:tcPr>
          <w:p>
            <w:pPr>
              <w:spacing w:after="0"/>
              <w:rPr>
                <w:sz w:val="8"/>
                <w:szCs w:val="8"/>
                <w:color w:val="auto"/>
              </w:rPr>
            </w:pPr>
          </w:p>
        </w:tc>
        <w:tc>
          <w:tcPr>
            <w:tcW w:w="2500" w:type="dxa"/>
            <w:vAlign w:val="bottom"/>
          </w:tcPr>
          <w:p>
            <w:pPr>
              <w:spacing w:after="0"/>
              <w:rPr>
                <w:sz w:val="8"/>
                <w:szCs w:val="8"/>
                <w:color w:val="auto"/>
              </w:rPr>
            </w:pPr>
          </w:p>
        </w:tc>
        <w:tc>
          <w:tcPr>
            <w:tcW w:w="1220" w:type="dxa"/>
            <w:vAlign w:val="bottom"/>
          </w:tcPr>
          <w:p>
            <w:pPr>
              <w:spacing w:after="0"/>
              <w:rPr>
                <w:sz w:val="8"/>
                <w:szCs w:val="8"/>
                <w:color w:val="auto"/>
              </w:rPr>
            </w:pPr>
          </w:p>
        </w:tc>
        <w:tc>
          <w:tcPr>
            <w:tcW w:w="760" w:type="dxa"/>
            <w:vAlign w:val="bottom"/>
            <w:tcBorders>
              <w:top w:val="single" w:sz="8" w:color="auto"/>
            </w:tcBorders>
          </w:tcPr>
          <w:p>
            <w:pPr>
              <w:jc w:val="right"/>
              <w:ind w:right="222"/>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80" w:type="dxa"/>
            <w:vAlign w:val="bottom"/>
            <w:tcBorders>
              <w:top w:val="single" w:sz="8" w:color="auto"/>
            </w:tcBorders>
          </w:tcPr>
          <w:p>
            <w:pPr>
              <w:spacing w:after="0"/>
              <w:rPr>
                <w:sz w:val="8"/>
                <w:szCs w:val="8"/>
                <w:color w:val="auto"/>
              </w:rPr>
            </w:pPr>
          </w:p>
        </w:tc>
        <w:tc>
          <w:tcPr>
            <w:tcW w:w="520" w:type="dxa"/>
            <w:vAlign w:val="bottom"/>
            <w:tcBorders>
              <w:top w:val="single" w:sz="8" w:color="auto"/>
            </w:tcBorders>
            <w:gridSpan w:val="3"/>
          </w:tcPr>
          <w:p>
            <w:pPr>
              <w:jc w:val="right"/>
              <w:ind w:right="20"/>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140" w:type="dxa"/>
            <w:vAlign w:val="bottom"/>
            <w:tcBorders>
              <w:top w:val="single" w:sz="8" w:color="auto"/>
            </w:tcBorders>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40" w:type="dxa"/>
            <w:vAlign w:val="bottom"/>
          </w:tcPr>
          <w:p>
            <w:pPr>
              <w:spacing w:after="0"/>
              <w:rPr>
                <w:sz w:val="8"/>
                <w:szCs w:val="8"/>
                <w:color w:val="auto"/>
              </w:rPr>
            </w:pPr>
          </w:p>
        </w:tc>
        <w:tc>
          <w:tcPr>
            <w:tcW w:w="100" w:type="dxa"/>
            <w:vAlign w:val="bottom"/>
          </w:tcPr>
          <w:p>
            <w:pPr>
              <w:spacing w:after="0"/>
              <w:rPr>
                <w:sz w:val="8"/>
                <w:szCs w:val="8"/>
                <w:color w:val="auto"/>
              </w:rPr>
            </w:pPr>
          </w:p>
        </w:tc>
        <w:tc>
          <w:tcPr>
            <w:tcW w:w="440" w:type="dxa"/>
            <w:vAlign w:val="bottom"/>
            <w:tcBorders>
              <w:top w:val="single" w:sz="8" w:color="auto"/>
            </w:tcBorders>
            <w:gridSpan w:val="2"/>
          </w:tcPr>
          <w:p>
            <w:pPr>
              <w:jc w:val="center"/>
              <w:ind w:left="185"/>
              <w:spacing w:after="0" w:line="94" w:lineRule="exact"/>
              <w:rPr>
                <w:sz w:val="20"/>
                <w:szCs w:val="20"/>
                <w:color w:val="auto"/>
              </w:rPr>
            </w:pPr>
            <w:r>
              <w:rPr>
                <w:rFonts w:ascii="Times New Roman" w:cs="Times New Roman" w:eastAsia="Times New Roman" w:hAnsi="Times New Roman"/>
                <w:sz w:val="10"/>
                <w:szCs w:val="10"/>
                <w:b w:val="1"/>
                <w:bCs w:val="1"/>
                <w:color w:val="auto"/>
                <w:w w:val="99"/>
              </w:rPr>
              <w:t>2021</w:t>
            </w:r>
          </w:p>
        </w:tc>
        <w:tc>
          <w:tcPr>
            <w:tcW w:w="240" w:type="dxa"/>
            <w:vAlign w:val="bottom"/>
            <w:tcBorders>
              <w:top w:val="single" w:sz="8" w:color="auto"/>
            </w:tcBorders>
          </w:tcPr>
          <w:p>
            <w:pPr>
              <w:spacing w:after="0"/>
              <w:rPr>
                <w:sz w:val="8"/>
                <w:szCs w:val="8"/>
                <w:color w:val="auto"/>
              </w:rPr>
            </w:pP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2"/>
        </w:trPr>
        <w:tc>
          <w:tcPr>
            <w:tcW w:w="2800" w:type="dxa"/>
            <w:vAlign w:val="bottom"/>
            <w:tcBorders>
              <w:top w:val="single" w:sz="8" w:color="CCEEFF"/>
            </w:tcBorders>
            <w:gridSpan w:val="2"/>
            <w:shd w:val="clear" w:color="auto" w:fill="CCEEFF"/>
          </w:tcPr>
          <w:p>
            <w:pPr>
              <w:spacing w:after="0" w:line="132" w:lineRule="exact"/>
              <w:rPr>
                <w:sz w:val="20"/>
                <w:szCs w:val="20"/>
                <w:color w:val="auto"/>
              </w:rPr>
            </w:pPr>
            <w:r>
              <w:rPr>
                <w:rFonts w:ascii="Times New Roman" w:cs="Times New Roman" w:eastAsia="Times New Roman" w:hAnsi="Times New Roman"/>
                <w:sz w:val="13"/>
                <w:szCs w:val="13"/>
                <w:b w:val="1"/>
                <w:bCs w:val="1"/>
                <w:color w:val="auto"/>
              </w:rPr>
              <w:t>Statement of loss</w:t>
            </w:r>
          </w:p>
        </w:tc>
        <w:tc>
          <w:tcPr>
            <w:tcW w:w="1220" w:type="dxa"/>
            <w:vAlign w:val="bottom"/>
            <w:tcBorders>
              <w:top w:val="single" w:sz="8" w:color="CCEEFF"/>
            </w:tcBorders>
            <w:shd w:val="clear" w:color="auto" w:fill="CCEEFF"/>
          </w:tcPr>
          <w:p>
            <w:pPr>
              <w:spacing w:after="0"/>
              <w:rPr>
                <w:sz w:val="11"/>
                <w:szCs w:val="11"/>
                <w:color w:val="auto"/>
              </w:rPr>
            </w:pPr>
          </w:p>
        </w:tc>
        <w:tc>
          <w:tcPr>
            <w:tcW w:w="760" w:type="dxa"/>
            <w:vAlign w:val="bottom"/>
            <w:tcBorders>
              <w:top w:val="single" w:sz="8" w:color="auto"/>
              <w:right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380" w:type="dxa"/>
            <w:vAlign w:val="bottom"/>
            <w:tcBorders>
              <w:top w:val="single" w:sz="8" w:color="auto"/>
            </w:tcBorders>
            <w:shd w:val="clear" w:color="auto" w:fill="CCEEFF"/>
          </w:tcPr>
          <w:p>
            <w:pPr>
              <w:spacing w:after="0"/>
              <w:rPr>
                <w:sz w:val="11"/>
                <w:szCs w:val="11"/>
                <w:color w:val="auto"/>
              </w:rPr>
            </w:pPr>
          </w:p>
        </w:tc>
        <w:tc>
          <w:tcPr>
            <w:tcW w:w="6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4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36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2"/>
        </w:trPr>
        <w:tc>
          <w:tcPr>
            <w:tcW w:w="2800" w:type="dxa"/>
            <w:vAlign w:val="bottom"/>
            <w:gridSpan w:val="2"/>
          </w:tcPr>
          <w:p>
            <w:pPr>
              <w:spacing w:after="0"/>
              <w:rPr>
                <w:sz w:val="20"/>
                <w:szCs w:val="20"/>
                <w:color w:val="auto"/>
              </w:rPr>
            </w:pPr>
            <w:r>
              <w:rPr>
                <w:rFonts w:ascii="Times New Roman" w:cs="Times New Roman" w:eastAsia="Times New Roman" w:hAnsi="Times New Roman"/>
                <w:sz w:val="13"/>
                <w:szCs w:val="13"/>
                <w:color w:val="auto"/>
              </w:rPr>
              <w:t>Revenue</w:t>
            </w:r>
          </w:p>
        </w:tc>
        <w:tc>
          <w:tcPr>
            <w:tcW w:w="19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1,476,746</w:t>
            </w:r>
          </w:p>
        </w:tc>
        <w:tc>
          <w:tcPr>
            <w:tcW w:w="80" w:type="dxa"/>
            <w:vAlign w:val="bottom"/>
          </w:tcPr>
          <w:p>
            <w:pPr>
              <w:spacing w:after="0"/>
              <w:rPr>
                <w:sz w:val="13"/>
                <w:szCs w:val="13"/>
                <w:color w:val="auto"/>
              </w:rPr>
            </w:pPr>
          </w:p>
        </w:tc>
        <w:tc>
          <w:tcPr>
            <w:tcW w:w="740" w:type="dxa"/>
            <w:vAlign w:val="bottom"/>
            <w:gridSpan w:val="5"/>
          </w:tcPr>
          <w:p>
            <w:pPr>
              <w:jc w:val="right"/>
              <w:spacing w:after="0"/>
              <w:rPr>
                <w:sz w:val="20"/>
                <w:szCs w:val="20"/>
                <w:color w:val="auto"/>
              </w:rPr>
            </w:pPr>
            <w:r>
              <w:rPr>
                <w:rFonts w:ascii="Times New Roman" w:cs="Times New Roman" w:eastAsia="Times New Roman" w:hAnsi="Times New Roman"/>
                <w:sz w:val="13"/>
                <w:szCs w:val="13"/>
                <w:color w:val="auto"/>
              </w:rPr>
              <w:t>747,674</w:t>
            </w:r>
          </w:p>
        </w:tc>
        <w:tc>
          <w:tcPr>
            <w:tcW w:w="40" w:type="dxa"/>
            <w:vAlign w:val="bottom"/>
          </w:tcPr>
          <w:p>
            <w:pPr>
              <w:spacing w:after="0"/>
              <w:rPr>
                <w:sz w:val="13"/>
                <w:szCs w:val="13"/>
                <w:color w:val="auto"/>
              </w:rPr>
            </w:pPr>
          </w:p>
        </w:tc>
        <w:tc>
          <w:tcPr>
            <w:tcW w:w="780" w:type="dxa"/>
            <w:vAlign w:val="bottom"/>
            <w:gridSpan w:val="4"/>
          </w:tcPr>
          <w:p>
            <w:pPr>
              <w:jc w:val="right"/>
              <w:spacing w:after="0"/>
              <w:rPr>
                <w:sz w:val="20"/>
                <w:szCs w:val="20"/>
                <w:color w:val="auto"/>
              </w:rPr>
            </w:pPr>
            <w:r>
              <w:rPr>
                <w:rFonts w:ascii="Times New Roman" w:cs="Times New Roman" w:eastAsia="Times New Roman" w:hAnsi="Times New Roman"/>
                <w:sz w:val="13"/>
                <w:szCs w:val="13"/>
                <w:color w:val="auto"/>
              </w:rPr>
              <w:t>1,337,181</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280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3"/>
                <w:szCs w:val="13"/>
                <w:color w:val="auto"/>
              </w:rPr>
              <w:t>Cost of sales</w:t>
            </w:r>
          </w:p>
        </w:tc>
        <w:tc>
          <w:tcPr>
            <w:tcW w:w="206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(1,419,271)</w:t>
            </w:r>
          </w:p>
        </w:tc>
        <w:tc>
          <w:tcPr>
            <w:tcW w:w="780" w:type="dxa"/>
            <w:vAlign w:val="bottom"/>
            <w:gridSpan w:val="6"/>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(746,614)</w:t>
            </w:r>
          </w:p>
        </w:tc>
        <w:tc>
          <w:tcPr>
            <w:tcW w:w="8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(1,336,321)</w:t>
            </w:r>
          </w:p>
        </w:tc>
        <w:tc>
          <w:tcPr>
            <w:tcW w:w="0" w:type="dxa"/>
            <w:vAlign w:val="bottom"/>
          </w:tcPr>
          <w:p>
            <w:pPr>
              <w:spacing w:after="0"/>
              <w:rPr>
                <w:sz w:val="1"/>
                <w:szCs w:val="1"/>
                <w:color w:val="auto"/>
              </w:rPr>
            </w:pPr>
          </w:p>
        </w:tc>
      </w:tr>
      <w:tr>
        <w:trPr>
          <w:trHeight w:val="151"/>
        </w:trPr>
        <w:tc>
          <w:tcPr>
            <w:tcW w:w="2800" w:type="dxa"/>
            <w:vAlign w:val="bottom"/>
            <w:gridSpan w:val="2"/>
          </w:tcPr>
          <w:p>
            <w:pPr>
              <w:spacing w:after="0"/>
              <w:rPr>
                <w:sz w:val="20"/>
                <w:szCs w:val="20"/>
                <w:color w:val="auto"/>
              </w:rPr>
            </w:pPr>
            <w:r>
              <w:rPr>
                <w:rFonts w:ascii="Times New Roman" w:cs="Times New Roman" w:eastAsia="Times New Roman" w:hAnsi="Times New Roman"/>
                <w:sz w:val="13"/>
                <w:szCs w:val="13"/>
                <w:b w:val="1"/>
                <w:bCs w:val="1"/>
                <w:color w:val="auto"/>
              </w:rPr>
              <w:t>Gross profit</w:t>
            </w:r>
          </w:p>
        </w:tc>
        <w:tc>
          <w:tcPr>
            <w:tcW w:w="1220" w:type="dxa"/>
            <w:vAlign w:val="bottom"/>
          </w:tcPr>
          <w:p>
            <w:pPr>
              <w:spacing w:after="0"/>
              <w:rPr>
                <w:sz w:val="13"/>
                <w:szCs w:val="13"/>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57,475</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60" w:type="dxa"/>
            <w:vAlign w:val="bottom"/>
            <w:tcBorders>
              <w:top w:val="single" w:sz="8" w:color="auto"/>
              <w:bottom w:val="single" w:sz="8" w:color="auto"/>
            </w:tcBorders>
            <w:gridSpan w:val="4"/>
          </w:tcPr>
          <w:p>
            <w:pPr>
              <w:jc w:val="right"/>
              <w:spacing w:after="0"/>
              <w:rPr>
                <w:sz w:val="20"/>
                <w:szCs w:val="20"/>
                <w:color w:val="auto"/>
              </w:rPr>
            </w:pPr>
            <w:r>
              <w:rPr>
                <w:rFonts w:ascii="Times New Roman" w:cs="Times New Roman" w:eastAsia="Times New Roman" w:hAnsi="Times New Roman"/>
                <w:sz w:val="13"/>
                <w:szCs w:val="13"/>
                <w:b w:val="1"/>
                <w:bCs w:val="1"/>
                <w:color w:val="auto"/>
              </w:rPr>
              <w:t>1,060</w:t>
            </w:r>
          </w:p>
        </w:tc>
        <w:tc>
          <w:tcPr>
            <w:tcW w:w="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80" w:type="dxa"/>
            <w:vAlign w:val="bottom"/>
            <w:tcBorders>
              <w:top w:val="single" w:sz="8" w:color="auto"/>
              <w:bottom w:val="single" w:sz="8" w:color="auto"/>
            </w:tcBorders>
            <w:gridSpan w:val="3"/>
          </w:tcPr>
          <w:p>
            <w:pPr>
              <w:jc w:val="right"/>
              <w:spacing w:after="0"/>
              <w:rPr>
                <w:sz w:val="20"/>
                <w:szCs w:val="20"/>
                <w:color w:val="auto"/>
              </w:rPr>
            </w:pPr>
            <w:r>
              <w:rPr>
                <w:rFonts w:ascii="Times New Roman" w:cs="Times New Roman" w:eastAsia="Times New Roman" w:hAnsi="Times New Roman"/>
                <w:sz w:val="13"/>
                <w:szCs w:val="13"/>
                <w:b w:val="1"/>
                <w:bCs w:val="1"/>
                <w:color w:val="auto"/>
              </w:rPr>
              <w:t>860</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2800" w:type="dxa"/>
            <w:vAlign w:val="bottom"/>
            <w:gridSpan w:val="2"/>
            <w:shd w:val="clear" w:color="auto" w:fill="CCEEFF"/>
          </w:tcPr>
          <w:p>
            <w:pPr>
              <w:spacing w:after="0" w:line="150" w:lineRule="exact"/>
              <w:rPr>
                <w:sz w:val="20"/>
                <w:szCs w:val="20"/>
                <w:color w:val="auto"/>
              </w:rPr>
            </w:pPr>
            <w:r>
              <w:rPr>
                <w:rFonts w:ascii="Times New Roman" w:cs="Times New Roman" w:eastAsia="Times New Roman" w:hAnsi="Times New Roman"/>
                <w:sz w:val="12"/>
                <w:szCs w:val="12"/>
                <w:color w:val="auto"/>
              </w:rPr>
              <w:t>Operating expenses</w:t>
            </w:r>
            <w:r>
              <w:rPr>
                <w:rFonts w:ascii="Times New Roman" w:cs="Times New Roman" w:eastAsia="Times New Roman" w:hAnsi="Times New Roman"/>
                <w:sz w:val="17"/>
                <w:szCs w:val="17"/>
                <w:color w:val="auto"/>
                <w:vertAlign w:val="superscript"/>
              </w:rPr>
              <w:t>1</w:t>
            </w:r>
          </w:p>
        </w:tc>
        <w:tc>
          <w:tcPr>
            <w:tcW w:w="206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(1,139,056)</w:t>
            </w:r>
          </w:p>
        </w:tc>
        <w:tc>
          <w:tcPr>
            <w:tcW w:w="780" w:type="dxa"/>
            <w:vAlign w:val="bottom"/>
            <w:gridSpan w:val="6"/>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(658,604)</w:t>
            </w:r>
          </w:p>
        </w:tc>
        <w:tc>
          <w:tcPr>
            <w:tcW w:w="8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(995,699)</w:t>
            </w:r>
          </w:p>
        </w:tc>
        <w:tc>
          <w:tcPr>
            <w:tcW w:w="0" w:type="dxa"/>
            <w:vAlign w:val="bottom"/>
          </w:tcPr>
          <w:p>
            <w:pPr>
              <w:spacing w:after="0"/>
              <w:rPr>
                <w:sz w:val="1"/>
                <w:szCs w:val="1"/>
                <w:color w:val="auto"/>
              </w:rPr>
            </w:pPr>
          </w:p>
        </w:tc>
      </w:tr>
      <w:tr>
        <w:trPr>
          <w:trHeight w:val="151"/>
        </w:trPr>
        <w:tc>
          <w:tcPr>
            <w:tcW w:w="2800" w:type="dxa"/>
            <w:vAlign w:val="bottom"/>
            <w:gridSpan w:val="2"/>
          </w:tcPr>
          <w:p>
            <w:pPr>
              <w:spacing w:after="0"/>
              <w:rPr>
                <w:sz w:val="20"/>
                <w:szCs w:val="20"/>
                <w:color w:val="auto"/>
              </w:rPr>
            </w:pPr>
            <w:r>
              <w:rPr>
                <w:rFonts w:ascii="Times New Roman" w:cs="Times New Roman" w:eastAsia="Times New Roman" w:hAnsi="Times New Roman"/>
                <w:sz w:val="13"/>
                <w:szCs w:val="13"/>
                <w:b w:val="1"/>
                <w:bCs w:val="1"/>
                <w:color w:val="auto"/>
              </w:rPr>
              <w:t>Operating loss</w:t>
            </w:r>
          </w:p>
        </w:tc>
        <w:tc>
          <w:tcPr>
            <w:tcW w:w="1220" w:type="dxa"/>
            <w:vAlign w:val="bottom"/>
          </w:tcPr>
          <w:p>
            <w:pPr>
              <w:spacing w:after="0"/>
              <w:rPr>
                <w:sz w:val="13"/>
                <w:szCs w:val="13"/>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(1,081,581)</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60" w:type="dxa"/>
            <w:vAlign w:val="bottom"/>
            <w:tcBorders>
              <w:top w:val="single" w:sz="8" w:color="auto"/>
              <w:bottom w:val="single" w:sz="8" w:color="auto"/>
            </w:tcBorders>
            <w:gridSpan w:val="4"/>
          </w:tcPr>
          <w:p>
            <w:pPr>
              <w:jc w:val="right"/>
              <w:spacing w:after="0"/>
              <w:rPr>
                <w:sz w:val="20"/>
                <w:szCs w:val="20"/>
                <w:color w:val="auto"/>
              </w:rPr>
            </w:pPr>
            <w:r>
              <w:rPr>
                <w:rFonts w:ascii="Times New Roman" w:cs="Times New Roman" w:eastAsia="Times New Roman" w:hAnsi="Times New Roman"/>
                <w:sz w:val="13"/>
                <w:szCs w:val="13"/>
                <w:b w:val="1"/>
                <w:bCs w:val="1"/>
                <w:color w:val="auto"/>
              </w:rPr>
              <w:t>(657,544)</w:t>
            </w:r>
          </w:p>
        </w:tc>
        <w:tc>
          <w:tcPr>
            <w:tcW w:w="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80" w:type="dxa"/>
            <w:vAlign w:val="bottom"/>
            <w:tcBorders>
              <w:top w:val="single" w:sz="8" w:color="auto"/>
              <w:bottom w:val="single" w:sz="8" w:color="auto"/>
            </w:tcBorders>
            <w:gridSpan w:val="3"/>
          </w:tcPr>
          <w:p>
            <w:pPr>
              <w:jc w:val="right"/>
              <w:spacing w:after="0"/>
              <w:rPr>
                <w:sz w:val="20"/>
                <w:szCs w:val="20"/>
                <w:color w:val="auto"/>
              </w:rPr>
            </w:pPr>
            <w:r>
              <w:rPr>
                <w:rFonts w:ascii="Times New Roman" w:cs="Times New Roman" w:eastAsia="Times New Roman" w:hAnsi="Times New Roman"/>
                <w:sz w:val="13"/>
                <w:szCs w:val="13"/>
                <w:b w:val="1"/>
                <w:bCs w:val="1"/>
                <w:color w:val="auto"/>
              </w:rPr>
              <w:t>(994,839)</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280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3"/>
                <w:szCs w:val="13"/>
                <w:color w:val="auto"/>
              </w:rPr>
              <w:t>Finance income and expense, net</w:t>
            </w:r>
          </w:p>
        </w:tc>
        <w:tc>
          <w:tcPr>
            <w:tcW w:w="198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890,777</w:t>
            </w:r>
          </w:p>
        </w:tc>
        <w:tc>
          <w:tcPr>
            <w:tcW w:w="80" w:type="dxa"/>
            <w:vAlign w:val="bottom"/>
            <w:shd w:val="clear" w:color="auto" w:fill="CCEEFF"/>
          </w:tcPr>
          <w:p>
            <w:pPr>
              <w:spacing w:after="0"/>
              <w:rPr>
                <w:sz w:val="13"/>
                <w:szCs w:val="13"/>
                <w:color w:val="auto"/>
              </w:rPr>
            </w:pPr>
          </w:p>
        </w:tc>
        <w:tc>
          <w:tcPr>
            <w:tcW w:w="780" w:type="dxa"/>
            <w:vAlign w:val="bottom"/>
            <w:gridSpan w:val="6"/>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(3,710)</w:t>
            </w:r>
          </w:p>
        </w:tc>
        <w:tc>
          <w:tcPr>
            <w:tcW w:w="8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(12,279)</w:t>
            </w:r>
          </w:p>
        </w:tc>
        <w:tc>
          <w:tcPr>
            <w:tcW w:w="0" w:type="dxa"/>
            <w:vAlign w:val="bottom"/>
          </w:tcPr>
          <w:p>
            <w:pPr>
              <w:spacing w:after="0"/>
              <w:rPr>
                <w:sz w:val="1"/>
                <w:szCs w:val="1"/>
                <w:color w:val="auto"/>
              </w:rPr>
            </w:pPr>
          </w:p>
        </w:tc>
      </w:tr>
      <w:tr>
        <w:trPr>
          <w:trHeight w:val="152"/>
        </w:trPr>
        <w:tc>
          <w:tcPr>
            <w:tcW w:w="2800" w:type="dxa"/>
            <w:vAlign w:val="bottom"/>
            <w:gridSpan w:val="2"/>
          </w:tcPr>
          <w:p>
            <w:pPr>
              <w:spacing w:after="0"/>
              <w:rPr>
                <w:sz w:val="20"/>
                <w:szCs w:val="20"/>
                <w:color w:val="auto"/>
              </w:rPr>
            </w:pPr>
            <w:r>
              <w:rPr>
                <w:rFonts w:ascii="Times New Roman" w:cs="Times New Roman" w:eastAsia="Times New Roman" w:hAnsi="Times New Roman"/>
                <w:sz w:val="13"/>
                <w:szCs w:val="13"/>
                <w:color w:val="auto"/>
              </w:rPr>
              <w:t>Income tax expense</w:t>
            </w:r>
          </w:p>
        </w:tc>
        <w:tc>
          <w:tcPr>
            <w:tcW w:w="1220" w:type="dxa"/>
            <w:vAlign w:val="bottom"/>
          </w:tcPr>
          <w:p>
            <w:pPr>
              <w:spacing w:after="0"/>
              <w:rPr>
                <w:sz w:val="13"/>
                <w:szCs w:val="13"/>
                <w:color w:val="auto"/>
              </w:rPr>
            </w:pPr>
          </w:p>
        </w:tc>
        <w:tc>
          <w:tcPr>
            <w:tcW w:w="84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(12,543)</w:t>
            </w:r>
          </w:p>
        </w:tc>
        <w:tc>
          <w:tcPr>
            <w:tcW w:w="780" w:type="dxa"/>
            <w:vAlign w:val="bottom"/>
            <w:gridSpan w:val="6"/>
          </w:tcPr>
          <w:p>
            <w:pPr>
              <w:jc w:val="right"/>
              <w:spacing w:after="0"/>
              <w:rPr>
                <w:sz w:val="20"/>
                <w:szCs w:val="20"/>
                <w:color w:val="auto"/>
              </w:rPr>
            </w:pPr>
            <w:r>
              <w:rPr>
                <w:rFonts w:ascii="Times New Roman" w:cs="Times New Roman" w:eastAsia="Times New Roman" w:hAnsi="Times New Roman"/>
                <w:sz w:val="13"/>
                <w:szCs w:val="13"/>
                <w:color w:val="auto"/>
              </w:rPr>
              <w:t>(9,414)</w:t>
            </w:r>
          </w:p>
        </w:tc>
        <w:tc>
          <w:tcPr>
            <w:tcW w:w="860" w:type="dxa"/>
            <w:vAlign w:val="bottom"/>
            <w:gridSpan w:val="5"/>
          </w:tcPr>
          <w:p>
            <w:pPr>
              <w:jc w:val="right"/>
              <w:ind w:right="40"/>
              <w:spacing w:after="0"/>
              <w:rPr>
                <w:sz w:val="20"/>
                <w:szCs w:val="20"/>
                <w:color w:val="auto"/>
              </w:rPr>
            </w:pPr>
            <w:r>
              <w:rPr>
                <w:rFonts w:ascii="Times New Roman" w:cs="Times New Roman" w:eastAsia="Times New Roman" w:hAnsi="Times New Roman"/>
                <w:sz w:val="13"/>
                <w:szCs w:val="13"/>
                <w:color w:val="auto"/>
              </w:rPr>
              <w:t>(336)</w:t>
            </w:r>
          </w:p>
        </w:tc>
        <w:tc>
          <w:tcPr>
            <w:tcW w:w="0" w:type="dxa"/>
            <w:vAlign w:val="bottom"/>
          </w:tcPr>
          <w:p>
            <w:pPr>
              <w:spacing w:after="0"/>
              <w:rPr>
                <w:sz w:val="1"/>
                <w:szCs w:val="1"/>
                <w:color w:val="auto"/>
              </w:rPr>
            </w:pPr>
          </w:p>
        </w:tc>
      </w:tr>
      <w:tr>
        <w:trPr>
          <w:trHeight w:val="20"/>
        </w:trPr>
        <w:tc>
          <w:tcPr>
            <w:tcW w:w="300" w:type="dxa"/>
            <w:vAlign w:val="bottom"/>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76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1"/>
        </w:trPr>
        <w:tc>
          <w:tcPr>
            <w:tcW w:w="280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Net loss</w:t>
            </w:r>
          </w:p>
        </w:tc>
        <w:tc>
          <w:tcPr>
            <w:tcW w:w="122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(203,347)</w:t>
            </w:r>
          </w:p>
        </w:tc>
        <w:tc>
          <w:tcPr>
            <w:tcW w:w="780" w:type="dxa"/>
            <w:vAlign w:val="bottom"/>
            <w:gridSpan w:val="6"/>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(670,668)</w:t>
            </w:r>
          </w:p>
        </w:tc>
        <w:tc>
          <w:tcPr>
            <w:tcW w:w="8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b w:val="1"/>
                <w:bCs w:val="1"/>
                <w:color w:val="auto"/>
              </w:rPr>
              <w:t>(1,007,454)</w:t>
            </w:r>
          </w:p>
        </w:tc>
        <w:tc>
          <w:tcPr>
            <w:tcW w:w="0" w:type="dxa"/>
            <w:vAlign w:val="bottom"/>
          </w:tcPr>
          <w:p>
            <w:pPr>
              <w:spacing w:after="0"/>
              <w:rPr>
                <w:sz w:val="1"/>
                <w:szCs w:val="1"/>
                <w:color w:val="auto"/>
              </w:rPr>
            </w:pPr>
          </w:p>
        </w:tc>
      </w:tr>
      <w:tr>
        <w:trPr>
          <w:trHeight w:val="151"/>
        </w:trPr>
        <w:tc>
          <w:tcPr>
            <w:tcW w:w="2800" w:type="dxa"/>
            <w:vAlign w:val="bottom"/>
            <w:gridSpan w:val="2"/>
          </w:tcPr>
          <w:p>
            <w:pPr>
              <w:spacing w:after="0"/>
              <w:rPr>
                <w:sz w:val="20"/>
                <w:szCs w:val="20"/>
                <w:color w:val="auto"/>
              </w:rPr>
            </w:pPr>
            <w:r>
              <w:rPr>
                <w:rFonts w:ascii="Times New Roman" w:cs="Times New Roman" w:eastAsia="Times New Roman" w:hAnsi="Times New Roman"/>
                <w:sz w:val="13"/>
                <w:szCs w:val="13"/>
                <w:b w:val="1"/>
                <w:bCs w:val="1"/>
                <w:color w:val="auto"/>
              </w:rPr>
              <w:t>Statement of cash flows</w:t>
            </w:r>
          </w:p>
        </w:tc>
        <w:tc>
          <w:tcPr>
            <w:tcW w:w="1220" w:type="dxa"/>
            <w:vAlign w:val="bottom"/>
          </w:tcPr>
          <w:p>
            <w:pPr>
              <w:spacing w:after="0"/>
              <w:rPr>
                <w:sz w:val="13"/>
                <w:szCs w:val="13"/>
                <w:color w:val="auto"/>
              </w:rPr>
            </w:pPr>
          </w:p>
        </w:tc>
        <w:tc>
          <w:tcPr>
            <w:tcW w:w="76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80" w:type="dxa"/>
            <w:vAlign w:val="bottom"/>
            <w:tcBorders>
              <w:top w:val="single" w:sz="8" w:color="auto"/>
            </w:tcBorders>
          </w:tcPr>
          <w:p>
            <w:pPr>
              <w:spacing w:after="0"/>
              <w:rPr>
                <w:sz w:val="13"/>
                <w:szCs w:val="13"/>
                <w:color w:val="auto"/>
              </w:rPr>
            </w:pPr>
          </w:p>
        </w:tc>
        <w:tc>
          <w:tcPr>
            <w:tcW w:w="60" w:type="dxa"/>
            <w:vAlign w:val="bottom"/>
            <w:tcBorders>
              <w:top w:val="single" w:sz="8" w:color="auto"/>
            </w:tcBorders>
          </w:tcPr>
          <w:p>
            <w:pPr>
              <w:spacing w:after="0"/>
              <w:rPr>
                <w:sz w:val="13"/>
                <w:szCs w:val="13"/>
                <w:color w:val="auto"/>
              </w:rPr>
            </w:pPr>
          </w:p>
        </w:tc>
        <w:tc>
          <w:tcPr>
            <w:tcW w:w="140" w:type="dxa"/>
            <w:vAlign w:val="bottom"/>
            <w:tcBorders>
              <w:top w:val="single" w:sz="8" w:color="auto"/>
            </w:tcBorders>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60" w:type="dxa"/>
            <w:vAlign w:val="bottom"/>
            <w:tcBorders>
              <w:top w:val="single" w:sz="8" w:color="auto"/>
            </w:tcBorders>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24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280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3"/>
                <w:szCs w:val="13"/>
                <w:color w:val="auto"/>
              </w:rPr>
              <w:t>Cash used for operating activities</w:t>
            </w:r>
          </w:p>
        </w:tc>
        <w:tc>
          <w:tcPr>
            <w:tcW w:w="206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(1,023,425)</w:t>
            </w:r>
          </w:p>
        </w:tc>
        <w:tc>
          <w:tcPr>
            <w:tcW w:w="780" w:type="dxa"/>
            <w:vAlign w:val="bottom"/>
            <w:gridSpan w:val="6"/>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(155,078)</w:t>
            </w:r>
          </w:p>
        </w:tc>
        <w:tc>
          <w:tcPr>
            <w:tcW w:w="8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(312,156)</w:t>
            </w:r>
          </w:p>
        </w:tc>
        <w:tc>
          <w:tcPr>
            <w:tcW w:w="0" w:type="dxa"/>
            <w:vAlign w:val="bottom"/>
          </w:tcPr>
          <w:p>
            <w:pPr>
              <w:spacing w:after="0"/>
              <w:rPr>
                <w:sz w:val="1"/>
                <w:szCs w:val="1"/>
                <w:color w:val="auto"/>
              </w:rPr>
            </w:pPr>
          </w:p>
        </w:tc>
      </w:tr>
      <w:tr>
        <w:trPr>
          <w:trHeight w:val="152"/>
        </w:trPr>
        <w:tc>
          <w:tcPr>
            <w:tcW w:w="2800" w:type="dxa"/>
            <w:vAlign w:val="bottom"/>
            <w:gridSpan w:val="2"/>
          </w:tcPr>
          <w:p>
            <w:pPr>
              <w:spacing w:after="0"/>
              <w:rPr>
                <w:sz w:val="20"/>
                <w:szCs w:val="20"/>
                <w:color w:val="auto"/>
              </w:rPr>
            </w:pPr>
            <w:r>
              <w:rPr>
                <w:rFonts w:ascii="Times New Roman" w:cs="Times New Roman" w:eastAsia="Times New Roman" w:hAnsi="Times New Roman"/>
                <w:sz w:val="13"/>
                <w:szCs w:val="13"/>
                <w:color w:val="auto"/>
              </w:rPr>
              <w:t>Cash used for investing activities</w:t>
            </w:r>
          </w:p>
        </w:tc>
        <w:tc>
          <w:tcPr>
            <w:tcW w:w="2060" w:type="dxa"/>
            <w:vAlign w:val="bottom"/>
            <w:gridSpan w:val="3"/>
          </w:tcPr>
          <w:p>
            <w:pPr>
              <w:jc w:val="right"/>
              <w:spacing w:after="0"/>
              <w:rPr>
                <w:sz w:val="20"/>
                <w:szCs w:val="20"/>
                <w:color w:val="auto"/>
              </w:rPr>
            </w:pPr>
            <w:r>
              <w:rPr>
                <w:rFonts w:ascii="Times New Roman" w:cs="Times New Roman" w:eastAsia="Times New Roman" w:hAnsi="Times New Roman"/>
                <w:sz w:val="13"/>
                <w:szCs w:val="13"/>
                <w:color w:val="auto"/>
              </w:rPr>
              <w:t>(652,778)</w:t>
            </w:r>
          </w:p>
        </w:tc>
        <w:tc>
          <w:tcPr>
            <w:tcW w:w="780" w:type="dxa"/>
            <w:vAlign w:val="bottom"/>
            <w:gridSpan w:val="6"/>
          </w:tcPr>
          <w:p>
            <w:pPr>
              <w:jc w:val="right"/>
              <w:spacing w:after="0"/>
              <w:rPr>
                <w:sz w:val="20"/>
                <w:szCs w:val="20"/>
                <w:color w:val="auto"/>
              </w:rPr>
            </w:pPr>
            <w:r>
              <w:rPr>
                <w:rFonts w:ascii="Times New Roman" w:cs="Times New Roman" w:eastAsia="Times New Roman" w:hAnsi="Times New Roman"/>
                <w:sz w:val="13"/>
                <w:szCs w:val="13"/>
                <w:color w:val="auto"/>
              </w:rPr>
              <w:t>(72,171)</w:t>
            </w:r>
          </w:p>
        </w:tc>
        <w:tc>
          <w:tcPr>
            <w:tcW w:w="860" w:type="dxa"/>
            <w:vAlign w:val="bottom"/>
            <w:gridSpan w:val="5"/>
          </w:tcPr>
          <w:p>
            <w:pPr>
              <w:jc w:val="right"/>
              <w:ind w:right="40"/>
              <w:spacing w:after="0"/>
              <w:rPr>
                <w:sz w:val="20"/>
                <w:szCs w:val="20"/>
                <w:color w:val="auto"/>
              </w:rPr>
            </w:pPr>
            <w:r>
              <w:rPr>
                <w:rFonts w:ascii="Times New Roman" w:cs="Times New Roman" w:eastAsia="Times New Roman" w:hAnsi="Times New Roman"/>
                <w:sz w:val="13"/>
                <w:szCs w:val="13"/>
                <w:color w:val="auto"/>
              </w:rPr>
              <w:t>(129,672)</w:t>
            </w:r>
          </w:p>
        </w:tc>
        <w:tc>
          <w:tcPr>
            <w:tcW w:w="0" w:type="dxa"/>
            <w:vAlign w:val="bottom"/>
          </w:tcPr>
          <w:p>
            <w:pPr>
              <w:spacing w:after="0"/>
              <w:rPr>
                <w:sz w:val="1"/>
                <w:szCs w:val="1"/>
                <w:color w:val="auto"/>
              </w:rPr>
            </w:pPr>
          </w:p>
        </w:tc>
      </w:tr>
      <w:tr>
        <w:trPr>
          <w:trHeight w:val="152"/>
        </w:trPr>
        <w:tc>
          <w:tcPr>
            <w:tcW w:w="280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3"/>
                <w:szCs w:val="13"/>
                <w:color w:val="auto"/>
              </w:rPr>
              <w:t>Cash provided by financing activities</w:t>
            </w:r>
          </w:p>
        </w:tc>
        <w:tc>
          <w:tcPr>
            <w:tcW w:w="198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1,965,753</w:t>
            </w:r>
          </w:p>
        </w:tc>
        <w:tc>
          <w:tcPr>
            <w:tcW w:w="80" w:type="dxa"/>
            <w:vAlign w:val="bottom"/>
            <w:shd w:val="clear" w:color="auto" w:fill="CCEEFF"/>
          </w:tcPr>
          <w:p>
            <w:pPr>
              <w:spacing w:after="0"/>
              <w:rPr>
                <w:sz w:val="13"/>
                <w:szCs w:val="13"/>
                <w:color w:val="auto"/>
              </w:rPr>
            </w:pPr>
          </w:p>
        </w:tc>
        <w:tc>
          <w:tcPr>
            <w:tcW w:w="740" w:type="dxa"/>
            <w:vAlign w:val="bottom"/>
            <w:gridSpan w:val="5"/>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536,603</w:t>
            </w:r>
          </w:p>
        </w:tc>
        <w:tc>
          <w:tcPr>
            <w:tcW w:w="40" w:type="dxa"/>
            <w:vAlign w:val="bottom"/>
            <w:shd w:val="clear" w:color="auto" w:fill="CCEEFF"/>
          </w:tcPr>
          <w:p>
            <w:pPr>
              <w:spacing w:after="0"/>
              <w:rPr>
                <w:sz w:val="13"/>
                <w:szCs w:val="13"/>
                <w:color w:val="auto"/>
              </w:rPr>
            </w:pPr>
          </w:p>
        </w:tc>
        <w:tc>
          <w:tcPr>
            <w:tcW w:w="78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909,572</w:t>
            </w: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2800" w:type="dxa"/>
            <w:vAlign w:val="bottom"/>
            <w:gridSpan w:val="2"/>
          </w:tcPr>
          <w:p>
            <w:pPr>
              <w:spacing w:after="0"/>
              <w:rPr>
                <w:sz w:val="20"/>
                <w:szCs w:val="20"/>
                <w:color w:val="auto"/>
              </w:rPr>
            </w:pPr>
            <w:r>
              <w:rPr>
                <w:rFonts w:ascii="Times New Roman" w:cs="Times New Roman" w:eastAsia="Times New Roman" w:hAnsi="Times New Roman"/>
                <w:sz w:val="13"/>
                <w:szCs w:val="13"/>
                <w:b w:val="1"/>
                <w:bCs w:val="1"/>
                <w:color w:val="auto"/>
              </w:rPr>
              <w:t>Key metrics</w:t>
            </w:r>
          </w:p>
        </w:tc>
        <w:tc>
          <w:tcPr>
            <w:tcW w:w="1220" w:type="dxa"/>
            <w:vAlign w:val="bottom"/>
          </w:tcPr>
          <w:p>
            <w:pPr>
              <w:spacing w:after="0"/>
              <w:rPr>
                <w:sz w:val="13"/>
                <w:szCs w:val="13"/>
                <w:color w:val="auto"/>
              </w:rPr>
            </w:pPr>
          </w:p>
        </w:tc>
        <w:tc>
          <w:tcPr>
            <w:tcW w:w="7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280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3"/>
                <w:szCs w:val="13"/>
                <w:color w:val="auto"/>
              </w:rPr>
              <w:t>Class A and B shares outstanding at period end</w:t>
            </w:r>
          </w:p>
        </w:tc>
        <w:tc>
          <w:tcPr>
            <w:tcW w:w="198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2,109,378,547</w:t>
            </w:r>
          </w:p>
        </w:tc>
        <w:tc>
          <w:tcPr>
            <w:tcW w:w="80" w:type="dxa"/>
            <w:vAlign w:val="bottom"/>
            <w:shd w:val="clear" w:color="auto" w:fill="CCEEFF"/>
          </w:tcPr>
          <w:p>
            <w:pPr>
              <w:spacing w:after="0"/>
              <w:rPr>
                <w:sz w:val="13"/>
                <w:szCs w:val="13"/>
                <w:color w:val="auto"/>
              </w:rPr>
            </w:pPr>
          </w:p>
        </w:tc>
        <w:tc>
          <w:tcPr>
            <w:tcW w:w="740" w:type="dxa"/>
            <w:vAlign w:val="bottom"/>
            <w:gridSpan w:val="5"/>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232,404,595</w:t>
            </w:r>
          </w:p>
        </w:tc>
        <w:tc>
          <w:tcPr>
            <w:tcW w:w="40" w:type="dxa"/>
            <w:vAlign w:val="bottom"/>
            <w:shd w:val="clear" w:color="auto" w:fill="CCEEFF"/>
          </w:tcPr>
          <w:p>
            <w:pPr>
              <w:spacing w:after="0"/>
              <w:rPr>
                <w:sz w:val="13"/>
                <w:szCs w:val="13"/>
                <w:color w:val="auto"/>
              </w:rPr>
            </w:pPr>
          </w:p>
        </w:tc>
        <w:tc>
          <w:tcPr>
            <w:tcW w:w="78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232,404,595</w:t>
            </w: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2800" w:type="dxa"/>
            <w:vAlign w:val="bottom"/>
            <w:gridSpan w:val="2"/>
          </w:tcPr>
          <w:p>
            <w:pPr>
              <w:spacing w:after="0" w:line="152" w:lineRule="exact"/>
              <w:rPr>
                <w:sz w:val="20"/>
                <w:szCs w:val="20"/>
                <w:color w:val="auto"/>
              </w:rPr>
            </w:pPr>
            <w:r>
              <w:rPr>
                <w:rFonts w:ascii="Times New Roman" w:cs="Times New Roman" w:eastAsia="Times New Roman" w:hAnsi="Times New Roman"/>
                <w:sz w:val="12"/>
                <w:szCs w:val="12"/>
                <w:color w:val="auto"/>
              </w:rPr>
              <w:t>Share price at period end</w:t>
            </w:r>
            <w:r>
              <w:rPr>
                <w:rFonts w:ascii="Times New Roman" w:cs="Times New Roman" w:eastAsia="Times New Roman" w:hAnsi="Times New Roman"/>
                <w:sz w:val="17"/>
                <w:szCs w:val="17"/>
                <w:color w:val="auto"/>
                <w:vertAlign w:val="superscript"/>
              </w:rPr>
              <w:t>2</w:t>
            </w:r>
          </w:p>
        </w:tc>
        <w:tc>
          <w:tcPr>
            <w:tcW w:w="19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5.06</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60" w:type="dxa"/>
            <w:vAlign w:val="bottom"/>
            <w:gridSpan w:val="3"/>
          </w:tcPr>
          <w:p>
            <w:pPr>
              <w:jc w:val="right"/>
              <w:ind w:right="40"/>
              <w:spacing w:after="0"/>
              <w:rPr>
                <w:sz w:val="20"/>
                <w:szCs w:val="20"/>
                <w:color w:val="auto"/>
              </w:rPr>
            </w:pPr>
            <w:r>
              <w:rPr>
                <w:rFonts w:ascii="Times New Roman" w:cs="Times New Roman" w:eastAsia="Times New Roman" w:hAnsi="Times New Roman"/>
                <w:sz w:val="13"/>
                <w:szCs w:val="13"/>
                <w:color w:val="auto"/>
                <w:w w:val="89"/>
              </w:rPr>
              <w:t>N/A</w:t>
            </w:r>
          </w:p>
        </w:tc>
        <w:tc>
          <w:tcPr>
            <w:tcW w:w="10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2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w w:val="98"/>
              </w:rPr>
              <w:t>N/A</w:t>
            </w:r>
          </w:p>
        </w:tc>
        <w:tc>
          <w:tcPr>
            <w:tcW w:w="0" w:type="dxa"/>
            <w:vAlign w:val="bottom"/>
          </w:tcPr>
          <w:p>
            <w:pPr>
              <w:spacing w:after="0"/>
              <w:rPr>
                <w:sz w:val="1"/>
                <w:szCs w:val="1"/>
                <w:color w:val="auto"/>
              </w:rPr>
            </w:pPr>
          </w:p>
        </w:tc>
      </w:tr>
      <w:tr>
        <w:trPr>
          <w:trHeight w:val="152"/>
        </w:trPr>
        <w:tc>
          <w:tcPr>
            <w:tcW w:w="280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3"/>
                <w:szCs w:val="13"/>
                <w:color w:val="auto"/>
              </w:rPr>
              <w:t>Net loss per share (basic and diluted)</w:t>
            </w:r>
          </w:p>
        </w:tc>
        <w:tc>
          <w:tcPr>
            <w:tcW w:w="206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(0.22)</w:t>
            </w:r>
          </w:p>
        </w:tc>
        <w:tc>
          <w:tcPr>
            <w:tcW w:w="780" w:type="dxa"/>
            <w:vAlign w:val="bottom"/>
            <w:gridSpan w:val="6"/>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(2.94)</w:t>
            </w:r>
          </w:p>
        </w:tc>
        <w:tc>
          <w:tcPr>
            <w:tcW w:w="8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(4.39)</w:t>
            </w:r>
          </w:p>
        </w:tc>
        <w:tc>
          <w:tcPr>
            <w:tcW w:w="0" w:type="dxa"/>
            <w:vAlign w:val="bottom"/>
          </w:tcPr>
          <w:p>
            <w:pPr>
              <w:spacing w:after="0"/>
              <w:rPr>
                <w:sz w:val="1"/>
                <w:szCs w:val="1"/>
                <w:color w:val="auto"/>
              </w:rPr>
            </w:pPr>
          </w:p>
        </w:tc>
      </w:tr>
      <w:tr>
        <w:trPr>
          <w:trHeight w:val="256"/>
        </w:trPr>
        <w:tc>
          <w:tcPr>
            <w:tcW w:w="300" w:type="dxa"/>
            <w:vAlign w:val="bottom"/>
          </w:tcPr>
          <w:p>
            <w:pPr>
              <w:spacing w:after="0"/>
              <w:rPr>
                <w:sz w:val="22"/>
                <w:szCs w:val="22"/>
                <w:color w:val="auto"/>
              </w:rPr>
            </w:pPr>
          </w:p>
        </w:tc>
        <w:tc>
          <w:tcPr>
            <w:tcW w:w="2500" w:type="dxa"/>
            <w:vAlign w:val="bottom"/>
          </w:tcPr>
          <w:p>
            <w:pPr>
              <w:spacing w:after="0"/>
              <w:rPr>
                <w:sz w:val="22"/>
                <w:szCs w:val="22"/>
                <w:color w:val="auto"/>
              </w:rPr>
            </w:pPr>
          </w:p>
        </w:tc>
        <w:tc>
          <w:tcPr>
            <w:tcW w:w="1220" w:type="dxa"/>
            <w:vAlign w:val="bottom"/>
          </w:tcPr>
          <w:p>
            <w:pPr>
              <w:jc w:val="right"/>
              <w:ind w:right="677"/>
              <w:spacing w:after="0"/>
              <w:rPr>
                <w:sz w:val="20"/>
                <w:szCs w:val="20"/>
                <w:color w:val="auto"/>
              </w:rPr>
            </w:pPr>
            <w:r>
              <w:rPr>
                <w:rFonts w:ascii="Times New Roman" w:cs="Times New Roman" w:eastAsia="Times New Roman" w:hAnsi="Times New Roman"/>
                <w:sz w:val="13"/>
                <w:szCs w:val="13"/>
                <w:color w:val="auto"/>
              </w:rPr>
              <w:t>1</w:t>
            </w:r>
          </w:p>
        </w:tc>
        <w:tc>
          <w:tcPr>
            <w:tcW w:w="7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125" w:right="1440" w:bottom="1440" w:gutter="0" w:footer="0" w:header="0"/>
        </w:sectPr>
      </w:pPr>
    </w:p>
    <w:bookmarkStart w:id="44" w:name="page45"/>
    <w:bookmarkEnd w:id="44"/>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10425" cy="30480"/>
                    </a:xfrm>
                    <a:prstGeom prst="rect">
                      <a:avLst/>
                    </a:prstGeom>
                    <a:noFill/>
                  </pic:spPr>
                </pic:pic>
              </a:graphicData>
            </a:graphic>
          </wp:anchor>
        </w:drawing>
      </w:r>
    </w:p>
    <w:tbl>
      <w:tblPr>
        <w:tblLayout w:type="fixed"/>
        <w:tblInd w:w="1260" w:type="dxa"/>
        <w:tblCellMar>
          <w:top w:w="0" w:type="dxa"/>
          <w:left w:w="0" w:type="dxa"/>
          <w:bottom w:w="0" w:type="dxa"/>
          <w:right w:w="0" w:type="dxa"/>
        </w:tblCellMar>
      </w:tblPr>
      <w:tr>
        <w:trPr>
          <w:trHeight w:val="207"/>
        </w:trPr>
        <w:tc>
          <w:tcPr>
            <w:tcW w:w="38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Equity ratio</w:t>
            </w:r>
            <w:r>
              <w:rPr>
                <w:rFonts w:ascii="Times New Roman" w:cs="Times New Roman" w:eastAsia="Times New Roman" w:hAnsi="Times New Roman"/>
                <w:sz w:val="18"/>
                <w:szCs w:val="18"/>
                <w:color w:val="auto"/>
                <w:vertAlign w:val="superscript"/>
              </w:rPr>
              <w:t>3</w:t>
            </w:r>
          </w:p>
        </w:tc>
        <w:tc>
          <w:tcPr>
            <w:tcW w:w="1380" w:type="dxa"/>
            <w:vAlign w:val="bottom"/>
            <w:shd w:val="clear" w:color="auto" w:fill="CCEEFF"/>
          </w:tcPr>
          <w:p>
            <w:pPr>
              <w:jc w:val="right"/>
              <w:ind w:right="57"/>
              <w:spacing w:after="0"/>
              <w:rPr>
                <w:sz w:val="20"/>
                <w:szCs w:val="20"/>
                <w:color w:val="auto"/>
              </w:rPr>
            </w:pPr>
            <w:r>
              <w:rPr>
                <w:rFonts w:ascii="Times New Roman" w:cs="Times New Roman" w:eastAsia="Times New Roman" w:hAnsi="Times New Roman"/>
                <w:sz w:val="13"/>
                <w:szCs w:val="13"/>
                <w:color w:val="auto"/>
              </w:rPr>
              <w:t>3.75%</w:t>
            </w:r>
          </w:p>
        </w:tc>
        <w:tc>
          <w:tcPr>
            <w:tcW w:w="700" w:type="dxa"/>
            <w:vAlign w:val="bottom"/>
            <w:shd w:val="clear" w:color="auto" w:fill="CCEEFF"/>
          </w:tcPr>
          <w:p>
            <w:pPr>
              <w:jc w:val="right"/>
              <w:ind w:right="57"/>
              <w:spacing w:after="0"/>
              <w:rPr>
                <w:sz w:val="20"/>
                <w:szCs w:val="20"/>
                <w:color w:val="auto"/>
              </w:rPr>
            </w:pPr>
            <w:r>
              <w:rPr>
                <w:rFonts w:ascii="Times New Roman" w:cs="Times New Roman" w:eastAsia="Times New Roman" w:hAnsi="Times New Roman"/>
                <w:sz w:val="13"/>
                <w:szCs w:val="13"/>
                <w:color w:val="auto"/>
              </w:rPr>
              <w:t>16.16%</w:t>
            </w:r>
          </w:p>
        </w:tc>
        <w:tc>
          <w:tcPr>
            <w:tcW w:w="6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3.71%</w:t>
            </w:r>
          </w:p>
        </w:tc>
      </w:tr>
      <w:tr>
        <w:trPr>
          <w:trHeight w:val="152"/>
        </w:trPr>
        <w:tc>
          <w:tcPr>
            <w:tcW w:w="3800" w:type="dxa"/>
            <w:vAlign w:val="bottom"/>
          </w:tcPr>
          <w:p>
            <w:pPr>
              <w:spacing w:after="0" w:line="152" w:lineRule="exact"/>
              <w:rPr>
                <w:sz w:val="20"/>
                <w:szCs w:val="20"/>
                <w:color w:val="auto"/>
              </w:rPr>
            </w:pPr>
            <w:r>
              <w:rPr>
                <w:rFonts w:ascii="Times New Roman" w:cs="Times New Roman" w:eastAsia="Times New Roman" w:hAnsi="Times New Roman"/>
                <w:sz w:val="12"/>
                <w:szCs w:val="12"/>
                <w:color w:val="auto"/>
              </w:rPr>
              <w:t>Global volumes</w:t>
            </w:r>
            <w:r>
              <w:rPr>
                <w:rFonts w:ascii="Times New Roman" w:cs="Times New Roman" w:eastAsia="Times New Roman" w:hAnsi="Times New Roman"/>
                <w:sz w:val="17"/>
                <w:szCs w:val="17"/>
                <w:color w:val="auto"/>
                <w:vertAlign w:val="superscript"/>
              </w:rPr>
              <w:t>4</w:t>
            </w:r>
          </w:p>
        </w:tc>
        <w:tc>
          <w:tcPr>
            <w:tcW w:w="1380" w:type="dxa"/>
            <w:vAlign w:val="bottom"/>
          </w:tcPr>
          <w:p>
            <w:pPr>
              <w:jc w:val="right"/>
              <w:ind w:right="177"/>
              <w:spacing w:after="0"/>
              <w:rPr>
                <w:sz w:val="20"/>
                <w:szCs w:val="20"/>
                <w:color w:val="auto"/>
              </w:rPr>
            </w:pPr>
            <w:r>
              <w:rPr>
                <w:rFonts w:ascii="Times New Roman" w:cs="Times New Roman" w:eastAsia="Times New Roman" w:hAnsi="Times New Roman"/>
                <w:sz w:val="13"/>
                <w:szCs w:val="13"/>
                <w:color w:val="auto"/>
              </w:rPr>
              <w:t>30,424</w:t>
            </w:r>
          </w:p>
        </w:tc>
        <w:tc>
          <w:tcPr>
            <w:tcW w:w="700" w:type="dxa"/>
            <w:vAlign w:val="bottom"/>
          </w:tcPr>
          <w:p>
            <w:pPr>
              <w:jc w:val="right"/>
              <w:ind w:right="177"/>
              <w:spacing w:after="0"/>
              <w:rPr>
                <w:sz w:val="20"/>
                <w:szCs w:val="20"/>
                <w:color w:val="auto"/>
              </w:rPr>
            </w:pPr>
            <w:r>
              <w:rPr>
                <w:rFonts w:ascii="Times New Roman" w:cs="Times New Roman" w:eastAsia="Times New Roman" w:hAnsi="Times New Roman"/>
                <w:sz w:val="13"/>
                <w:szCs w:val="13"/>
                <w:color w:val="auto"/>
              </w:rPr>
              <w:t>15,178</w:t>
            </w:r>
          </w:p>
        </w:tc>
        <w:tc>
          <w:tcPr>
            <w:tcW w:w="620" w:type="dxa"/>
            <w:vAlign w:val="bottom"/>
          </w:tcPr>
          <w:p>
            <w:pPr>
              <w:jc w:val="right"/>
              <w:ind w:right="97"/>
              <w:spacing w:after="0"/>
              <w:rPr>
                <w:sz w:val="20"/>
                <w:szCs w:val="20"/>
                <w:color w:val="auto"/>
              </w:rPr>
            </w:pPr>
            <w:r>
              <w:rPr>
                <w:rFonts w:ascii="Times New Roman" w:cs="Times New Roman" w:eastAsia="Times New Roman" w:hAnsi="Times New Roman"/>
                <w:sz w:val="13"/>
                <w:szCs w:val="13"/>
                <w:color w:val="auto"/>
              </w:rPr>
              <w:t>28,677</w:t>
            </w:r>
          </w:p>
        </w:tc>
      </w:tr>
      <w:tr>
        <w:trPr>
          <w:trHeight w:val="152"/>
        </w:trPr>
        <w:tc>
          <w:tcPr>
            <w:tcW w:w="38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Volume of external vehicles without repurchase obligations</w:t>
            </w:r>
          </w:p>
        </w:tc>
        <w:tc>
          <w:tcPr>
            <w:tcW w:w="1380" w:type="dxa"/>
            <w:vAlign w:val="bottom"/>
            <w:shd w:val="clear" w:color="auto" w:fill="CCEEFF"/>
          </w:tcPr>
          <w:p>
            <w:pPr>
              <w:jc w:val="right"/>
              <w:ind w:right="177"/>
              <w:spacing w:after="0"/>
              <w:rPr>
                <w:sz w:val="20"/>
                <w:szCs w:val="20"/>
                <w:color w:val="auto"/>
              </w:rPr>
            </w:pPr>
            <w:r>
              <w:rPr>
                <w:rFonts w:ascii="Times New Roman" w:cs="Times New Roman" w:eastAsia="Times New Roman" w:hAnsi="Times New Roman"/>
                <w:sz w:val="13"/>
                <w:szCs w:val="13"/>
                <w:color w:val="auto"/>
              </w:rPr>
              <w:t>28,204</w:t>
            </w:r>
          </w:p>
        </w:tc>
        <w:tc>
          <w:tcPr>
            <w:tcW w:w="700" w:type="dxa"/>
            <w:vAlign w:val="bottom"/>
            <w:shd w:val="clear" w:color="auto" w:fill="CCEEFF"/>
          </w:tcPr>
          <w:p>
            <w:pPr>
              <w:jc w:val="right"/>
              <w:ind w:right="177"/>
              <w:spacing w:after="0"/>
              <w:rPr>
                <w:sz w:val="20"/>
                <w:szCs w:val="20"/>
                <w:color w:val="auto"/>
              </w:rPr>
            </w:pPr>
            <w:r>
              <w:rPr>
                <w:rFonts w:ascii="Times New Roman" w:cs="Times New Roman" w:eastAsia="Times New Roman" w:hAnsi="Times New Roman"/>
                <w:sz w:val="13"/>
                <w:szCs w:val="13"/>
                <w:color w:val="auto"/>
              </w:rPr>
              <w:t>12,362</w:t>
            </w:r>
          </w:p>
        </w:tc>
        <w:tc>
          <w:tcPr>
            <w:tcW w:w="620" w:type="dxa"/>
            <w:vAlign w:val="bottom"/>
            <w:shd w:val="clear" w:color="auto" w:fill="CCEEFF"/>
          </w:tcPr>
          <w:p>
            <w:pPr>
              <w:jc w:val="right"/>
              <w:ind w:right="97"/>
              <w:spacing w:after="0"/>
              <w:rPr>
                <w:sz w:val="20"/>
                <w:szCs w:val="20"/>
                <w:color w:val="auto"/>
              </w:rPr>
            </w:pPr>
            <w:r>
              <w:rPr>
                <w:rFonts w:ascii="Times New Roman" w:cs="Times New Roman" w:eastAsia="Times New Roman" w:hAnsi="Times New Roman"/>
                <w:sz w:val="13"/>
                <w:szCs w:val="13"/>
                <w:color w:val="auto"/>
              </w:rPr>
              <w:t>23,760</w:t>
            </w:r>
          </w:p>
        </w:tc>
      </w:tr>
      <w:tr>
        <w:trPr>
          <w:trHeight w:val="152"/>
        </w:trPr>
        <w:tc>
          <w:tcPr>
            <w:tcW w:w="3800" w:type="dxa"/>
            <w:vAlign w:val="bottom"/>
          </w:tcPr>
          <w:p>
            <w:pPr>
              <w:spacing w:after="0"/>
              <w:rPr>
                <w:sz w:val="20"/>
                <w:szCs w:val="20"/>
                <w:color w:val="auto"/>
              </w:rPr>
            </w:pPr>
            <w:r>
              <w:rPr>
                <w:rFonts w:ascii="Times New Roman" w:cs="Times New Roman" w:eastAsia="Times New Roman" w:hAnsi="Times New Roman"/>
                <w:sz w:val="13"/>
                <w:szCs w:val="13"/>
                <w:color w:val="auto"/>
              </w:rPr>
              <w:t>Volume of external vehicles with repurchase obligations</w:t>
            </w:r>
          </w:p>
        </w:tc>
        <w:tc>
          <w:tcPr>
            <w:tcW w:w="1380" w:type="dxa"/>
            <w:vAlign w:val="bottom"/>
          </w:tcPr>
          <w:p>
            <w:pPr>
              <w:jc w:val="right"/>
              <w:ind w:right="177"/>
              <w:spacing w:after="0"/>
              <w:rPr>
                <w:sz w:val="20"/>
                <w:szCs w:val="20"/>
                <w:color w:val="auto"/>
              </w:rPr>
            </w:pPr>
            <w:r>
              <w:rPr>
                <w:rFonts w:ascii="Times New Roman" w:cs="Times New Roman" w:eastAsia="Times New Roman" w:hAnsi="Times New Roman"/>
                <w:sz w:val="13"/>
                <w:szCs w:val="13"/>
                <w:color w:val="auto"/>
              </w:rPr>
              <w:t>799</w:t>
            </w:r>
          </w:p>
        </w:tc>
        <w:tc>
          <w:tcPr>
            <w:tcW w:w="700" w:type="dxa"/>
            <w:vAlign w:val="bottom"/>
          </w:tcPr>
          <w:p>
            <w:pPr>
              <w:jc w:val="right"/>
              <w:ind w:right="177"/>
              <w:spacing w:after="0"/>
              <w:rPr>
                <w:sz w:val="20"/>
                <w:szCs w:val="20"/>
                <w:color w:val="auto"/>
              </w:rPr>
            </w:pPr>
            <w:r>
              <w:rPr>
                <w:rFonts w:ascii="Times New Roman" w:cs="Times New Roman" w:eastAsia="Times New Roman" w:hAnsi="Times New Roman"/>
                <w:sz w:val="13"/>
                <w:szCs w:val="13"/>
                <w:color w:val="auto"/>
              </w:rPr>
              <w:t>1,535</w:t>
            </w:r>
          </w:p>
        </w:tc>
        <w:tc>
          <w:tcPr>
            <w:tcW w:w="620" w:type="dxa"/>
            <w:vAlign w:val="bottom"/>
          </w:tcPr>
          <w:p>
            <w:pPr>
              <w:jc w:val="right"/>
              <w:ind w:right="97"/>
              <w:spacing w:after="0"/>
              <w:rPr>
                <w:sz w:val="20"/>
                <w:szCs w:val="20"/>
                <w:color w:val="auto"/>
              </w:rPr>
            </w:pPr>
            <w:r>
              <w:rPr>
                <w:rFonts w:ascii="Times New Roman" w:cs="Times New Roman" w:eastAsia="Times New Roman" w:hAnsi="Times New Roman"/>
                <w:sz w:val="13"/>
                <w:szCs w:val="13"/>
                <w:color w:val="auto"/>
              </w:rPr>
              <w:t>2,836</w:t>
            </w:r>
          </w:p>
        </w:tc>
      </w:tr>
      <w:tr>
        <w:trPr>
          <w:trHeight w:val="152"/>
        </w:trPr>
        <w:tc>
          <w:tcPr>
            <w:tcW w:w="38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Volume of internal vehicles</w:t>
            </w:r>
          </w:p>
        </w:tc>
        <w:tc>
          <w:tcPr>
            <w:tcW w:w="1380" w:type="dxa"/>
            <w:vAlign w:val="bottom"/>
            <w:shd w:val="clear" w:color="auto" w:fill="CCEEFF"/>
          </w:tcPr>
          <w:p>
            <w:pPr>
              <w:jc w:val="right"/>
              <w:ind w:right="177"/>
              <w:spacing w:after="0"/>
              <w:rPr>
                <w:sz w:val="20"/>
                <w:szCs w:val="20"/>
                <w:color w:val="auto"/>
              </w:rPr>
            </w:pPr>
            <w:r>
              <w:rPr>
                <w:rFonts w:ascii="Times New Roman" w:cs="Times New Roman" w:eastAsia="Times New Roman" w:hAnsi="Times New Roman"/>
                <w:sz w:val="13"/>
                <w:szCs w:val="13"/>
                <w:color w:val="auto"/>
              </w:rPr>
              <w:t>1,421</w:t>
            </w:r>
          </w:p>
        </w:tc>
        <w:tc>
          <w:tcPr>
            <w:tcW w:w="700" w:type="dxa"/>
            <w:vAlign w:val="bottom"/>
            <w:shd w:val="clear" w:color="auto" w:fill="CCEEFF"/>
          </w:tcPr>
          <w:p>
            <w:pPr>
              <w:jc w:val="right"/>
              <w:ind w:right="177"/>
              <w:spacing w:after="0"/>
              <w:rPr>
                <w:sz w:val="20"/>
                <w:szCs w:val="20"/>
                <w:color w:val="auto"/>
              </w:rPr>
            </w:pPr>
            <w:r>
              <w:rPr>
                <w:rFonts w:ascii="Times New Roman" w:cs="Times New Roman" w:eastAsia="Times New Roman" w:hAnsi="Times New Roman"/>
                <w:sz w:val="13"/>
                <w:szCs w:val="13"/>
                <w:color w:val="auto"/>
              </w:rPr>
              <w:t>1,281</w:t>
            </w:r>
          </w:p>
        </w:tc>
        <w:tc>
          <w:tcPr>
            <w:tcW w:w="620" w:type="dxa"/>
            <w:vAlign w:val="bottom"/>
            <w:shd w:val="clear" w:color="auto" w:fill="CCEEFF"/>
          </w:tcPr>
          <w:p>
            <w:pPr>
              <w:jc w:val="right"/>
              <w:ind w:right="97"/>
              <w:spacing w:after="0"/>
              <w:rPr>
                <w:sz w:val="20"/>
                <w:szCs w:val="20"/>
                <w:color w:val="auto"/>
              </w:rPr>
            </w:pPr>
            <w:r>
              <w:rPr>
                <w:rFonts w:ascii="Times New Roman" w:cs="Times New Roman" w:eastAsia="Times New Roman" w:hAnsi="Times New Roman"/>
                <w:sz w:val="13"/>
                <w:szCs w:val="13"/>
                <w:color w:val="auto"/>
              </w:rPr>
              <w:t>2,081</w:t>
            </w:r>
          </w:p>
        </w:tc>
      </w:tr>
      <w:tr>
        <w:trPr>
          <w:trHeight w:val="152"/>
        </w:trPr>
        <w:tc>
          <w:tcPr>
            <w:tcW w:w="3800" w:type="dxa"/>
            <w:vAlign w:val="bottom"/>
          </w:tcPr>
          <w:p>
            <w:pPr>
              <w:spacing w:after="0" w:line="152" w:lineRule="exact"/>
              <w:rPr>
                <w:sz w:val="20"/>
                <w:szCs w:val="20"/>
                <w:color w:val="auto"/>
              </w:rPr>
            </w:pPr>
            <w:r>
              <w:rPr>
                <w:rFonts w:ascii="Times New Roman" w:cs="Times New Roman" w:eastAsia="Times New Roman" w:hAnsi="Times New Roman"/>
                <w:sz w:val="12"/>
                <w:szCs w:val="12"/>
                <w:color w:val="auto"/>
              </w:rPr>
              <w:t>Markets</w:t>
            </w:r>
            <w:r>
              <w:rPr>
                <w:rFonts w:ascii="Times New Roman" w:cs="Times New Roman" w:eastAsia="Times New Roman" w:hAnsi="Times New Roman"/>
                <w:sz w:val="17"/>
                <w:szCs w:val="17"/>
                <w:color w:val="auto"/>
                <w:vertAlign w:val="superscript"/>
              </w:rPr>
              <w:t>5</w:t>
            </w:r>
          </w:p>
        </w:tc>
        <w:tc>
          <w:tcPr>
            <w:tcW w:w="1380" w:type="dxa"/>
            <w:vAlign w:val="bottom"/>
          </w:tcPr>
          <w:p>
            <w:pPr>
              <w:jc w:val="right"/>
              <w:ind w:right="177"/>
              <w:spacing w:after="0"/>
              <w:rPr>
                <w:sz w:val="20"/>
                <w:szCs w:val="20"/>
                <w:color w:val="auto"/>
              </w:rPr>
            </w:pPr>
            <w:r>
              <w:rPr>
                <w:rFonts w:ascii="Times New Roman" w:cs="Times New Roman" w:eastAsia="Times New Roman" w:hAnsi="Times New Roman"/>
                <w:sz w:val="13"/>
                <w:szCs w:val="13"/>
                <w:color w:val="auto"/>
              </w:rPr>
              <w:t>27</w:t>
            </w:r>
          </w:p>
        </w:tc>
        <w:tc>
          <w:tcPr>
            <w:tcW w:w="700" w:type="dxa"/>
            <w:vAlign w:val="bottom"/>
          </w:tcPr>
          <w:p>
            <w:pPr>
              <w:jc w:val="right"/>
              <w:ind w:right="177"/>
              <w:spacing w:after="0"/>
              <w:rPr>
                <w:sz w:val="20"/>
                <w:szCs w:val="20"/>
                <w:color w:val="auto"/>
              </w:rPr>
            </w:pPr>
            <w:r>
              <w:rPr>
                <w:rFonts w:ascii="Times New Roman" w:cs="Times New Roman" w:eastAsia="Times New Roman" w:hAnsi="Times New Roman"/>
                <w:sz w:val="13"/>
                <w:szCs w:val="13"/>
                <w:color w:val="auto"/>
              </w:rPr>
              <w:t>16</w:t>
            </w:r>
          </w:p>
        </w:tc>
        <w:tc>
          <w:tcPr>
            <w:tcW w:w="620" w:type="dxa"/>
            <w:vAlign w:val="bottom"/>
          </w:tcPr>
          <w:p>
            <w:pPr>
              <w:jc w:val="right"/>
              <w:ind w:right="97"/>
              <w:spacing w:after="0"/>
              <w:rPr>
                <w:sz w:val="20"/>
                <w:szCs w:val="20"/>
                <w:color w:val="auto"/>
              </w:rPr>
            </w:pPr>
            <w:r>
              <w:rPr>
                <w:rFonts w:ascii="Times New Roman" w:cs="Times New Roman" w:eastAsia="Times New Roman" w:hAnsi="Times New Roman"/>
                <w:sz w:val="13"/>
                <w:szCs w:val="13"/>
                <w:color w:val="auto"/>
              </w:rPr>
              <w:t>19</w:t>
            </w:r>
          </w:p>
        </w:tc>
      </w:tr>
      <w:tr>
        <w:trPr>
          <w:trHeight w:val="152"/>
        </w:trPr>
        <w:tc>
          <w:tcPr>
            <w:tcW w:w="3800" w:type="dxa"/>
            <w:vAlign w:val="bottom"/>
            <w:shd w:val="clear" w:color="auto" w:fill="CCEEFF"/>
          </w:tcPr>
          <w:p>
            <w:pPr>
              <w:spacing w:after="0" w:line="152" w:lineRule="exact"/>
              <w:rPr>
                <w:sz w:val="20"/>
                <w:szCs w:val="20"/>
                <w:color w:val="auto"/>
              </w:rPr>
            </w:pPr>
            <w:r>
              <w:rPr>
                <w:rFonts w:ascii="Times New Roman" w:cs="Times New Roman" w:eastAsia="Times New Roman" w:hAnsi="Times New Roman"/>
                <w:sz w:val="12"/>
                <w:szCs w:val="12"/>
                <w:color w:val="auto"/>
              </w:rPr>
              <w:t>Locations</w:t>
            </w:r>
            <w:r>
              <w:rPr>
                <w:rFonts w:ascii="Times New Roman" w:cs="Times New Roman" w:eastAsia="Times New Roman" w:hAnsi="Times New Roman"/>
                <w:sz w:val="17"/>
                <w:szCs w:val="17"/>
                <w:color w:val="auto"/>
                <w:vertAlign w:val="superscript"/>
              </w:rPr>
              <w:t>6</w:t>
            </w:r>
          </w:p>
        </w:tc>
        <w:tc>
          <w:tcPr>
            <w:tcW w:w="1380" w:type="dxa"/>
            <w:vAlign w:val="bottom"/>
            <w:shd w:val="clear" w:color="auto" w:fill="CCEEFF"/>
          </w:tcPr>
          <w:p>
            <w:pPr>
              <w:jc w:val="right"/>
              <w:ind w:right="177"/>
              <w:spacing w:after="0"/>
              <w:rPr>
                <w:sz w:val="20"/>
                <w:szCs w:val="20"/>
                <w:color w:val="auto"/>
              </w:rPr>
            </w:pPr>
            <w:r>
              <w:rPr>
                <w:rFonts w:ascii="Times New Roman" w:cs="Times New Roman" w:eastAsia="Times New Roman" w:hAnsi="Times New Roman"/>
                <w:sz w:val="13"/>
                <w:szCs w:val="13"/>
                <w:color w:val="auto"/>
              </w:rPr>
              <w:t>128</w:t>
            </w:r>
          </w:p>
        </w:tc>
        <w:tc>
          <w:tcPr>
            <w:tcW w:w="700" w:type="dxa"/>
            <w:vAlign w:val="bottom"/>
            <w:shd w:val="clear" w:color="auto" w:fill="CCEEFF"/>
          </w:tcPr>
          <w:p>
            <w:pPr>
              <w:jc w:val="right"/>
              <w:ind w:right="177"/>
              <w:spacing w:after="0"/>
              <w:rPr>
                <w:sz w:val="20"/>
                <w:szCs w:val="20"/>
                <w:color w:val="auto"/>
              </w:rPr>
            </w:pPr>
            <w:r>
              <w:rPr>
                <w:rFonts w:ascii="Times New Roman" w:cs="Times New Roman" w:eastAsia="Times New Roman" w:hAnsi="Times New Roman"/>
                <w:sz w:val="13"/>
                <w:szCs w:val="13"/>
                <w:color w:val="auto"/>
              </w:rPr>
              <w:t>101</w:t>
            </w:r>
          </w:p>
        </w:tc>
        <w:tc>
          <w:tcPr>
            <w:tcW w:w="620" w:type="dxa"/>
            <w:vAlign w:val="bottom"/>
            <w:shd w:val="clear" w:color="auto" w:fill="CCEEFF"/>
          </w:tcPr>
          <w:p>
            <w:pPr>
              <w:jc w:val="right"/>
              <w:ind w:right="97"/>
              <w:spacing w:after="0"/>
              <w:rPr>
                <w:sz w:val="20"/>
                <w:szCs w:val="20"/>
                <w:color w:val="auto"/>
              </w:rPr>
            </w:pPr>
            <w:r>
              <w:rPr>
                <w:rFonts w:ascii="Times New Roman" w:cs="Times New Roman" w:eastAsia="Times New Roman" w:hAnsi="Times New Roman"/>
                <w:sz w:val="13"/>
                <w:szCs w:val="13"/>
                <w:color w:val="auto"/>
              </w:rPr>
              <w:t>103</w:t>
            </w:r>
          </w:p>
        </w:tc>
      </w:tr>
      <w:tr>
        <w:trPr>
          <w:trHeight w:val="238"/>
        </w:trPr>
        <w:tc>
          <w:tcPr>
            <w:tcW w:w="3800" w:type="dxa"/>
            <w:vAlign w:val="bottom"/>
          </w:tcPr>
          <w:p>
            <w:pPr>
              <w:spacing w:after="0"/>
              <w:rPr>
                <w:sz w:val="20"/>
                <w:szCs w:val="20"/>
                <w:color w:val="auto"/>
              </w:rPr>
            </w:pPr>
            <w:r>
              <w:rPr>
                <w:rFonts w:ascii="Times New Roman" w:cs="Times New Roman" w:eastAsia="Times New Roman" w:hAnsi="Times New Roman"/>
                <w:sz w:val="13"/>
                <w:szCs w:val="13"/>
                <w:color w:val="auto"/>
              </w:rPr>
              <w:t>Service points</w:t>
            </w:r>
            <w:r>
              <w:rPr>
                <w:rFonts w:ascii="Times New Roman" w:cs="Times New Roman" w:eastAsia="Times New Roman" w:hAnsi="Times New Roman"/>
                <w:sz w:val="18"/>
                <w:szCs w:val="18"/>
                <w:color w:val="auto"/>
                <w:vertAlign w:val="superscript"/>
              </w:rPr>
              <w:t>7</w:t>
            </w:r>
          </w:p>
        </w:tc>
        <w:tc>
          <w:tcPr>
            <w:tcW w:w="1380" w:type="dxa"/>
            <w:vAlign w:val="bottom"/>
          </w:tcPr>
          <w:p>
            <w:pPr>
              <w:jc w:val="right"/>
              <w:ind w:right="177"/>
              <w:spacing w:after="0"/>
              <w:rPr>
                <w:sz w:val="20"/>
                <w:szCs w:val="20"/>
                <w:color w:val="auto"/>
              </w:rPr>
            </w:pPr>
            <w:r>
              <w:rPr>
                <w:rFonts w:ascii="Times New Roman" w:cs="Times New Roman" w:eastAsia="Times New Roman" w:hAnsi="Times New Roman"/>
                <w:sz w:val="13"/>
                <w:szCs w:val="13"/>
                <w:color w:val="auto"/>
              </w:rPr>
              <w:t>1,033</w:t>
            </w:r>
          </w:p>
        </w:tc>
        <w:tc>
          <w:tcPr>
            <w:tcW w:w="700" w:type="dxa"/>
            <w:vAlign w:val="bottom"/>
          </w:tcPr>
          <w:p>
            <w:pPr>
              <w:jc w:val="right"/>
              <w:ind w:right="177"/>
              <w:spacing w:after="0"/>
              <w:rPr>
                <w:sz w:val="20"/>
                <w:szCs w:val="20"/>
                <w:color w:val="auto"/>
              </w:rPr>
            </w:pPr>
            <w:r>
              <w:rPr>
                <w:rFonts w:ascii="Times New Roman" w:cs="Times New Roman" w:eastAsia="Times New Roman" w:hAnsi="Times New Roman"/>
                <w:sz w:val="13"/>
                <w:szCs w:val="13"/>
                <w:color w:val="auto"/>
              </w:rPr>
              <w:t>738</w:t>
            </w:r>
          </w:p>
        </w:tc>
        <w:tc>
          <w:tcPr>
            <w:tcW w:w="620" w:type="dxa"/>
            <w:vAlign w:val="bottom"/>
          </w:tcPr>
          <w:p>
            <w:pPr>
              <w:jc w:val="right"/>
              <w:ind w:right="97"/>
              <w:spacing w:after="0"/>
              <w:rPr>
                <w:sz w:val="20"/>
                <w:szCs w:val="20"/>
                <w:color w:val="auto"/>
              </w:rPr>
            </w:pPr>
            <w:r>
              <w:rPr>
                <w:rFonts w:ascii="Times New Roman" w:cs="Times New Roman" w:eastAsia="Times New Roman" w:hAnsi="Times New Roman"/>
                <w:sz w:val="13"/>
                <w:szCs w:val="13"/>
                <w:color w:val="auto"/>
              </w:rPr>
              <w:t>811</w:t>
            </w:r>
          </w:p>
        </w:tc>
      </w:tr>
    </w:tbl>
    <w:p>
      <w:pPr>
        <w:ind w:left="940" w:right="739" w:hanging="303"/>
        <w:spacing w:after="0" w:line="262" w:lineRule="auto"/>
        <w:tabs>
          <w:tab w:leader="none" w:pos="940" w:val="left"/>
        </w:tabs>
        <w:numPr>
          <w:ilvl w:val="0"/>
          <w:numId w:val="1"/>
        </w:numPr>
        <w:rPr>
          <w:rFonts w:ascii="Times New Roman" w:cs="Times New Roman" w:eastAsia="Times New Roman" w:hAnsi="Times New Roman"/>
          <w:sz w:val="12"/>
          <w:szCs w:val="12"/>
          <w:color w:val="auto"/>
        </w:rPr>
      </w:pPr>
      <w:r>
        <w:rPr>
          <w:rFonts w:ascii="Times New Roman" w:cs="Times New Roman" w:eastAsia="Times New Roman" w:hAnsi="Times New Roman"/>
          <w:sz w:val="12"/>
          <w:szCs w:val="12"/>
          <w:color w:val="auto"/>
        </w:rPr>
        <w:t>- Included in operating expenses for the nine months ended September 30, 2022 is a non-recurring as well as non-cash USD 372.3 million charge relating to listing expenses incurred upon the merger with Gores Guggenheim, Inc.(“GGI”) on June 23, 2022. See also section “Reverse</w:t>
      </w:r>
    </w:p>
    <w:p>
      <w:pPr>
        <w:spacing w:after="0" w:line="1" w:lineRule="exact"/>
        <w:rPr>
          <w:sz w:val="20"/>
          <w:szCs w:val="20"/>
          <w:color w:val="auto"/>
        </w:rPr>
      </w:pPr>
    </w:p>
    <w:p>
      <w:pPr>
        <w:ind w:left="940"/>
        <w:spacing w:after="0"/>
        <w:rPr>
          <w:sz w:val="20"/>
          <w:szCs w:val="20"/>
          <w:color w:val="auto"/>
        </w:rPr>
      </w:pPr>
      <w:r>
        <w:rPr>
          <w:rFonts w:ascii="Times New Roman" w:cs="Times New Roman" w:eastAsia="Times New Roman" w:hAnsi="Times New Roman"/>
          <w:sz w:val="13"/>
          <w:szCs w:val="13"/>
          <w:color w:val="auto"/>
        </w:rPr>
        <w:t>recapitalization.”</w:t>
      </w:r>
    </w:p>
    <w:p>
      <w:pPr>
        <w:spacing w:after="0" w:line="2" w:lineRule="exact"/>
        <w:rPr>
          <w:sz w:val="20"/>
          <w:szCs w:val="20"/>
          <w:color w:val="auto"/>
        </w:rPr>
      </w:pPr>
    </w:p>
    <w:p>
      <w:pPr>
        <w:ind w:left="940" w:hanging="303"/>
        <w:spacing w:after="0"/>
        <w:tabs>
          <w:tab w:leader="none" w:pos="940" w:val="left"/>
        </w:tabs>
        <w:numPr>
          <w:ilvl w:val="0"/>
          <w:numId w:val="2"/>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 Represents PSNY share price at September 30, 2022. Share prices at the end of prior periods are not disclosed as Polestar was not publicly</w:t>
      </w:r>
    </w:p>
    <w:p>
      <w:pPr>
        <w:spacing w:after="0" w:line="2" w:lineRule="exact"/>
        <w:rPr>
          <w:sz w:val="20"/>
          <w:szCs w:val="20"/>
          <w:color w:val="auto"/>
        </w:rPr>
      </w:pPr>
    </w:p>
    <w:p>
      <w:pPr>
        <w:ind w:left="940"/>
        <w:spacing w:after="0"/>
        <w:rPr>
          <w:sz w:val="20"/>
          <w:szCs w:val="20"/>
          <w:color w:val="auto"/>
        </w:rPr>
      </w:pPr>
      <w:r>
        <w:rPr>
          <w:rFonts w:ascii="Times New Roman" w:cs="Times New Roman" w:eastAsia="Times New Roman" w:hAnsi="Times New Roman"/>
          <w:sz w:val="13"/>
          <w:szCs w:val="13"/>
          <w:color w:val="auto"/>
        </w:rPr>
        <w:t>traded.</w:t>
      </w:r>
    </w:p>
    <w:p>
      <w:pPr>
        <w:spacing w:after="0" w:line="2" w:lineRule="exact"/>
        <w:rPr>
          <w:sz w:val="20"/>
          <w:szCs w:val="20"/>
          <w:color w:val="auto"/>
        </w:rPr>
      </w:pPr>
    </w:p>
    <w:p>
      <w:pPr>
        <w:ind w:left="940" w:hanging="303"/>
        <w:spacing w:after="0"/>
        <w:tabs>
          <w:tab w:leader="none" w:pos="940" w:val="left"/>
        </w:tabs>
        <w:numPr>
          <w:ilvl w:val="0"/>
          <w:numId w:val="3"/>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 Calculated as total equity divided by total assets.</w:t>
      </w:r>
    </w:p>
    <w:p>
      <w:pPr>
        <w:spacing w:after="0" w:line="2" w:lineRule="exact"/>
        <w:rPr>
          <w:sz w:val="20"/>
          <w:szCs w:val="20"/>
          <w:color w:val="auto"/>
        </w:rPr>
      </w:pPr>
    </w:p>
    <w:p>
      <w:pPr>
        <w:ind w:left="940" w:right="659" w:hanging="303"/>
        <w:spacing w:after="0" w:line="275" w:lineRule="auto"/>
        <w:tabs>
          <w:tab w:leader="none" w:pos="940" w:val="left"/>
        </w:tabs>
        <w:numPr>
          <w:ilvl w:val="0"/>
          <w:numId w:val="4"/>
        </w:numPr>
        <w:rPr>
          <w:rFonts w:ascii="Times New Roman" w:cs="Times New Roman" w:eastAsia="Times New Roman" w:hAnsi="Times New Roman"/>
          <w:sz w:val="12"/>
          <w:szCs w:val="12"/>
          <w:color w:val="auto"/>
        </w:rPr>
      </w:pPr>
      <w:r>
        <w:rPr>
          <w:rFonts w:ascii="Times New Roman" w:cs="Times New Roman" w:eastAsia="Times New Roman" w:hAnsi="Times New Roman"/>
          <w:sz w:val="12"/>
          <w:szCs w:val="12"/>
          <w:color w:val="auto"/>
        </w:rPr>
        <w:t>- Represents total volumes of new vehicles delivered, including external sales with recognition of revenue at time of delivery, external sales with repurchase commitments and internal sales of vehicles transferred for demonstration and commercial purposes as well as vehicles transferred to Polestar employees at time of registration. Transferred vehicles for demonstration and commercial purposes are owned by Polestar and included in</w:t>
      </w:r>
    </w:p>
    <w:p>
      <w:pPr>
        <w:spacing w:after="0" w:line="119" w:lineRule="exact"/>
        <w:rPr>
          <w:sz w:val="20"/>
          <w:szCs w:val="20"/>
          <w:color w:val="auto"/>
        </w:rPr>
      </w:pPr>
    </w:p>
    <w:p>
      <w:pPr>
        <w:ind w:left="940" w:hanging="303"/>
        <w:spacing w:after="0"/>
        <w:tabs>
          <w:tab w:leader="none" w:pos="940" w:val="left"/>
        </w:tabs>
        <w:numPr>
          <w:ilvl w:val="0"/>
          <w:numId w:val="5"/>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 Represents the markets in which Polestar operates.</w:t>
      </w:r>
    </w:p>
    <w:p>
      <w:pPr>
        <w:spacing w:after="0" w:line="15" w:lineRule="exact"/>
        <w:rPr>
          <w:sz w:val="20"/>
          <w:szCs w:val="20"/>
          <w:color w:val="auto"/>
        </w:rPr>
      </w:pPr>
    </w:p>
    <w:p>
      <w:pPr>
        <w:ind w:left="940" w:hanging="303"/>
        <w:spacing w:after="0"/>
        <w:tabs>
          <w:tab w:leader="none" w:pos="940" w:val="left"/>
        </w:tabs>
        <w:numPr>
          <w:ilvl w:val="0"/>
          <w:numId w:val="6"/>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 Represents Polestar Spaces, Polestar Destinations, and Polestar Test Drive Centers.</w:t>
      </w:r>
    </w:p>
    <w:p>
      <w:pPr>
        <w:spacing w:after="0" w:line="2" w:lineRule="exact"/>
        <w:rPr>
          <w:sz w:val="20"/>
          <w:szCs w:val="20"/>
          <w:color w:val="auto"/>
        </w:rPr>
      </w:pPr>
    </w:p>
    <w:p>
      <w:pPr>
        <w:ind w:left="940" w:right="799" w:hanging="303"/>
        <w:spacing w:after="0" w:line="287" w:lineRule="auto"/>
        <w:tabs>
          <w:tab w:leader="none" w:pos="940" w:val="left"/>
        </w:tabs>
        <w:numPr>
          <w:ilvl w:val="0"/>
          <w:numId w:val="7"/>
        </w:numPr>
        <w:rPr>
          <w:rFonts w:ascii="Times New Roman" w:cs="Times New Roman" w:eastAsia="Times New Roman" w:hAnsi="Times New Roman"/>
          <w:sz w:val="12"/>
          <w:szCs w:val="12"/>
          <w:color w:val="auto"/>
        </w:rPr>
      </w:pPr>
      <w:r>
        <w:rPr>
          <w:rFonts w:ascii="Times New Roman" w:cs="Times New Roman" w:eastAsia="Times New Roman" w:hAnsi="Times New Roman"/>
          <w:sz w:val="12"/>
          <w:szCs w:val="12"/>
          <w:color w:val="auto"/>
        </w:rPr>
        <w:t>- Represents Volvo Cars service centers to provide access to customer service points worldwide in support of Polestar’s international expansion. The comparison figure for September 30, 2021 is an estimate as the number of service points at period end was not recorded internally.</w:t>
      </w:r>
    </w:p>
    <w:p>
      <w:pPr>
        <w:spacing w:after="0" w:line="186"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Key factors affecting performance</w:t>
      </w:r>
    </w:p>
    <w:p>
      <w:pPr>
        <w:spacing w:after="0" w:line="80" w:lineRule="exact"/>
        <w:rPr>
          <w:sz w:val="20"/>
          <w:szCs w:val="20"/>
          <w:color w:val="auto"/>
        </w:rPr>
      </w:pPr>
    </w:p>
    <w:p>
      <w:pPr>
        <w:jc w:val="both"/>
        <w:ind w:left="640" w:right="799"/>
        <w:spacing w:after="0" w:line="255" w:lineRule="auto"/>
        <w:rPr>
          <w:sz w:val="20"/>
          <w:szCs w:val="20"/>
          <w:color w:val="auto"/>
        </w:rPr>
      </w:pPr>
      <w:r>
        <w:rPr>
          <w:rFonts w:ascii="Times New Roman" w:cs="Times New Roman" w:eastAsia="Times New Roman" w:hAnsi="Times New Roman"/>
          <w:sz w:val="13"/>
          <w:szCs w:val="13"/>
          <w:color w:val="auto"/>
        </w:rPr>
        <w:t>Polestar’s continued growth depends on numerous factors and trends. While these factors and trends provide opportunities for Polestar, they also pose risks and challenges as discussed in item 3.D “</w:t>
      </w:r>
      <w:r>
        <w:rPr>
          <w:rFonts w:ascii="Times New Roman" w:cs="Times New Roman" w:eastAsia="Times New Roman" w:hAnsi="Times New Roman"/>
          <w:sz w:val="13"/>
          <w:szCs w:val="13"/>
          <w:i w:val="1"/>
          <w:iCs w:val="1"/>
          <w:color w:val="auto"/>
        </w:rPr>
        <w:t>Risk Factors</w:t>
      </w:r>
      <w:r>
        <w:rPr>
          <w:rFonts w:ascii="Times New Roman" w:cs="Times New Roman" w:eastAsia="Times New Roman" w:hAnsi="Times New Roman"/>
          <w:sz w:val="13"/>
          <w:szCs w:val="13"/>
          <w:color w:val="auto"/>
        </w:rPr>
        <w:t>” in Form 20-F filed with the SEC on June 29, 2022. The following paragraphs explain the key factors that had a notable impact on Polestar during the nine months ended September 30, 2022.</w:t>
      </w:r>
    </w:p>
    <w:p>
      <w:pPr>
        <w:spacing w:after="0" w:line="20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Partnerships with Volvo Cars and Geely</w:t>
      </w:r>
    </w:p>
    <w:p>
      <w:pPr>
        <w:spacing w:after="0" w:line="80" w:lineRule="exact"/>
        <w:rPr>
          <w:sz w:val="20"/>
          <w:szCs w:val="20"/>
          <w:color w:val="auto"/>
        </w:rPr>
      </w:pPr>
    </w:p>
    <w:p>
      <w:pPr>
        <w:ind w:left="640" w:right="679"/>
        <w:spacing w:after="0" w:line="248" w:lineRule="auto"/>
        <w:rPr>
          <w:sz w:val="20"/>
          <w:szCs w:val="20"/>
          <w:color w:val="auto"/>
        </w:rPr>
      </w:pPr>
      <w:r>
        <w:rPr>
          <w:rFonts w:ascii="Times New Roman" w:cs="Times New Roman" w:eastAsia="Times New Roman" w:hAnsi="Times New Roman"/>
          <w:sz w:val="13"/>
          <w:szCs w:val="13"/>
          <w:color w:val="auto"/>
        </w:rPr>
        <w:t>Polestar’s relationship with related parties, Volvo Cars and Geely, has provided it with a unique competitive advantage in its ability to rapidly scale commercialization activities while maintaining an asset light balance sheet. This is achieved primarily through contract manufacturing as well as supply and service agreements with Volvo Cars and Geely. Polestar continues to utilize the established research and development capabilities of Volvo Cars and Geely to accelerate technological advancements in automotive technology. Additionally, selling and administrative expenses have been positively impacted due to service agreements with Volvo Cars that allow Polestar to attain operational efficiencies in the areas of aftermarket services, maintenance, and back-office functions such as information technology, legal, accounting, finance, and human resources.</w:t>
      </w:r>
    </w:p>
    <w:p>
      <w:pPr>
        <w:spacing w:after="0" w:line="8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2</w:t>
      </w:r>
    </w:p>
    <w:p>
      <w:pPr>
        <w:sectPr>
          <w:pgSz w:w="11900" w:h="16838" w:orient="portrait"/>
          <w:cols w:equalWidth="0" w:num="1">
            <w:col w:w="9019"/>
          </w:cols>
          <w:pgMar w:left="1440" w:top="188" w:right="1440" w:bottom="1440" w:gutter="0" w:footer="0" w:header="0"/>
        </w:sectPr>
      </w:pPr>
    </w:p>
    <w:bookmarkStart w:id="45" w:name="page46"/>
    <w:bookmarkEnd w:id="45"/>
    <w:p>
      <w:pPr>
        <w:ind w:left="640"/>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10425" cy="30480"/>
                    </a:xfrm>
                    <a:prstGeom prst="rect">
                      <a:avLst/>
                    </a:prstGeom>
                    <a:noFill/>
                  </pic:spPr>
                </pic:pic>
              </a:graphicData>
            </a:graphic>
          </wp:anchor>
        </w:drawing>
        <w:t>During the nine months ended September 30, 2022, Polestar entered into the following agreements with Volvo Cars and Geely:</w:t>
      </w:r>
    </w:p>
    <w:p>
      <w:pPr>
        <w:spacing w:after="0" w:line="87" w:lineRule="exact"/>
        <w:rPr>
          <w:sz w:val="20"/>
          <w:szCs w:val="20"/>
          <w:color w:val="auto"/>
        </w:rPr>
      </w:pPr>
    </w:p>
    <w:p>
      <w:pPr>
        <w:ind w:left="1320" w:right="939" w:hanging="303"/>
        <w:spacing w:after="0" w:line="267" w:lineRule="auto"/>
        <w:tabs>
          <w:tab w:leader="none" w:pos="1320" w:val="left"/>
        </w:tabs>
        <w:numPr>
          <w:ilvl w:val="0"/>
          <w:numId w:val="8"/>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A service agreement with Volvo Cars, effective January 28, 2022, that governs Polestar’s outbound logistics through the utilization of Volvo Cars’ existing vehicle distribution process in the United States.</w:t>
      </w:r>
    </w:p>
    <w:p>
      <w:pPr>
        <w:spacing w:after="0" w:line="55" w:lineRule="exact"/>
        <w:rPr>
          <w:rFonts w:ascii="Times New Roman" w:cs="Times New Roman" w:eastAsia="Times New Roman" w:hAnsi="Times New Roman"/>
          <w:sz w:val="13"/>
          <w:szCs w:val="13"/>
          <w:color w:val="auto"/>
        </w:rPr>
      </w:pPr>
    </w:p>
    <w:p>
      <w:pPr>
        <w:ind w:left="1320" w:right="799" w:hanging="303"/>
        <w:spacing w:after="0" w:line="267" w:lineRule="auto"/>
        <w:tabs>
          <w:tab w:leader="none" w:pos="1320" w:val="left"/>
        </w:tabs>
        <w:numPr>
          <w:ilvl w:val="0"/>
          <w:numId w:val="8"/>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Technology license agreements with Geely, effective March 4, 2022, that govern Polestar’s acquisition of certain technology from Geely related to the Polestar 4.</w:t>
      </w:r>
    </w:p>
    <w:p>
      <w:pPr>
        <w:spacing w:after="0" w:line="55" w:lineRule="exact"/>
        <w:rPr>
          <w:rFonts w:ascii="Times New Roman" w:cs="Times New Roman" w:eastAsia="Times New Roman" w:hAnsi="Times New Roman"/>
          <w:sz w:val="13"/>
          <w:szCs w:val="13"/>
          <w:color w:val="auto"/>
        </w:rPr>
      </w:pPr>
    </w:p>
    <w:p>
      <w:pPr>
        <w:ind w:left="1320" w:right="879" w:hanging="303"/>
        <w:spacing w:after="0" w:line="267" w:lineRule="auto"/>
        <w:tabs>
          <w:tab w:leader="none" w:pos="1320" w:val="left"/>
        </w:tabs>
        <w:numPr>
          <w:ilvl w:val="0"/>
          <w:numId w:val="8"/>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Service agreements with Volvo Cars, effective June 21, 2022, that govern the import and export of Polestar vehicles into and out of the United States by Volvo Cars.</w:t>
      </w:r>
    </w:p>
    <w:p>
      <w:pPr>
        <w:spacing w:after="0" w:line="120" w:lineRule="exact"/>
        <w:rPr>
          <w:sz w:val="20"/>
          <w:szCs w:val="20"/>
          <w:color w:val="auto"/>
        </w:rPr>
      </w:pPr>
    </w:p>
    <w:p>
      <w:pPr>
        <w:ind w:left="640" w:right="779"/>
        <w:spacing w:after="0" w:line="270" w:lineRule="auto"/>
        <w:rPr>
          <w:sz w:val="20"/>
          <w:szCs w:val="20"/>
          <w:color w:val="auto"/>
        </w:rPr>
      </w:pPr>
      <w:r>
        <w:rPr>
          <w:rFonts w:ascii="Times New Roman" w:cs="Times New Roman" w:eastAsia="Times New Roman" w:hAnsi="Times New Roman"/>
          <w:sz w:val="13"/>
          <w:szCs w:val="13"/>
          <w:color w:val="auto"/>
        </w:rPr>
        <w:t xml:space="preserve">Refer to Note 8 - Related party transactions in the Unaudited Condensed Consolidated Financial Statements </w:t>
      </w:r>
      <w:r>
        <w:rPr>
          <w:rFonts w:ascii="Times New Roman" w:cs="Times New Roman" w:eastAsia="Times New Roman" w:hAnsi="Times New Roman"/>
          <w:sz w:val="13"/>
          <w:szCs w:val="13"/>
          <w:i w:val="1"/>
          <w:iCs w:val="1"/>
          <w:color w:val="auto"/>
        </w:rPr>
        <w:t>included elsewhere in this report for more</w:t>
      </w:r>
      <w:r>
        <w:rPr>
          <w:rFonts w:ascii="Times New Roman" w:cs="Times New Roman" w:eastAsia="Times New Roman" w:hAnsi="Times New Roman"/>
          <w:sz w:val="13"/>
          <w:szCs w:val="13"/>
          <w:color w:val="auto"/>
        </w:rPr>
        <w:t xml:space="preserve"> </w:t>
      </w:r>
      <w:r>
        <w:rPr>
          <w:rFonts w:ascii="Times New Roman" w:cs="Times New Roman" w:eastAsia="Times New Roman" w:hAnsi="Times New Roman"/>
          <w:sz w:val="13"/>
          <w:szCs w:val="13"/>
          <w:i w:val="1"/>
          <w:iCs w:val="1"/>
          <w:color w:val="auto"/>
        </w:rPr>
        <w:t>information.</w:t>
      </w:r>
    </w:p>
    <w:p>
      <w:pPr>
        <w:spacing w:after="0" w:line="19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Reverse recapitalization</w:t>
      </w:r>
    </w:p>
    <w:p>
      <w:pPr>
        <w:spacing w:after="0" w:line="80" w:lineRule="exact"/>
        <w:rPr>
          <w:sz w:val="20"/>
          <w:szCs w:val="20"/>
          <w:color w:val="auto"/>
        </w:rPr>
      </w:pPr>
    </w:p>
    <w:p>
      <w:pPr>
        <w:ind w:left="640" w:right="699"/>
        <w:spacing w:after="0" w:line="247" w:lineRule="auto"/>
        <w:rPr>
          <w:sz w:val="20"/>
          <w:szCs w:val="20"/>
          <w:color w:val="auto"/>
        </w:rPr>
      </w:pPr>
      <w:r>
        <w:rPr>
          <w:rFonts w:ascii="Times New Roman" w:cs="Times New Roman" w:eastAsia="Times New Roman" w:hAnsi="Times New Roman"/>
          <w:sz w:val="13"/>
          <w:szCs w:val="13"/>
          <w:color w:val="auto"/>
        </w:rPr>
        <w:t>On June 23, 2022, Polestar consummated a capital reorganization via the merger with Gores Guggenheim, Inc. (“GGI”), a special purpose acquisition company. Polestar subsequently began trading on the National Association of Securities Dealers Automated Quotations (“Nasdaq”) on June 24, 2022 under the ticker symbol PSNY. In addition to providing Polestar with access to new funding sources in the United States capital markets, the merger, including all related arrangements, raised net cash proceeds of $1,417,973. Gross proceeds of $638,197 was assumed from GGI, $250,000 was sourced from a private placement in public equity (“PIPE”), and $588,826 was sourced from a preferential share subscription with Volvo Cars. Polestar incurred total transaction costs of $97,953 in connection with the merger, of which $59,050 were attributable to GGI and deducted from the gross proceeds raised.</w:t>
      </w:r>
    </w:p>
    <w:p>
      <w:pPr>
        <w:spacing w:after="0" w:line="134" w:lineRule="exact"/>
        <w:rPr>
          <w:sz w:val="20"/>
          <w:szCs w:val="20"/>
          <w:color w:val="auto"/>
        </w:rPr>
      </w:pPr>
    </w:p>
    <w:p>
      <w:pPr>
        <w:ind w:left="640" w:right="719"/>
        <w:spacing w:after="0" w:line="248" w:lineRule="auto"/>
        <w:rPr>
          <w:sz w:val="20"/>
          <w:szCs w:val="20"/>
          <w:color w:val="auto"/>
        </w:rPr>
      </w:pPr>
      <w:r>
        <w:rPr>
          <w:rFonts w:ascii="Times New Roman" w:cs="Times New Roman" w:eastAsia="Times New Roman" w:hAnsi="Times New Roman"/>
          <w:sz w:val="13"/>
          <w:szCs w:val="13"/>
          <w:color w:val="auto"/>
        </w:rPr>
        <w:t xml:space="preserve">The merger was accounted for as a reverse recapitalization in accordance with International Financial Reporting Standards (“IFRS”) 2, </w:t>
      </w:r>
      <w:r>
        <w:rPr>
          <w:rFonts w:ascii="Times New Roman" w:cs="Times New Roman" w:eastAsia="Times New Roman" w:hAnsi="Times New Roman"/>
          <w:sz w:val="13"/>
          <w:szCs w:val="13"/>
          <w:i w:val="1"/>
          <w:iCs w:val="1"/>
          <w:color w:val="auto"/>
        </w:rPr>
        <w:t>Share-based</w:t>
      </w:r>
      <w:r>
        <w:rPr>
          <w:rFonts w:ascii="Times New Roman" w:cs="Times New Roman" w:eastAsia="Times New Roman" w:hAnsi="Times New Roman"/>
          <w:sz w:val="13"/>
          <w:szCs w:val="13"/>
          <w:color w:val="auto"/>
        </w:rPr>
        <w:t xml:space="preserve"> </w:t>
      </w:r>
      <w:r>
        <w:rPr>
          <w:rFonts w:ascii="Times New Roman" w:cs="Times New Roman" w:eastAsia="Times New Roman" w:hAnsi="Times New Roman"/>
          <w:sz w:val="13"/>
          <w:szCs w:val="13"/>
          <w:i w:val="1"/>
          <w:iCs w:val="1"/>
          <w:color w:val="auto"/>
        </w:rPr>
        <w:t xml:space="preserve">Payment, </w:t>
      </w:r>
      <w:r>
        <w:rPr>
          <w:rFonts w:ascii="Times New Roman" w:cs="Times New Roman" w:eastAsia="Times New Roman" w:hAnsi="Times New Roman"/>
          <w:sz w:val="13"/>
          <w:szCs w:val="13"/>
          <w:color w:val="auto"/>
        </w:rPr>
        <w:t>under which Polestar obtained a listing service in exchange for the issuance of 5.1% equity ownership. Accordingly, Polestar recorded a</w:t>
      </w:r>
      <w:r>
        <w:rPr>
          <w:rFonts w:ascii="Times New Roman" w:cs="Times New Roman" w:eastAsia="Times New Roman" w:hAnsi="Times New Roman"/>
          <w:sz w:val="13"/>
          <w:szCs w:val="13"/>
          <w:i w:val="1"/>
          <w:iCs w:val="1"/>
          <w:color w:val="auto"/>
        </w:rPr>
        <w:t xml:space="preserve"> </w:t>
      </w:r>
      <w:r>
        <w:rPr>
          <w:rFonts w:ascii="Times New Roman" w:cs="Times New Roman" w:eastAsia="Times New Roman" w:hAnsi="Times New Roman"/>
          <w:sz w:val="13"/>
          <w:szCs w:val="13"/>
          <w:color w:val="auto"/>
        </w:rPr>
        <w:t>non-recurring as well as non-cash share-based listing expense of $372,318 that was calculated based on the excess of the fair value of equity ownership in Polestar issued to GGI and third-party PIPE investors over the identifiable net assets and cash assumed on June 23, 2022. The fair value of Polestar equity on June 23, 2022 was based on a closing share price of $11.23 per share, a contributing factor to the size of the listing expense. This non-recurring listing expense is included in operating expenses and reflected in operating loss.</w:t>
      </w:r>
    </w:p>
    <w:p>
      <w:pPr>
        <w:spacing w:after="0" w:line="137"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2"/>
          <w:szCs w:val="12"/>
          <w:color w:val="auto"/>
        </w:rPr>
        <w:t>As part of the merger, Polestar exchanged rights and obligations to the public and private warrant instruments of GGI, which maintained fair values of</w:t>
      </w:r>
    </w:p>
    <w:p>
      <w:pPr>
        <w:spacing w:after="0" w:line="27"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$40,320 and $22,770, respectively, on June 23, 2022. Polestar also issued certain rights to earn-out shares to existing owners with a fair value of</w:t>
      </w:r>
    </w:p>
    <w:p>
      <w:pPr>
        <w:spacing w:after="0" w:line="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2"/>
          <w:szCs w:val="12"/>
          <w:color w:val="auto"/>
        </w:rPr>
        <w:t>$1,500,638 on June 23, 2022. These earn-out rights were granted to existing owners of Polestar as stipulated by the business combination agreement</w:t>
      </w:r>
    </w:p>
    <w:p>
      <w:pPr>
        <w:spacing w:after="0" w:line="1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2"/>
          <w:szCs w:val="12"/>
          <w:color w:val="auto"/>
        </w:rPr>
        <w:t>with GGI, dated on September 27, 2021. These instruments are accounted for as derivative liabilities under International Accounting Standards (“IAS”)</w:t>
      </w:r>
    </w:p>
    <w:p>
      <w:pPr>
        <w:spacing w:after="0" w:line="1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 xml:space="preserve">32, </w:t>
      </w:r>
      <w:r>
        <w:rPr>
          <w:rFonts w:ascii="Times New Roman" w:cs="Times New Roman" w:eastAsia="Times New Roman" w:hAnsi="Times New Roman"/>
          <w:sz w:val="13"/>
          <w:szCs w:val="13"/>
          <w:i w:val="1"/>
          <w:iCs w:val="1"/>
          <w:color w:val="auto"/>
        </w:rPr>
        <w:t>Financial Instruments: Presentation</w:t>
      </w:r>
      <w:r>
        <w:rPr>
          <w:rFonts w:ascii="Times New Roman" w:cs="Times New Roman" w:eastAsia="Times New Roman" w:hAnsi="Times New Roman"/>
          <w:sz w:val="13"/>
          <w:szCs w:val="13"/>
          <w:color w:val="auto"/>
        </w:rPr>
        <w:t xml:space="preserve">, and IFRS 9, </w:t>
      </w:r>
      <w:r>
        <w:rPr>
          <w:rFonts w:ascii="Times New Roman" w:cs="Times New Roman" w:eastAsia="Times New Roman" w:hAnsi="Times New Roman"/>
          <w:sz w:val="13"/>
          <w:szCs w:val="13"/>
          <w:i w:val="1"/>
          <w:iCs w:val="1"/>
          <w:color w:val="auto"/>
        </w:rPr>
        <w:t>Financial Instruments</w:t>
      </w:r>
      <w:r>
        <w:rPr>
          <w:rFonts w:ascii="Times New Roman" w:cs="Times New Roman" w:eastAsia="Times New Roman" w:hAnsi="Times New Roman"/>
          <w:sz w:val="13"/>
          <w:szCs w:val="13"/>
          <w:color w:val="auto"/>
        </w:rPr>
        <w:t>, that are carried at fair value with subsequent changes in fair value</w:t>
      </w:r>
    </w:p>
    <w:p>
      <w:pPr>
        <w:spacing w:after="0" w:line="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2"/>
          <w:szCs w:val="12"/>
          <w:color w:val="auto"/>
        </w:rPr>
        <w:t>recognized in the Unaudited Condensed Consolidated Statement of Loss at each reporting date. On June 23, 2022, the day of the merger, these earn out</w:t>
      </w:r>
    </w:p>
    <w:p>
      <w:pPr>
        <w:spacing w:after="0" w:line="1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rights were recorded as a reduction of equity (and a derivative liability) with an amount of $1,500,638.</w:t>
      </w:r>
    </w:p>
    <w:p>
      <w:pPr>
        <w:spacing w:after="0" w:line="9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3</w:t>
      </w:r>
    </w:p>
    <w:p>
      <w:pPr>
        <w:sectPr>
          <w:pgSz w:w="11900" w:h="16838" w:orient="portrait"/>
          <w:cols w:equalWidth="0" w:num="1">
            <w:col w:w="9019"/>
          </w:cols>
          <w:pgMar w:left="1440" w:top="231" w:right="1440" w:bottom="1440" w:gutter="0" w:footer="0" w:header="0"/>
        </w:sectPr>
      </w:pPr>
    </w:p>
    <w:bookmarkStart w:id="46" w:name="page47"/>
    <w:bookmarkEnd w:id="46"/>
    <w:p>
      <w:pPr>
        <w:ind w:left="640" w:right="1039"/>
        <w:spacing w:after="0" w:line="267" w:lineRule="auto"/>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10425" cy="30480"/>
                    </a:xfrm>
                    <a:prstGeom prst="rect">
                      <a:avLst/>
                    </a:prstGeom>
                    <a:noFill/>
                  </pic:spPr>
                </pic:pic>
              </a:graphicData>
            </a:graphic>
          </wp:anchor>
        </w:drawing>
        <w:t>Refer to Note 1 - Significant accounting policies and judgements and Note 9 - Reverse recapitalization in the Unaudited Condensed Consolidated Financial Statements included elsewhere in this report for more information.</w:t>
      </w:r>
    </w:p>
    <w:p>
      <w:pPr>
        <w:spacing w:after="0" w:line="196"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Impact of COVID-19, Russo-Ukrainian War, and inflation</w:t>
      </w:r>
    </w:p>
    <w:p>
      <w:pPr>
        <w:spacing w:after="0" w:line="80" w:lineRule="exact"/>
        <w:rPr>
          <w:sz w:val="20"/>
          <w:szCs w:val="20"/>
          <w:color w:val="auto"/>
        </w:rPr>
      </w:pPr>
    </w:p>
    <w:p>
      <w:pPr>
        <w:ind w:left="640" w:right="659"/>
        <w:spacing w:after="0" w:line="251" w:lineRule="auto"/>
        <w:rPr>
          <w:sz w:val="20"/>
          <w:szCs w:val="20"/>
          <w:color w:val="auto"/>
        </w:rPr>
      </w:pPr>
      <w:r>
        <w:rPr>
          <w:rFonts w:ascii="Times New Roman" w:cs="Times New Roman" w:eastAsia="Times New Roman" w:hAnsi="Times New Roman"/>
          <w:sz w:val="13"/>
          <w:szCs w:val="13"/>
          <w:color w:val="auto"/>
        </w:rPr>
        <w:t>In certain instances, Polestar’s suppliers and business partners have experienced delays or disruptions from COVID-19, resulting in negative impacts to Polestar. Specifically, the prolonged government mandated quarantines and lockdowns in eastern China during the nine months ended September 30, 2022 delayed production and delivery of critical components for the Polestar 2. Polestar estimates that it lost approximately eight weeks of production at Volvo Cars’ Luqiao plant during the period.</w:t>
      </w:r>
    </w:p>
    <w:p>
      <w:pPr>
        <w:spacing w:after="0" w:line="133" w:lineRule="exact"/>
        <w:rPr>
          <w:sz w:val="20"/>
          <w:szCs w:val="20"/>
          <w:color w:val="auto"/>
        </w:rPr>
      </w:pPr>
    </w:p>
    <w:p>
      <w:pPr>
        <w:ind w:left="640" w:right="819"/>
        <w:spacing w:after="0" w:line="255" w:lineRule="auto"/>
        <w:rPr>
          <w:sz w:val="20"/>
          <w:szCs w:val="20"/>
          <w:color w:val="auto"/>
        </w:rPr>
      </w:pPr>
      <w:r>
        <w:rPr>
          <w:rFonts w:ascii="Times New Roman" w:cs="Times New Roman" w:eastAsia="Times New Roman" w:hAnsi="Times New Roman"/>
          <w:sz w:val="13"/>
          <w:szCs w:val="13"/>
          <w:color w:val="auto"/>
        </w:rPr>
        <w:t>Further, while Polestar does not directly conduct any business with suppliers in Russia or the Ukraine, there can be no assurance that all parts of the supply chain are devoid of any exposure to disruptions caused by the Russo-Ukrainian War. Refer to Item 3.D “</w:t>
      </w:r>
      <w:r>
        <w:rPr>
          <w:rFonts w:ascii="Times New Roman" w:cs="Times New Roman" w:eastAsia="Times New Roman" w:hAnsi="Times New Roman"/>
          <w:sz w:val="13"/>
          <w:szCs w:val="13"/>
          <w:i w:val="1"/>
          <w:iCs w:val="1"/>
          <w:color w:val="auto"/>
        </w:rPr>
        <w:t>Risk Factors</w:t>
      </w:r>
      <w:r>
        <w:rPr>
          <w:rFonts w:ascii="Times New Roman" w:cs="Times New Roman" w:eastAsia="Times New Roman" w:hAnsi="Times New Roman"/>
          <w:sz w:val="13"/>
          <w:szCs w:val="13"/>
          <w:color w:val="auto"/>
        </w:rPr>
        <w:t>” in Form 20-F filed with the SEC on June 29, 2022 for information on risks posed by COVID-19 and the Russo-Ukrainian War.</w:t>
      </w:r>
    </w:p>
    <w:p>
      <w:pPr>
        <w:spacing w:after="0" w:line="130" w:lineRule="exact"/>
        <w:rPr>
          <w:sz w:val="20"/>
          <w:szCs w:val="20"/>
          <w:color w:val="auto"/>
        </w:rPr>
      </w:pPr>
    </w:p>
    <w:p>
      <w:pPr>
        <w:ind w:left="640" w:right="799"/>
        <w:spacing w:after="0" w:line="246" w:lineRule="auto"/>
        <w:rPr>
          <w:sz w:val="20"/>
          <w:szCs w:val="20"/>
          <w:color w:val="auto"/>
        </w:rPr>
      </w:pPr>
      <w:r>
        <w:rPr>
          <w:rFonts w:ascii="Times New Roman" w:cs="Times New Roman" w:eastAsia="Times New Roman" w:hAnsi="Times New Roman"/>
          <w:sz w:val="13"/>
          <w:szCs w:val="13"/>
          <w:color w:val="auto"/>
        </w:rPr>
        <w:t>The broader impacts of COVID-19 and the Russo-Ukrainian War include rising inflationary pressures on prices of components, materials, labor, and equipment used in the production of Polestar vehicles. Particularly, increases in battery prices due to the increased prices of lithium, cobalt, and nickel are expected to lead to higher costs of goods sold. While price increases for these components have already taken place in the market, Polestar has not yet experienced an increase in costs of goods sold due to certain contract terms between our related party contract manufacturer, Volvo Cars, and their sub-suppliers. Additionally, the natural time lag created by the production, shipping, and selling of vehicles has also contributed to a delay in price increases experienced by Polestar. Higher oil prices have also increased freight and distribution costs across all markets. It is uncertain whether these inflationary pressures will persist in the future. Polestar remains vigilant and will continue to closely monitor the effects of COVID-19, the Russo-Ukrainian War, and inflation.</w:t>
      </w:r>
    </w:p>
    <w:p>
      <w:pPr>
        <w:spacing w:after="0" w:line="9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4</w:t>
      </w:r>
    </w:p>
    <w:p>
      <w:pPr>
        <w:sectPr>
          <w:pgSz w:w="11900" w:h="16838" w:orient="portrait"/>
          <w:cols w:equalWidth="0" w:num="1">
            <w:col w:w="9019"/>
          </w:cols>
          <w:pgMar w:left="1440" w:top="231" w:right="1440" w:bottom="1440" w:gutter="0" w:footer="0" w:header="0"/>
        </w:sectPr>
      </w:pPr>
    </w:p>
    <w:bookmarkStart w:id="47" w:name="page48"/>
    <w:bookmarkEnd w:id="47"/>
    <w:p>
      <w:pPr>
        <w:ind w:left="640"/>
        <w:spacing w:after="0"/>
        <w:rPr>
          <w:sz w:val="20"/>
          <w:szCs w:val="20"/>
          <w:color w:val="auto"/>
        </w:rPr>
      </w:pPr>
      <w:r>
        <w:rPr>
          <w:rFonts w:ascii="Times New Roman" w:cs="Times New Roman" w:eastAsia="Times New Roman" w:hAnsi="Times New Roman"/>
          <w:sz w:val="13"/>
          <w:szCs w:val="13"/>
          <w:b w:val="1"/>
          <w:bCs w:val="1"/>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10425" cy="30480"/>
                    </a:xfrm>
                    <a:prstGeom prst="rect">
                      <a:avLst/>
                    </a:prstGeom>
                    <a:noFill/>
                  </pic:spPr>
                </pic:pic>
              </a:graphicData>
            </a:graphic>
          </wp:anchor>
        </w:drawing>
        <w:t>Results of operations</w:t>
      </w:r>
    </w:p>
    <w:p>
      <w:pPr>
        <w:spacing w:after="0" w:line="80" w:lineRule="exact"/>
        <w:rPr>
          <w:sz w:val="20"/>
          <w:szCs w:val="20"/>
          <w:color w:val="auto"/>
        </w:rPr>
      </w:pPr>
    </w:p>
    <w:p>
      <w:pPr>
        <w:ind w:left="640" w:right="739"/>
        <w:spacing w:after="0" w:line="249" w:lineRule="auto"/>
        <w:rPr>
          <w:sz w:val="20"/>
          <w:szCs w:val="20"/>
          <w:color w:val="auto"/>
        </w:rPr>
      </w:pPr>
      <w:r>
        <w:rPr>
          <w:rFonts w:ascii="Times New Roman" w:cs="Times New Roman" w:eastAsia="Times New Roman" w:hAnsi="Times New Roman"/>
          <w:sz w:val="13"/>
          <w:szCs w:val="13"/>
          <w:color w:val="auto"/>
        </w:rPr>
        <w:t>Polestar conducts business under one operating segment with commercial operations in North America, Europe, and Asia. Refer to Note 1 - Significant accounting policies and judgements in the Unaudited Condensed Consolidated Financial Statements included elsewhere in this report for more information on the basis of presentation. Refer to Note 1 - Significant accounting policies and judgements in the Consolidated Financial Statements for Polestar Automotive Holding Limited, as of, and for the year ended, December 31, 2021 that were included the Form 20-F filed with the SEC on June 29, 2022 for more information related to segment reporting.</w:t>
      </w:r>
    </w:p>
    <w:p>
      <w:pPr>
        <w:spacing w:after="0" w:line="20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Comparison of the three and nine months ended September 30, 2022 and 2021</w:t>
      </w:r>
    </w:p>
    <w:p>
      <w:pPr>
        <w:spacing w:after="0" w:line="80" w:lineRule="exact"/>
        <w:rPr>
          <w:sz w:val="20"/>
          <w:szCs w:val="20"/>
          <w:color w:val="auto"/>
        </w:rPr>
      </w:pPr>
    </w:p>
    <w:p>
      <w:pPr>
        <w:ind w:left="640" w:right="799"/>
        <w:spacing w:after="0" w:line="267" w:lineRule="auto"/>
        <w:rPr>
          <w:sz w:val="20"/>
          <w:szCs w:val="20"/>
          <w:color w:val="auto"/>
        </w:rPr>
      </w:pPr>
      <w:r>
        <w:rPr>
          <w:rFonts w:ascii="Times New Roman" w:cs="Times New Roman" w:eastAsia="Times New Roman" w:hAnsi="Times New Roman"/>
          <w:sz w:val="13"/>
          <w:szCs w:val="13"/>
          <w:color w:val="auto"/>
        </w:rPr>
        <w:t>The following table summarizes Polestar’s historical Unaudited Condensed Consolidated Statement of Income and Comprehensive Income (Loss) for the three and nine months ended September 30, 2022 and 2021:</w:t>
      </w:r>
    </w:p>
    <w:p>
      <w:pPr>
        <w:spacing w:after="0" w:line="127" w:lineRule="exact"/>
        <w:rPr>
          <w:sz w:val="20"/>
          <w:szCs w:val="20"/>
          <w:color w:val="auto"/>
        </w:rPr>
      </w:pPr>
    </w:p>
    <w:tbl>
      <w:tblPr>
        <w:tblLayout w:type="fixed"/>
        <w:tblInd w:w="640" w:type="dxa"/>
        <w:tblCellMar>
          <w:top w:w="0" w:type="dxa"/>
          <w:left w:w="0" w:type="dxa"/>
          <w:bottom w:w="0" w:type="dxa"/>
          <w:right w:w="0" w:type="dxa"/>
        </w:tblCellMar>
      </w:tblPr>
      <w:tr>
        <w:trPr>
          <w:trHeight w:val="115"/>
        </w:trPr>
        <w:tc>
          <w:tcPr>
            <w:tcW w:w="2940" w:type="dxa"/>
            <w:vAlign w:val="bottom"/>
          </w:tcPr>
          <w:p>
            <w:pPr>
              <w:spacing w:after="0"/>
              <w:rPr>
                <w:sz w:val="10"/>
                <w:szCs w:val="10"/>
                <w:color w:val="auto"/>
              </w:rPr>
            </w:pPr>
          </w:p>
        </w:tc>
        <w:tc>
          <w:tcPr>
            <w:tcW w:w="1300" w:type="dxa"/>
            <w:vAlign w:val="bottom"/>
            <w:gridSpan w:val="4"/>
          </w:tcPr>
          <w:p>
            <w:pPr>
              <w:jc w:val="right"/>
              <w:ind w:right="238"/>
              <w:spacing w:after="0"/>
              <w:rPr>
                <w:sz w:val="20"/>
                <w:szCs w:val="20"/>
                <w:color w:val="auto"/>
              </w:rPr>
            </w:pPr>
            <w:r>
              <w:rPr>
                <w:rFonts w:ascii="Times New Roman" w:cs="Times New Roman" w:eastAsia="Times New Roman" w:hAnsi="Times New Roman"/>
                <w:sz w:val="10"/>
                <w:szCs w:val="10"/>
                <w:b w:val="1"/>
                <w:bCs w:val="1"/>
                <w:color w:val="auto"/>
              </w:rPr>
              <w:t>For the three months</w:t>
            </w:r>
          </w:p>
        </w:tc>
        <w:tc>
          <w:tcPr>
            <w:tcW w:w="660" w:type="dxa"/>
            <w:vAlign w:val="bottom"/>
            <w:gridSpan w:val="2"/>
            <w:vMerge w:val="restart"/>
          </w:tcPr>
          <w:p>
            <w:pPr>
              <w:jc w:val="right"/>
              <w:ind w:right="20"/>
              <w:spacing w:after="0"/>
              <w:rPr>
                <w:sz w:val="20"/>
                <w:szCs w:val="20"/>
                <w:color w:val="auto"/>
              </w:rPr>
            </w:pPr>
            <w:r>
              <w:rPr>
                <w:rFonts w:ascii="Times New Roman" w:cs="Times New Roman" w:eastAsia="Times New Roman" w:hAnsi="Times New Roman"/>
                <w:sz w:val="10"/>
                <w:szCs w:val="10"/>
                <w:b w:val="1"/>
                <w:bCs w:val="1"/>
                <w:color w:val="auto"/>
              </w:rPr>
              <w:t>Variance</w:t>
            </w:r>
          </w:p>
        </w:tc>
        <w:tc>
          <w:tcPr>
            <w:tcW w:w="2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380" w:type="dxa"/>
            <w:vAlign w:val="bottom"/>
            <w:gridSpan w:val="4"/>
          </w:tcPr>
          <w:p>
            <w:pPr>
              <w:ind w:left="180"/>
              <w:spacing w:after="0"/>
              <w:rPr>
                <w:sz w:val="20"/>
                <w:szCs w:val="20"/>
                <w:color w:val="auto"/>
              </w:rPr>
            </w:pPr>
            <w:r>
              <w:rPr>
                <w:rFonts w:ascii="Times New Roman" w:cs="Times New Roman" w:eastAsia="Times New Roman" w:hAnsi="Times New Roman"/>
                <w:sz w:val="10"/>
                <w:szCs w:val="10"/>
                <w:b w:val="1"/>
                <w:bCs w:val="1"/>
                <w:color w:val="auto"/>
              </w:rPr>
              <w:t>For the nine months</w:t>
            </w:r>
          </w:p>
        </w:tc>
        <w:tc>
          <w:tcPr>
            <w:tcW w:w="680" w:type="dxa"/>
            <w:vAlign w:val="bottom"/>
            <w:gridSpan w:val="2"/>
            <w:vMerge w:val="restart"/>
          </w:tcPr>
          <w:p>
            <w:pPr>
              <w:jc w:val="right"/>
              <w:spacing w:after="0"/>
              <w:rPr>
                <w:sz w:val="20"/>
                <w:szCs w:val="20"/>
                <w:color w:val="auto"/>
              </w:rPr>
            </w:pPr>
            <w:r>
              <w:rPr>
                <w:rFonts w:ascii="Times New Roman" w:cs="Times New Roman" w:eastAsia="Times New Roman" w:hAnsi="Times New Roman"/>
                <w:sz w:val="10"/>
                <w:szCs w:val="10"/>
                <w:b w:val="1"/>
                <w:bCs w:val="1"/>
                <w:color w:val="auto"/>
              </w:rPr>
              <w:t>Variance</w:t>
            </w:r>
          </w:p>
        </w:tc>
        <w:tc>
          <w:tcPr>
            <w:tcW w:w="3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2940" w:type="dxa"/>
            <w:vAlign w:val="bottom"/>
          </w:tcPr>
          <w:p>
            <w:pPr>
              <w:spacing w:after="0"/>
              <w:rPr>
                <w:sz w:val="10"/>
                <w:szCs w:val="10"/>
                <w:color w:val="auto"/>
              </w:rPr>
            </w:pPr>
          </w:p>
        </w:tc>
        <w:tc>
          <w:tcPr>
            <w:tcW w:w="1300" w:type="dxa"/>
            <w:vAlign w:val="bottom"/>
            <w:gridSpan w:val="4"/>
          </w:tcPr>
          <w:p>
            <w:pPr>
              <w:jc w:val="right"/>
              <w:ind w:right="238"/>
              <w:spacing w:after="0"/>
              <w:rPr>
                <w:sz w:val="20"/>
                <w:szCs w:val="20"/>
                <w:color w:val="auto"/>
              </w:rPr>
            </w:pPr>
            <w:r>
              <w:rPr>
                <w:rFonts w:ascii="Times New Roman" w:cs="Times New Roman" w:eastAsia="Times New Roman" w:hAnsi="Times New Roman"/>
                <w:sz w:val="10"/>
                <w:szCs w:val="10"/>
                <w:b w:val="1"/>
                <w:bCs w:val="1"/>
                <w:color w:val="auto"/>
              </w:rPr>
              <w:t>ended September 30,</w:t>
            </w:r>
          </w:p>
        </w:tc>
        <w:tc>
          <w:tcPr>
            <w:tcW w:w="660" w:type="dxa"/>
            <w:vAlign w:val="bottom"/>
            <w:gridSpan w:val="2"/>
            <w:vMerge w:val="continue"/>
          </w:tcPr>
          <w:p>
            <w:pPr>
              <w:spacing w:after="0"/>
              <w:rPr>
                <w:sz w:val="10"/>
                <w:szCs w:val="10"/>
                <w:color w:val="auto"/>
              </w:rPr>
            </w:pPr>
          </w:p>
        </w:tc>
        <w:tc>
          <w:tcPr>
            <w:tcW w:w="2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380" w:type="dxa"/>
            <w:vAlign w:val="bottom"/>
            <w:gridSpan w:val="4"/>
          </w:tcPr>
          <w:p>
            <w:pPr>
              <w:ind w:left="180"/>
              <w:spacing w:after="0"/>
              <w:rPr>
                <w:sz w:val="20"/>
                <w:szCs w:val="20"/>
                <w:color w:val="auto"/>
              </w:rPr>
            </w:pPr>
            <w:r>
              <w:rPr>
                <w:rFonts w:ascii="Times New Roman" w:cs="Times New Roman" w:eastAsia="Times New Roman" w:hAnsi="Times New Roman"/>
                <w:sz w:val="10"/>
                <w:szCs w:val="10"/>
                <w:b w:val="1"/>
                <w:bCs w:val="1"/>
                <w:color w:val="auto"/>
              </w:rPr>
              <w:t>ended September 30,</w:t>
            </w:r>
          </w:p>
        </w:tc>
        <w:tc>
          <w:tcPr>
            <w:tcW w:w="680" w:type="dxa"/>
            <w:vAlign w:val="bottom"/>
            <w:gridSpan w:val="2"/>
            <w:vMerge w:val="continue"/>
          </w:tcPr>
          <w:p>
            <w:pPr>
              <w:spacing w:after="0"/>
              <w:rPr>
                <w:sz w:val="10"/>
                <w:szCs w:val="10"/>
                <w:color w:val="auto"/>
              </w:rPr>
            </w:pPr>
          </w:p>
        </w:tc>
        <w:tc>
          <w:tcPr>
            <w:tcW w:w="3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4"/>
        </w:trPr>
        <w:tc>
          <w:tcPr>
            <w:tcW w:w="2940" w:type="dxa"/>
            <w:vAlign w:val="bottom"/>
            <w:tcBorders>
              <w:bottom w:val="single" w:sz="8" w:color="CCEEFF"/>
            </w:tcBorders>
          </w:tcPr>
          <w:p>
            <w:pPr>
              <w:spacing w:after="0"/>
              <w:rPr>
                <w:sz w:val="8"/>
                <w:szCs w:val="8"/>
                <w:color w:val="auto"/>
              </w:rPr>
            </w:pPr>
          </w:p>
        </w:tc>
        <w:tc>
          <w:tcPr>
            <w:tcW w:w="500" w:type="dxa"/>
            <w:vAlign w:val="bottom"/>
            <w:tcBorders>
              <w:top w:val="single" w:sz="8" w:color="auto"/>
              <w:bottom w:val="single" w:sz="8" w:color="auto"/>
            </w:tcBorders>
          </w:tcPr>
          <w:p>
            <w:pPr>
              <w:jc w:val="right"/>
              <w:ind w:right="79"/>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40" w:type="dxa"/>
            <w:vAlign w:val="bottom"/>
            <w:tcBorders>
              <w:top w:val="single" w:sz="8" w:color="auto"/>
              <w:bottom w:val="single" w:sz="8" w:color="CCEEFF"/>
            </w:tcBorders>
          </w:tcPr>
          <w:p>
            <w:pPr>
              <w:spacing w:after="0"/>
              <w:rPr>
                <w:sz w:val="8"/>
                <w:szCs w:val="8"/>
                <w:color w:val="auto"/>
              </w:rPr>
            </w:pPr>
          </w:p>
        </w:tc>
        <w:tc>
          <w:tcPr>
            <w:tcW w:w="500" w:type="dxa"/>
            <w:vAlign w:val="bottom"/>
            <w:tcBorders>
              <w:top w:val="single" w:sz="8" w:color="auto"/>
              <w:bottom w:val="single" w:sz="8" w:color="auto"/>
            </w:tcBorders>
          </w:tcPr>
          <w:p>
            <w:pPr>
              <w:jc w:val="right"/>
              <w:ind w:right="78"/>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160" w:type="dxa"/>
            <w:vAlign w:val="bottom"/>
            <w:tcBorders>
              <w:bottom w:val="single" w:sz="8" w:color="CCEEFF"/>
            </w:tcBorders>
          </w:tcPr>
          <w:p>
            <w:pPr>
              <w:spacing w:after="0"/>
              <w:rPr>
                <w:sz w:val="8"/>
                <w:szCs w:val="8"/>
                <w:color w:val="auto"/>
              </w:rPr>
            </w:pPr>
          </w:p>
        </w:tc>
        <w:tc>
          <w:tcPr>
            <w:tcW w:w="480" w:type="dxa"/>
            <w:vAlign w:val="bottom"/>
            <w:tcBorders>
              <w:top w:val="single" w:sz="8" w:color="auto"/>
              <w:bottom w:val="single" w:sz="8" w:color="auto"/>
            </w:tcBorders>
          </w:tcPr>
          <w:p>
            <w:pPr>
              <w:jc w:val="right"/>
              <w:ind w:right="158"/>
              <w:spacing w:after="0" w:line="94" w:lineRule="exact"/>
              <w:rPr>
                <w:sz w:val="20"/>
                <w:szCs w:val="20"/>
                <w:color w:val="auto"/>
              </w:rPr>
            </w:pPr>
            <w:r>
              <w:rPr>
                <w:rFonts w:ascii="Times New Roman" w:cs="Times New Roman" w:eastAsia="Times New Roman" w:hAnsi="Times New Roman"/>
                <w:sz w:val="10"/>
                <w:szCs w:val="10"/>
                <w:b w:val="1"/>
                <w:bCs w:val="1"/>
                <w:color w:val="auto"/>
              </w:rPr>
              <w:t>$</w:t>
            </w:r>
          </w:p>
        </w:tc>
        <w:tc>
          <w:tcPr>
            <w:tcW w:w="180" w:type="dxa"/>
            <w:vAlign w:val="bottom"/>
            <w:tcBorders>
              <w:top w:val="single" w:sz="8" w:color="auto"/>
              <w:bottom w:val="single" w:sz="8" w:color="CCEEFF"/>
            </w:tcBorders>
          </w:tcPr>
          <w:p>
            <w:pPr>
              <w:spacing w:after="0"/>
              <w:rPr>
                <w:sz w:val="8"/>
                <w:szCs w:val="8"/>
                <w:color w:val="auto"/>
              </w:rPr>
            </w:pPr>
          </w:p>
        </w:tc>
        <w:tc>
          <w:tcPr>
            <w:tcW w:w="260" w:type="dxa"/>
            <w:vAlign w:val="bottom"/>
            <w:tcBorders>
              <w:top w:val="single" w:sz="8" w:color="auto"/>
              <w:bottom w:val="single" w:sz="8" w:color="auto"/>
            </w:tcBorders>
          </w:tcPr>
          <w:p>
            <w:pPr>
              <w:ind w:left="60"/>
              <w:spacing w:after="0" w:line="94" w:lineRule="exact"/>
              <w:rPr>
                <w:sz w:val="20"/>
                <w:szCs w:val="20"/>
                <w:color w:val="auto"/>
              </w:rPr>
            </w:pPr>
            <w:r>
              <w:rPr>
                <w:rFonts w:ascii="Times New Roman" w:cs="Times New Roman" w:eastAsia="Times New Roman" w:hAnsi="Times New Roman"/>
                <w:sz w:val="10"/>
                <w:szCs w:val="10"/>
                <w:b w:val="1"/>
                <w:bCs w:val="1"/>
                <w:color w:val="auto"/>
              </w:rPr>
              <w:t>%</w:t>
            </w:r>
          </w:p>
        </w:tc>
        <w:tc>
          <w:tcPr>
            <w:tcW w:w="140" w:type="dxa"/>
            <w:vAlign w:val="bottom"/>
            <w:tcBorders>
              <w:bottom w:val="single" w:sz="8" w:color="CCEEFF"/>
            </w:tcBorders>
          </w:tcPr>
          <w:p>
            <w:pPr>
              <w:spacing w:after="0"/>
              <w:rPr>
                <w:sz w:val="8"/>
                <w:szCs w:val="8"/>
                <w:color w:val="auto"/>
              </w:rPr>
            </w:pPr>
          </w:p>
        </w:tc>
        <w:tc>
          <w:tcPr>
            <w:tcW w:w="600" w:type="dxa"/>
            <w:vAlign w:val="bottom"/>
            <w:tcBorders>
              <w:top w:val="single" w:sz="8" w:color="auto"/>
              <w:bottom w:val="single" w:sz="8" w:color="auto"/>
            </w:tcBorders>
          </w:tcPr>
          <w:p>
            <w:pPr>
              <w:ind w:left="200"/>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40" w:type="dxa"/>
            <w:vAlign w:val="bottom"/>
            <w:tcBorders>
              <w:top w:val="single" w:sz="8" w:color="auto"/>
              <w:bottom w:val="single" w:sz="8" w:color="CCEEFF"/>
            </w:tcBorders>
          </w:tcPr>
          <w:p>
            <w:pPr>
              <w:spacing w:after="0"/>
              <w:rPr>
                <w:sz w:val="8"/>
                <w:szCs w:val="8"/>
                <w:color w:val="auto"/>
              </w:rPr>
            </w:pPr>
          </w:p>
        </w:tc>
        <w:tc>
          <w:tcPr>
            <w:tcW w:w="500" w:type="dxa"/>
            <w:vAlign w:val="bottom"/>
            <w:tcBorders>
              <w:top w:val="single" w:sz="8" w:color="auto"/>
              <w:bottom w:val="single" w:sz="8" w:color="auto"/>
            </w:tcBorders>
          </w:tcPr>
          <w:p>
            <w:pPr>
              <w:jc w:val="right"/>
              <w:ind w:right="78"/>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140" w:type="dxa"/>
            <w:vAlign w:val="bottom"/>
            <w:tcBorders>
              <w:bottom w:val="single" w:sz="8" w:color="CCEEFF"/>
            </w:tcBorders>
          </w:tcPr>
          <w:p>
            <w:pPr>
              <w:spacing w:after="0"/>
              <w:rPr>
                <w:sz w:val="8"/>
                <w:szCs w:val="8"/>
                <w:color w:val="auto"/>
              </w:rPr>
            </w:pPr>
          </w:p>
        </w:tc>
        <w:tc>
          <w:tcPr>
            <w:tcW w:w="500" w:type="dxa"/>
            <w:vAlign w:val="bottom"/>
            <w:tcBorders>
              <w:top w:val="single" w:sz="8" w:color="auto"/>
              <w:bottom w:val="single" w:sz="8" w:color="auto"/>
            </w:tcBorders>
          </w:tcPr>
          <w:p>
            <w:pPr>
              <w:jc w:val="right"/>
              <w:ind w:right="158"/>
              <w:spacing w:after="0" w:line="94" w:lineRule="exact"/>
              <w:rPr>
                <w:sz w:val="20"/>
                <w:szCs w:val="20"/>
                <w:color w:val="auto"/>
              </w:rPr>
            </w:pPr>
            <w:r>
              <w:rPr>
                <w:rFonts w:ascii="Times New Roman" w:cs="Times New Roman" w:eastAsia="Times New Roman" w:hAnsi="Times New Roman"/>
                <w:sz w:val="10"/>
                <w:szCs w:val="10"/>
                <w:b w:val="1"/>
                <w:bCs w:val="1"/>
                <w:color w:val="auto"/>
              </w:rPr>
              <w:t>$</w:t>
            </w:r>
          </w:p>
        </w:tc>
        <w:tc>
          <w:tcPr>
            <w:tcW w:w="180" w:type="dxa"/>
            <w:vAlign w:val="bottom"/>
            <w:tcBorders>
              <w:top w:val="single" w:sz="8" w:color="auto"/>
              <w:bottom w:val="single" w:sz="8" w:color="CCEEFF"/>
            </w:tcBorders>
          </w:tcPr>
          <w:p>
            <w:pPr>
              <w:spacing w:after="0"/>
              <w:rPr>
                <w:sz w:val="8"/>
                <w:szCs w:val="8"/>
                <w:color w:val="auto"/>
              </w:rPr>
            </w:pPr>
          </w:p>
        </w:tc>
        <w:tc>
          <w:tcPr>
            <w:tcW w:w="300" w:type="dxa"/>
            <w:vAlign w:val="bottom"/>
            <w:tcBorders>
              <w:top w:val="single" w:sz="8" w:color="auto"/>
              <w:bottom w:val="single" w:sz="8" w:color="auto"/>
            </w:tcBorders>
          </w:tcPr>
          <w:p>
            <w:pPr>
              <w:ind w:left="80"/>
              <w:spacing w:after="0" w:line="94" w:lineRule="exact"/>
              <w:rPr>
                <w:sz w:val="20"/>
                <w:szCs w:val="20"/>
                <w:color w:val="auto"/>
              </w:rPr>
            </w:pPr>
            <w:r>
              <w:rPr>
                <w:rFonts w:ascii="Times New Roman" w:cs="Times New Roman" w:eastAsia="Times New Roman" w:hAnsi="Times New Roman"/>
                <w:sz w:val="10"/>
                <w:szCs w:val="10"/>
                <w:b w:val="1"/>
                <w:bCs w:val="1"/>
                <w:color w:val="auto"/>
              </w:rPr>
              <w:t>%</w:t>
            </w:r>
          </w:p>
        </w:tc>
        <w:tc>
          <w:tcPr>
            <w:tcW w:w="80" w:type="dxa"/>
            <w:vAlign w:val="bottom"/>
            <w:tcBorders>
              <w:bottom w:val="single" w:sz="8" w:color="CCEEFF"/>
            </w:tcBorders>
          </w:tcPr>
          <w:p>
            <w:pPr>
              <w:spacing w:after="0"/>
              <w:rPr>
                <w:sz w:val="8"/>
                <w:szCs w:val="8"/>
                <w:color w:val="auto"/>
              </w:rPr>
            </w:pPr>
          </w:p>
        </w:tc>
        <w:tc>
          <w:tcPr>
            <w:tcW w:w="0" w:type="dxa"/>
            <w:vAlign w:val="bottom"/>
          </w:tcPr>
          <w:p>
            <w:pPr>
              <w:spacing w:after="0"/>
              <w:rPr>
                <w:sz w:val="1"/>
                <w:szCs w:val="1"/>
                <w:color w:val="auto"/>
              </w:rPr>
            </w:pPr>
          </w:p>
        </w:tc>
      </w:tr>
      <w:tr>
        <w:trPr>
          <w:trHeight w:val="141"/>
        </w:trPr>
        <w:tc>
          <w:tcPr>
            <w:tcW w:w="2940" w:type="dxa"/>
            <w:vAlign w:val="bottom"/>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Revenue</w:t>
            </w:r>
          </w:p>
        </w:tc>
        <w:tc>
          <w:tcPr>
            <w:tcW w:w="5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435,449</w:t>
            </w:r>
          </w:p>
        </w:tc>
        <w:tc>
          <w:tcPr>
            <w:tcW w:w="140" w:type="dxa"/>
            <w:vAlign w:val="bottom"/>
            <w:shd w:val="clear" w:color="auto" w:fill="CCEEFF"/>
          </w:tcPr>
          <w:p>
            <w:pPr>
              <w:spacing w:after="0"/>
              <w:rPr>
                <w:sz w:val="12"/>
                <w:szCs w:val="12"/>
                <w:color w:val="auto"/>
              </w:rPr>
            </w:pPr>
          </w:p>
        </w:tc>
        <w:tc>
          <w:tcPr>
            <w:tcW w:w="5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212,896</w:t>
            </w:r>
          </w:p>
        </w:tc>
        <w:tc>
          <w:tcPr>
            <w:tcW w:w="160" w:type="dxa"/>
            <w:vAlign w:val="bottom"/>
            <w:shd w:val="clear" w:color="auto" w:fill="CCEEFF"/>
          </w:tcPr>
          <w:p>
            <w:pPr>
              <w:spacing w:after="0"/>
              <w:rPr>
                <w:sz w:val="12"/>
                <w:szCs w:val="12"/>
                <w:color w:val="auto"/>
              </w:rPr>
            </w:pPr>
          </w:p>
        </w:tc>
        <w:tc>
          <w:tcPr>
            <w:tcW w:w="4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222,553</w:t>
            </w:r>
          </w:p>
        </w:tc>
        <w:tc>
          <w:tcPr>
            <w:tcW w:w="180" w:type="dxa"/>
            <w:vAlign w:val="bottom"/>
            <w:tcBorders>
              <w:right w:val="single" w:sz="8" w:color="CCEEFF"/>
            </w:tcBorders>
            <w:shd w:val="clear" w:color="auto" w:fill="CCEEFF"/>
          </w:tcPr>
          <w:p>
            <w:pPr>
              <w:spacing w:after="0"/>
              <w:rPr>
                <w:sz w:val="12"/>
                <w:szCs w:val="12"/>
                <w:color w:val="auto"/>
              </w:rPr>
            </w:pPr>
          </w:p>
        </w:tc>
        <w:tc>
          <w:tcPr>
            <w:tcW w:w="26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105</w:t>
            </w: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1,476,746</w:t>
            </w:r>
          </w:p>
        </w:tc>
        <w:tc>
          <w:tcPr>
            <w:tcW w:w="140" w:type="dxa"/>
            <w:vAlign w:val="bottom"/>
            <w:shd w:val="clear" w:color="auto" w:fill="CCEEFF"/>
          </w:tcPr>
          <w:p>
            <w:pPr>
              <w:spacing w:after="0"/>
              <w:rPr>
                <w:sz w:val="12"/>
                <w:szCs w:val="12"/>
                <w:color w:val="auto"/>
              </w:rPr>
            </w:pPr>
          </w:p>
        </w:tc>
        <w:tc>
          <w:tcPr>
            <w:tcW w:w="5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747,674</w:t>
            </w:r>
          </w:p>
        </w:tc>
        <w:tc>
          <w:tcPr>
            <w:tcW w:w="140" w:type="dxa"/>
            <w:vAlign w:val="bottom"/>
            <w:shd w:val="clear" w:color="auto" w:fill="CCEEFF"/>
          </w:tcPr>
          <w:p>
            <w:pPr>
              <w:spacing w:after="0"/>
              <w:rPr>
                <w:sz w:val="12"/>
                <w:szCs w:val="12"/>
                <w:color w:val="auto"/>
              </w:rPr>
            </w:pPr>
          </w:p>
        </w:tc>
        <w:tc>
          <w:tcPr>
            <w:tcW w:w="5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729,072</w:t>
            </w:r>
          </w:p>
        </w:tc>
        <w:tc>
          <w:tcPr>
            <w:tcW w:w="180" w:type="dxa"/>
            <w:vAlign w:val="bottom"/>
            <w:tcBorders>
              <w:right w:val="single" w:sz="8" w:color="CCEEFF"/>
            </w:tcBorders>
            <w:shd w:val="clear" w:color="auto" w:fill="CCEEFF"/>
          </w:tcPr>
          <w:p>
            <w:pPr>
              <w:spacing w:after="0"/>
              <w:rPr>
                <w:sz w:val="12"/>
                <w:szCs w:val="12"/>
                <w:color w:val="auto"/>
              </w:rPr>
            </w:pPr>
          </w:p>
        </w:tc>
        <w:tc>
          <w:tcPr>
            <w:tcW w:w="3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98</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2"/>
        </w:trPr>
        <w:tc>
          <w:tcPr>
            <w:tcW w:w="2940" w:type="dxa"/>
            <w:vAlign w:val="bottom"/>
          </w:tcPr>
          <w:p>
            <w:pPr>
              <w:spacing w:after="0"/>
              <w:rPr>
                <w:sz w:val="20"/>
                <w:szCs w:val="20"/>
                <w:color w:val="auto"/>
              </w:rPr>
            </w:pPr>
            <w:r>
              <w:rPr>
                <w:rFonts w:ascii="Times New Roman" w:cs="Times New Roman" w:eastAsia="Times New Roman" w:hAnsi="Times New Roman"/>
                <w:sz w:val="13"/>
                <w:szCs w:val="13"/>
                <w:color w:val="auto"/>
              </w:rPr>
              <w:t>Cost of sales</w:t>
            </w:r>
          </w:p>
        </w:tc>
        <w:tc>
          <w:tcPr>
            <w:tcW w:w="64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(431,390)</w:t>
            </w:r>
          </w:p>
        </w:tc>
        <w:tc>
          <w:tcPr>
            <w:tcW w:w="660" w:type="dxa"/>
            <w:vAlign w:val="bottom"/>
            <w:gridSpan w:val="2"/>
          </w:tcPr>
          <w:p>
            <w:pPr>
              <w:jc w:val="right"/>
              <w:ind w:right="78"/>
              <w:spacing w:after="0"/>
              <w:rPr>
                <w:sz w:val="20"/>
                <w:szCs w:val="20"/>
                <w:color w:val="auto"/>
              </w:rPr>
            </w:pPr>
            <w:r>
              <w:rPr>
                <w:rFonts w:ascii="Times New Roman" w:cs="Times New Roman" w:eastAsia="Times New Roman" w:hAnsi="Times New Roman"/>
                <w:sz w:val="13"/>
                <w:szCs w:val="13"/>
                <w:color w:val="auto"/>
              </w:rPr>
              <w:t>(247,647)</w:t>
            </w:r>
          </w:p>
        </w:tc>
        <w:tc>
          <w:tcPr>
            <w:tcW w:w="66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color w:val="auto"/>
                <w:w w:val="98"/>
              </w:rPr>
              <w:t>(183,743)</w:t>
            </w:r>
          </w:p>
        </w:tc>
        <w:tc>
          <w:tcPr>
            <w:tcW w:w="26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74</w:t>
            </w:r>
          </w:p>
        </w:tc>
        <w:tc>
          <w:tcPr>
            <w:tcW w:w="140" w:type="dxa"/>
            <w:vAlign w:val="bottom"/>
          </w:tcPr>
          <w:p>
            <w:pPr>
              <w:spacing w:after="0"/>
              <w:rPr>
                <w:sz w:val="13"/>
                <w:szCs w:val="13"/>
                <w:color w:val="auto"/>
              </w:rPr>
            </w:pPr>
          </w:p>
        </w:tc>
        <w:tc>
          <w:tcPr>
            <w:tcW w:w="74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(1,419,271)</w:t>
            </w:r>
          </w:p>
        </w:tc>
        <w:tc>
          <w:tcPr>
            <w:tcW w:w="64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(746,614)</w:t>
            </w:r>
          </w:p>
        </w:tc>
        <w:tc>
          <w:tcPr>
            <w:tcW w:w="680" w:type="dxa"/>
            <w:vAlign w:val="bottom"/>
            <w:gridSpan w:val="2"/>
          </w:tcPr>
          <w:p>
            <w:pPr>
              <w:jc w:val="right"/>
              <w:ind w:right="98"/>
              <w:spacing w:after="0"/>
              <w:rPr>
                <w:sz w:val="20"/>
                <w:szCs w:val="20"/>
                <w:color w:val="auto"/>
              </w:rPr>
            </w:pPr>
            <w:r>
              <w:rPr>
                <w:rFonts w:ascii="Times New Roman" w:cs="Times New Roman" w:eastAsia="Times New Roman" w:hAnsi="Times New Roman"/>
                <w:sz w:val="13"/>
                <w:szCs w:val="13"/>
                <w:color w:val="auto"/>
              </w:rPr>
              <w:t>(672,657)</w:t>
            </w:r>
          </w:p>
        </w:tc>
        <w:tc>
          <w:tcPr>
            <w:tcW w:w="38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rPr>
              <w:t>90</w:t>
            </w:r>
          </w:p>
        </w:tc>
        <w:tc>
          <w:tcPr>
            <w:tcW w:w="0" w:type="dxa"/>
            <w:vAlign w:val="bottom"/>
          </w:tcPr>
          <w:p>
            <w:pPr>
              <w:spacing w:after="0"/>
              <w:rPr>
                <w:sz w:val="1"/>
                <w:szCs w:val="1"/>
                <w:color w:val="auto"/>
              </w:rPr>
            </w:pPr>
          </w:p>
        </w:tc>
      </w:tr>
      <w:tr>
        <w:trPr>
          <w:trHeight w:val="20"/>
        </w:trPr>
        <w:tc>
          <w:tcPr>
            <w:tcW w:w="29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1"/>
        </w:trPr>
        <w:tc>
          <w:tcPr>
            <w:tcW w:w="29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Gross profit (loss)</w:t>
            </w:r>
          </w:p>
        </w:tc>
        <w:tc>
          <w:tcPr>
            <w:tcW w:w="5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4,059</w:t>
            </w:r>
          </w:p>
        </w:tc>
        <w:tc>
          <w:tcPr>
            <w:tcW w:w="140" w:type="dxa"/>
            <w:vAlign w:val="bottom"/>
            <w:shd w:val="clear" w:color="auto" w:fill="CCEEFF"/>
          </w:tcPr>
          <w:p>
            <w:pPr>
              <w:spacing w:after="0"/>
              <w:rPr>
                <w:sz w:val="13"/>
                <w:szCs w:val="13"/>
                <w:color w:val="auto"/>
              </w:rPr>
            </w:pPr>
          </w:p>
        </w:tc>
        <w:tc>
          <w:tcPr>
            <w:tcW w:w="660" w:type="dxa"/>
            <w:vAlign w:val="bottom"/>
            <w:gridSpan w:val="2"/>
            <w:shd w:val="clear" w:color="auto" w:fill="CCEEFF"/>
          </w:tcPr>
          <w:p>
            <w:pPr>
              <w:jc w:val="right"/>
              <w:ind w:right="78"/>
              <w:spacing w:after="0"/>
              <w:rPr>
                <w:sz w:val="20"/>
                <w:szCs w:val="20"/>
                <w:color w:val="auto"/>
              </w:rPr>
            </w:pPr>
            <w:r>
              <w:rPr>
                <w:rFonts w:ascii="Times New Roman" w:cs="Times New Roman" w:eastAsia="Times New Roman" w:hAnsi="Times New Roman"/>
                <w:sz w:val="13"/>
                <w:szCs w:val="13"/>
                <w:b w:val="1"/>
                <w:bCs w:val="1"/>
                <w:color w:val="auto"/>
              </w:rPr>
              <w:t>(34,751)</w:t>
            </w:r>
          </w:p>
        </w:tc>
        <w:tc>
          <w:tcPr>
            <w:tcW w:w="66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b w:val="1"/>
                <w:bCs w:val="1"/>
                <w:color w:val="auto"/>
              </w:rPr>
              <w:t>38,810</w:t>
            </w:r>
          </w:p>
        </w:tc>
        <w:tc>
          <w:tcPr>
            <w:tcW w:w="40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w w:val="99"/>
              </w:rPr>
              <w:t>(112)</w:t>
            </w:r>
          </w:p>
        </w:tc>
        <w:tc>
          <w:tcPr>
            <w:tcW w:w="740" w:type="dxa"/>
            <w:vAlign w:val="bottom"/>
            <w:gridSpan w:val="2"/>
            <w:shd w:val="clear" w:color="auto" w:fill="CCEEFF"/>
          </w:tcPr>
          <w:p>
            <w:pPr>
              <w:jc w:val="right"/>
              <w:ind w:right="98"/>
              <w:spacing w:after="0"/>
              <w:rPr>
                <w:sz w:val="20"/>
                <w:szCs w:val="20"/>
                <w:color w:val="auto"/>
              </w:rPr>
            </w:pPr>
            <w:r>
              <w:rPr>
                <w:rFonts w:ascii="Times New Roman" w:cs="Times New Roman" w:eastAsia="Times New Roman" w:hAnsi="Times New Roman"/>
                <w:sz w:val="13"/>
                <w:szCs w:val="13"/>
                <w:b w:val="1"/>
                <w:bCs w:val="1"/>
                <w:color w:val="auto"/>
              </w:rPr>
              <w:t>57,475</w:t>
            </w:r>
          </w:p>
        </w:tc>
        <w:tc>
          <w:tcPr>
            <w:tcW w:w="640" w:type="dxa"/>
            <w:vAlign w:val="bottom"/>
            <w:gridSpan w:val="2"/>
            <w:shd w:val="clear" w:color="auto" w:fill="CCEEFF"/>
          </w:tcPr>
          <w:p>
            <w:pPr>
              <w:jc w:val="right"/>
              <w:ind w:right="98"/>
              <w:spacing w:after="0"/>
              <w:rPr>
                <w:sz w:val="20"/>
                <w:szCs w:val="20"/>
                <w:color w:val="auto"/>
              </w:rPr>
            </w:pPr>
            <w:r>
              <w:rPr>
                <w:rFonts w:ascii="Times New Roman" w:cs="Times New Roman" w:eastAsia="Times New Roman" w:hAnsi="Times New Roman"/>
                <w:sz w:val="13"/>
                <w:szCs w:val="13"/>
                <w:b w:val="1"/>
                <w:bCs w:val="1"/>
                <w:color w:val="auto"/>
              </w:rPr>
              <w:t>1,060</w:t>
            </w:r>
          </w:p>
        </w:tc>
        <w:tc>
          <w:tcPr>
            <w:tcW w:w="680" w:type="dxa"/>
            <w:vAlign w:val="bottom"/>
            <w:tcBorders>
              <w:right w:val="single" w:sz="8" w:color="CCEEFF"/>
            </w:tcBorders>
            <w:gridSpan w:val="2"/>
            <w:shd w:val="clear" w:color="auto" w:fill="CCEEFF"/>
          </w:tcPr>
          <w:p>
            <w:pPr>
              <w:jc w:val="right"/>
              <w:ind w:right="138"/>
              <w:spacing w:after="0"/>
              <w:rPr>
                <w:sz w:val="20"/>
                <w:szCs w:val="20"/>
                <w:color w:val="auto"/>
              </w:rPr>
            </w:pPr>
            <w:r>
              <w:rPr>
                <w:rFonts w:ascii="Times New Roman" w:cs="Times New Roman" w:eastAsia="Times New Roman" w:hAnsi="Times New Roman"/>
                <w:sz w:val="13"/>
                <w:szCs w:val="13"/>
                <w:b w:val="1"/>
                <w:bCs w:val="1"/>
                <w:color w:val="auto"/>
              </w:rPr>
              <w:t>56,415</w:t>
            </w:r>
          </w:p>
        </w:tc>
        <w:tc>
          <w:tcPr>
            <w:tcW w:w="38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3"/>
                <w:szCs w:val="13"/>
                <w:b w:val="1"/>
                <w:bCs w:val="1"/>
                <w:color w:val="auto"/>
                <w:w w:val="95"/>
              </w:rPr>
              <w:t>5,322</w:t>
            </w:r>
          </w:p>
        </w:tc>
        <w:tc>
          <w:tcPr>
            <w:tcW w:w="0" w:type="dxa"/>
            <w:vAlign w:val="bottom"/>
          </w:tcPr>
          <w:p>
            <w:pPr>
              <w:spacing w:after="0"/>
              <w:rPr>
                <w:sz w:val="1"/>
                <w:szCs w:val="1"/>
                <w:color w:val="auto"/>
              </w:rPr>
            </w:pPr>
          </w:p>
        </w:tc>
      </w:tr>
      <w:tr>
        <w:trPr>
          <w:trHeight w:val="151"/>
        </w:trPr>
        <w:tc>
          <w:tcPr>
            <w:tcW w:w="2940" w:type="dxa"/>
            <w:vAlign w:val="bottom"/>
          </w:tcPr>
          <w:p>
            <w:pPr>
              <w:spacing w:after="0"/>
              <w:rPr>
                <w:sz w:val="20"/>
                <w:szCs w:val="20"/>
                <w:color w:val="auto"/>
              </w:rPr>
            </w:pPr>
            <w:r>
              <w:rPr>
                <w:rFonts w:ascii="Times New Roman" w:cs="Times New Roman" w:eastAsia="Times New Roman" w:hAnsi="Times New Roman"/>
                <w:sz w:val="13"/>
                <w:szCs w:val="13"/>
                <w:color w:val="auto"/>
              </w:rPr>
              <w:t>Selling, general, and administrative expense</w:t>
            </w:r>
          </w:p>
        </w:tc>
        <w:tc>
          <w:tcPr>
            <w:tcW w:w="5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w w:val="94"/>
              </w:rPr>
              <w:t>(178,643)</w:t>
            </w:r>
          </w:p>
        </w:tc>
        <w:tc>
          <w:tcPr>
            <w:tcW w:w="140" w:type="dxa"/>
            <w:vAlign w:val="bottom"/>
          </w:tcPr>
          <w:p>
            <w:pPr>
              <w:spacing w:after="0"/>
              <w:rPr>
                <w:sz w:val="13"/>
                <w:szCs w:val="13"/>
                <w:color w:val="auto"/>
              </w:rPr>
            </w:pPr>
          </w:p>
        </w:tc>
        <w:tc>
          <w:tcPr>
            <w:tcW w:w="5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w w:val="94"/>
              </w:rPr>
              <w:t>(199,290)</w:t>
            </w:r>
          </w:p>
        </w:tc>
        <w:tc>
          <w:tcPr>
            <w:tcW w:w="160" w:type="dxa"/>
            <w:vAlign w:val="bottom"/>
          </w:tcPr>
          <w:p>
            <w:pPr>
              <w:spacing w:after="0"/>
              <w:rPr>
                <w:sz w:val="13"/>
                <w:szCs w:val="13"/>
                <w:color w:val="auto"/>
              </w:rPr>
            </w:pPr>
          </w:p>
        </w:tc>
        <w:tc>
          <w:tcPr>
            <w:tcW w:w="4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20,647</w:t>
            </w:r>
          </w:p>
        </w:tc>
        <w:tc>
          <w:tcPr>
            <w:tcW w:w="180" w:type="dxa"/>
            <w:vAlign w:val="bottom"/>
          </w:tcPr>
          <w:p>
            <w:pPr>
              <w:spacing w:after="0"/>
              <w:rPr>
                <w:sz w:val="13"/>
                <w:szCs w:val="13"/>
                <w:color w:val="auto"/>
              </w:rPr>
            </w:pPr>
          </w:p>
        </w:tc>
        <w:tc>
          <w:tcPr>
            <w:tcW w:w="2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(10)</w:t>
            </w:r>
          </w:p>
        </w:tc>
        <w:tc>
          <w:tcPr>
            <w:tcW w:w="140" w:type="dxa"/>
            <w:vAlign w:val="bottom"/>
          </w:tcPr>
          <w:p>
            <w:pPr>
              <w:spacing w:after="0"/>
              <w:rPr>
                <w:sz w:val="13"/>
                <w:szCs w:val="13"/>
                <w:color w:val="auto"/>
              </w:rPr>
            </w:pP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(625,424)</w:t>
            </w:r>
          </w:p>
        </w:tc>
        <w:tc>
          <w:tcPr>
            <w:tcW w:w="140" w:type="dxa"/>
            <w:vAlign w:val="bottom"/>
          </w:tcPr>
          <w:p>
            <w:pPr>
              <w:spacing w:after="0"/>
              <w:rPr>
                <w:sz w:val="13"/>
                <w:szCs w:val="13"/>
                <w:color w:val="auto"/>
              </w:rPr>
            </w:pPr>
          </w:p>
        </w:tc>
        <w:tc>
          <w:tcPr>
            <w:tcW w:w="5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w w:val="94"/>
              </w:rPr>
              <w:t>(478,144)</w:t>
            </w:r>
          </w:p>
        </w:tc>
        <w:tc>
          <w:tcPr>
            <w:tcW w:w="140" w:type="dxa"/>
            <w:vAlign w:val="bottom"/>
          </w:tcPr>
          <w:p>
            <w:pPr>
              <w:spacing w:after="0"/>
              <w:rPr>
                <w:sz w:val="13"/>
                <w:szCs w:val="13"/>
                <w:color w:val="auto"/>
              </w:rPr>
            </w:pPr>
          </w:p>
        </w:tc>
        <w:tc>
          <w:tcPr>
            <w:tcW w:w="5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w w:val="94"/>
              </w:rPr>
              <w:t>(147,280)</w:t>
            </w:r>
          </w:p>
        </w:tc>
        <w:tc>
          <w:tcPr>
            <w:tcW w:w="180" w:type="dxa"/>
            <w:vAlign w:val="bottom"/>
          </w:tcPr>
          <w:p>
            <w:pPr>
              <w:spacing w:after="0"/>
              <w:rPr>
                <w:sz w:val="13"/>
                <w:szCs w:val="13"/>
                <w:color w:val="auto"/>
              </w:rPr>
            </w:pPr>
          </w:p>
        </w:tc>
        <w:tc>
          <w:tcPr>
            <w:tcW w:w="3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31</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29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Research and development expense</w:t>
            </w:r>
          </w:p>
        </w:tc>
        <w:tc>
          <w:tcPr>
            <w:tcW w:w="64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color w:val="auto"/>
              </w:rPr>
              <w:t>(24,598)</w:t>
            </w:r>
          </w:p>
        </w:tc>
        <w:tc>
          <w:tcPr>
            <w:tcW w:w="660" w:type="dxa"/>
            <w:vAlign w:val="bottom"/>
            <w:gridSpan w:val="2"/>
            <w:shd w:val="clear" w:color="auto" w:fill="CCEEFF"/>
          </w:tcPr>
          <w:p>
            <w:pPr>
              <w:jc w:val="right"/>
              <w:ind w:right="78"/>
              <w:spacing w:after="0"/>
              <w:rPr>
                <w:sz w:val="20"/>
                <w:szCs w:val="20"/>
                <w:color w:val="auto"/>
              </w:rPr>
            </w:pPr>
            <w:r>
              <w:rPr>
                <w:rFonts w:ascii="Times New Roman" w:cs="Times New Roman" w:eastAsia="Times New Roman" w:hAnsi="Times New Roman"/>
                <w:sz w:val="13"/>
                <w:szCs w:val="13"/>
                <w:color w:val="auto"/>
              </w:rPr>
              <w:t>(50,529)</w:t>
            </w:r>
          </w:p>
        </w:tc>
        <w:tc>
          <w:tcPr>
            <w:tcW w:w="66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25,931</w:t>
            </w:r>
          </w:p>
        </w:tc>
        <w:tc>
          <w:tcPr>
            <w:tcW w:w="40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(51)</w:t>
            </w:r>
          </w:p>
        </w:tc>
        <w:tc>
          <w:tcPr>
            <w:tcW w:w="74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color w:val="auto"/>
              </w:rPr>
              <w:t>(123,353)</w:t>
            </w:r>
          </w:p>
        </w:tc>
        <w:tc>
          <w:tcPr>
            <w:tcW w:w="64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color w:val="auto"/>
              </w:rPr>
              <w:t>(157,400)</w:t>
            </w:r>
          </w:p>
        </w:tc>
        <w:tc>
          <w:tcPr>
            <w:tcW w:w="680" w:type="dxa"/>
            <w:vAlign w:val="bottom"/>
            <w:tcBorders>
              <w:right w:val="single" w:sz="8" w:color="CCEEFF"/>
            </w:tcBorders>
            <w:gridSpan w:val="2"/>
            <w:shd w:val="clear" w:color="auto" w:fill="CCEEFF"/>
          </w:tcPr>
          <w:p>
            <w:pPr>
              <w:jc w:val="right"/>
              <w:ind w:right="138"/>
              <w:spacing w:after="0"/>
              <w:rPr>
                <w:sz w:val="20"/>
                <w:szCs w:val="20"/>
                <w:color w:val="auto"/>
              </w:rPr>
            </w:pPr>
            <w:r>
              <w:rPr>
                <w:rFonts w:ascii="Times New Roman" w:cs="Times New Roman" w:eastAsia="Times New Roman" w:hAnsi="Times New Roman"/>
                <w:sz w:val="13"/>
                <w:szCs w:val="13"/>
                <w:color w:val="auto"/>
              </w:rPr>
              <w:t>34,047</w:t>
            </w:r>
          </w:p>
        </w:tc>
        <w:tc>
          <w:tcPr>
            <w:tcW w:w="3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(22)</w:t>
            </w:r>
          </w:p>
        </w:tc>
        <w:tc>
          <w:tcPr>
            <w:tcW w:w="0" w:type="dxa"/>
            <w:vAlign w:val="bottom"/>
          </w:tcPr>
          <w:p>
            <w:pPr>
              <w:spacing w:after="0"/>
              <w:rPr>
                <w:sz w:val="1"/>
                <w:szCs w:val="1"/>
                <w:color w:val="auto"/>
              </w:rPr>
            </w:pPr>
          </w:p>
        </w:tc>
      </w:tr>
      <w:tr>
        <w:trPr>
          <w:trHeight w:val="152"/>
        </w:trPr>
        <w:tc>
          <w:tcPr>
            <w:tcW w:w="2940" w:type="dxa"/>
            <w:vAlign w:val="bottom"/>
          </w:tcPr>
          <w:p>
            <w:pPr>
              <w:spacing w:after="0"/>
              <w:rPr>
                <w:sz w:val="20"/>
                <w:szCs w:val="20"/>
                <w:color w:val="auto"/>
              </w:rPr>
            </w:pPr>
            <w:r>
              <w:rPr>
                <w:rFonts w:ascii="Times New Roman" w:cs="Times New Roman" w:eastAsia="Times New Roman" w:hAnsi="Times New Roman"/>
                <w:sz w:val="13"/>
                <w:szCs w:val="13"/>
                <w:color w:val="auto"/>
              </w:rPr>
              <w:t>Other operating income (expense), net</w:t>
            </w:r>
          </w:p>
        </w:tc>
        <w:tc>
          <w:tcPr>
            <w:tcW w:w="640" w:type="dxa"/>
            <w:vAlign w:val="bottom"/>
            <w:gridSpan w:val="2"/>
          </w:tcPr>
          <w:p>
            <w:pPr>
              <w:jc w:val="right"/>
              <w:ind w:right="98"/>
              <w:spacing w:after="0"/>
              <w:rPr>
                <w:sz w:val="20"/>
                <w:szCs w:val="20"/>
                <w:color w:val="auto"/>
              </w:rPr>
            </w:pPr>
            <w:r>
              <w:rPr>
                <w:rFonts w:ascii="Times New Roman" w:cs="Times New Roman" w:eastAsia="Times New Roman" w:hAnsi="Times New Roman"/>
                <w:sz w:val="13"/>
                <w:szCs w:val="13"/>
                <w:color w:val="auto"/>
              </w:rPr>
              <w:t>2,781</w:t>
            </w:r>
          </w:p>
        </w:tc>
        <w:tc>
          <w:tcPr>
            <w:tcW w:w="660" w:type="dxa"/>
            <w:vAlign w:val="bottom"/>
            <w:gridSpan w:val="2"/>
          </w:tcPr>
          <w:p>
            <w:pPr>
              <w:jc w:val="right"/>
              <w:ind w:right="78"/>
              <w:spacing w:after="0"/>
              <w:rPr>
                <w:sz w:val="20"/>
                <w:szCs w:val="20"/>
                <w:color w:val="auto"/>
              </w:rPr>
            </w:pPr>
            <w:r>
              <w:rPr>
                <w:rFonts w:ascii="Times New Roman" w:cs="Times New Roman" w:eastAsia="Times New Roman" w:hAnsi="Times New Roman"/>
                <w:sz w:val="13"/>
                <w:szCs w:val="13"/>
                <w:color w:val="auto"/>
              </w:rPr>
              <w:t>(8,291)</w:t>
            </w:r>
          </w:p>
        </w:tc>
        <w:tc>
          <w:tcPr>
            <w:tcW w:w="66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11,072</w:t>
            </w:r>
          </w:p>
        </w:tc>
        <w:tc>
          <w:tcPr>
            <w:tcW w:w="40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w w:val="99"/>
              </w:rPr>
              <w:t>(134)</w:t>
            </w:r>
          </w:p>
        </w:tc>
        <w:tc>
          <w:tcPr>
            <w:tcW w:w="74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(17,961)</w:t>
            </w:r>
          </w:p>
        </w:tc>
        <w:tc>
          <w:tcPr>
            <w:tcW w:w="64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(23,060)</w:t>
            </w:r>
          </w:p>
        </w:tc>
        <w:tc>
          <w:tcPr>
            <w:tcW w:w="680" w:type="dxa"/>
            <w:vAlign w:val="bottom"/>
            <w:gridSpan w:val="2"/>
          </w:tcPr>
          <w:p>
            <w:pPr>
              <w:jc w:val="right"/>
              <w:ind w:right="138"/>
              <w:spacing w:after="0"/>
              <w:rPr>
                <w:sz w:val="20"/>
                <w:szCs w:val="20"/>
                <w:color w:val="auto"/>
              </w:rPr>
            </w:pPr>
            <w:r>
              <w:rPr>
                <w:rFonts w:ascii="Times New Roman" w:cs="Times New Roman" w:eastAsia="Times New Roman" w:hAnsi="Times New Roman"/>
                <w:sz w:val="13"/>
                <w:szCs w:val="13"/>
                <w:color w:val="auto"/>
              </w:rPr>
              <w:t>5,099</w:t>
            </w:r>
          </w:p>
        </w:tc>
        <w:tc>
          <w:tcPr>
            <w:tcW w:w="38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(22)</w:t>
            </w:r>
          </w:p>
        </w:tc>
        <w:tc>
          <w:tcPr>
            <w:tcW w:w="0" w:type="dxa"/>
            <w:vAlign w:val="bottom"/>
          </w:tcPr>
          <w:p>
            <w:pPr>
              <w:spacing w:after="0"/>
              <w:rPr>
                <w:sz w:val="1"/>
                <w:szCs w:val="1"/>
                <w:color w:val="auto"/>
              </w:rPr>
            </w:pPr>
          </w:p>
        </w:tc>
      </w:tr>
      <w:tr>
        <w:trPr>
          <w:trHeight w:val="152"/>
        </w:trPr>
        <w:tc>
          <w:tcPr>
            <w:tcW w:w="29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Listing expense</w:t>
            </w:r>
          </w:p>
        </w:tc>
        <w:tc>
          <w:tcPr>
            <w:tcW w:w="640" w:type="dxa"/>
            <w:vAlign w:val="bottom"/>
            <w:gridSpan w:val="2"/>
            <w:shd w:val="clear" w:color="auto" w:fill="CCEEFF"/>
          </w:tcPr>
          <w:p>
            <w:pPr>
              <w:jc w:val="right"/>
              <w:ind w:right="158"/>
              <w:spacing w:after="0"/>
              <w:rPr>
                <w:sz w:val="20"/>
                <w:szCs w:val="20"/>
                <w:color w:val="auto"/>
              </w:rPr>
            </w:pPr>
            <w:r>
              <w:rPr>
                <w:rFonts w:ascii="Times New Roman" w:cs="Times New Roman" w:eastAsia="Times New Roman" w:hAnsi="Times New Roman"/>
                <w:sz w:val="13"/>
                <w:szCs w:val="13"/>
                <w:color w:val="auto"/>
              </w:rPr>
              <w:t>—</w:t>
            </w:r>
          </w:p>
        </w:tc>
        <w:tc>
          <w:tcPr>
            <w:tcW w:w="660" w:type="dxa"/>
            <w:vAlign w:val="bottom"/>
            <w:gridSpan w:val="2"/>
            <w:shd w:val="clear" w:color="auto" w:fill="CCEEFF"/>
          </w:tcPr>
          <w:p>
            <w:pPr>
              <w:jc w:val="right"/>
              <w:ind w:right="178"/>
              <w:spacing w:after="0"/>
              <w:rPr>
                <w:sz w:val="20"/>
                <w:szCs w:val="20"/>
                <w:color w:val="auto"/>
              </w:rPr>
            </w:pPr>
            <w:r>
              <w:rPr>
                <w:rFonts w:ascii="Times New Roman" w:cs="Times New Roman" w:eastAsia="Times New Roman" w:hAnsi="Times New Roman"/>
                <w:sz w:val="13"/>
                <w:szCs w:val="13"/>
                <w:b w:val="1"/>
                <w:bCs w:val="1"/>
                <w:color w:val="auto"/>
              </w:rPr>
              <w:t>—</w:t>
            </w:r>
          </w:p>
        </w:tc>
        <w:tc>
          <w:tcPr>
            <w:tcW w:w="660" w:type="dxa"/>
            <w:vAlign w:val="bottom"/>
            <w:tcBorders>
              <w:right w:val="single" w:sz="8" w:color="CCEEFF"/>
            </w:tcBorders>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3"/>
                <w:szCs w:val="13"/>
                <w:color w:val="auto"/>
              </w:rPr>
              <w:t>—</w:t>
            </w:r>
          </w:p>
        </w:tc>
        <w:tc>
          <w:tcPr>
            <w:tcW w:w="400" w:type="dxa"/>
            <w:vAlign w:val="bottom"/>
            <w:gridSpan w:val="2"/>
            <w:shd w:val="clear" w:color="auto" w:fill="CCEEFF"/>
          </w:tcPr>
          <w:p>
            <w:pPr>
              <w:ind w:left="60"/>
              <w:spacing w:after="0"/>
              <w:rPr>
                <w:sz w:val="20"/>
                <w:szCs w:val="20"/>
                <w:color w:val="auto"/>
              </w:rPr>
            </w:pPr>
            <w:r>
              <w:rPr>
                <w:rFonts w:ascii="Times New Roman" w:cs="Times New Roman" w:eastAsia="Times New Roman" w:hAnsi="Times New Roman"/>
                <w:sz w:val="13"/>
                <w:szCs w:val="13"/>
                <w:color w:val="auto"/>
              </w:rPr>
              <w:t>—</w:t>
            </w:r>
          </w:p>
        </w:tc>
        <w:tc>
          <w:tcPr>
            <w:tcW w:w="74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color w:val="auto"/>
              </w:rPr>
              <w:t>(372,318)</w:t>
            </w:r>
          </w:p>
        </w:tc>
        <w:tc>
          <w:tcPr>
            <w:tcW w:w="640" w:type="dxa"/>
            <w:vAlign w:val="bottom"/>
            <w:gridSpan w:val="2"/>
            <w:shd w:val="clear" w:color="auto" w:fill="CCEEFF"/>
          </w:tcPr>
          <w:p>
            <w:pPr>
              <w:jc w:val="right"/>
              <w:ind w:right="158"/>
              <w:spacing w:after="0"/>
              <w:rPr>
                <w:sz w:val="20"/>
                <w:szCs w:val="20"/>
                <w:color w:val="auto"/>
              </w:rPr>
            </w:pPr>
            <w:r>
              <w:rPr>
                <w:rFonts w:ascii="Times New Roman" w:cs="Times New Roman" w:eastAsia="Times New Roman" w:hAnsi="Times New Roman"/>
                <w:sz w:val="13"/>
                <w:szCs w:val="13"/>
                <w:color w:val="auto"/>
              </w:rPr>
              <w:t>—</w:t>
            </w:r>
          </w:p>
        </w:tc>
        <w:tc>
          <w:tcPr>
            <w:tcW w:w="680" w:type="dxa"/>
            <w:vAlign w:val="bottom"/>
            <w:tcBorders>
              <w:right w:val="single" w:sz="8" w:color="CCEEFF"/>
            </w:tcBorders>
            <w:gridSpan w:val="2"/>
            <w:shd w:val="clear" w:color="auto" w:fill="CCEEFF"/>
          </w:tcPr>
          <w:p>
            <w:pPr>
              <w:jc w:val="right"/>
              <w:ind w:right="98"/>
              <w:spacing w:after="0"/>
              <w:rPr>
                <w:sz w:val="20"/>
                <w:szCs w:val="20"/>
                <w:color w:val="auto"/>
              </w:rPr>
            </w:pPr>
            <w:r>
              <w:rPr>
                <w:rFonts w:ascii="Times New Roman" w:cs="Times New Roman" w:eastAsia="Times New Roman" w:hAnsi="Times New Roman"/>
                <w:sz w:val="13"/>
                <w:szCs w:val="13"/>
                <w:color w:val="auto"/>
              </w:rPr>
              <w:t>(372,318)</w:t>
            </w:r>
          </w:p>
        </w:tc>
        <w:tc>
          <w:tcPr>
            <w:tcW w:w="38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3"/>
                <w:szCs w:val="13"/>
                <w:color w:val="auto"/>
              </w:rPr>
              <w:t>N/A</w:t>
            </w:r>
          </w:p>
        </w:tc>
        <w:tc>
          <w:tcPr>
            <w:tcW w:w="0" w:type="dxa"/>
            <w:vAlign w:val="bottom"/>
          </w:tcPr>
          <w:p>
            <w:pPr>
              <w:spacing w:after="0"/>
              <w:rPr>
                <w:sz w:val="1"/>
                <w:szCs w:val="1"/>
                <w:color w:val="auto"/>
              </w:rPr>
            </w:pPr>
          </w:p>
        </w:tc>
      </w:tr>
      <w:tr>
        <w:trPr>
          <w:trHeight w:val="151"/>
        </w:trPr>
        <w:tc>
          <w:tcPr>
            <w:tcW w:w="294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Operating loss</w:t>
            </w: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(196,401</w:t>
            </w:r>
          </w:p>
        </w:tc>
        <w:tc>
          <w:tcPr>
            <w:tcW w:w="140" w:type="dxa"/>
            <w:vAlign w:val="bottom"/>
          </w:tcPr>
          <w:p>
            <w:pPr>
              <w:jc w:val="right"/>
              <w:ind w:right="58"/>
              <w:spacing w:after="0"/>
              <w:rPr>
                <w:sz w:val="20"/>
                <w:szCs w:val="20"/>
                <w:color w:val="auto"/>
              </w:rPr>
            </w:pPr>
            <w:r>
              <w:rPr>
                <w:rFonts w:ascii="Times New Roman" w:cs="Times New Roman" w:eastAsia="Times New Roman" w:hAnsi="Times New Roman"/>
                <w:sz w:val="8"/>
                <w:szCs w:val="8"/>
                <w:b w:val="1"/>
                <w:bCs w:val="1"/>
                <w:color w:val="auto"/>
                <w:w w:val="73"/>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(292,861</w:t>
            </w:r>
          </w:p>
        </w:tc>
        <w:tc>
          <w:tcPr>
            <w:tcW w:w="160" w:type="dxa"/>
            <w:vAlign w:val="bottom"/>
          </w:tcPr>
          <w:p>
            <w:pPr>
              <w:jc w:val="right"/>
              <w:ind w:right="78"/>
              <w:spacing w:after="0"/>
              <w:rPr>
                <w:sz w:val="20"/>
                <w:szCs w:val="20"/>
                <w:color w:val="auto"/>
              </w:rPr>
            </w:pPr>
            <w:r>
              <w:rPr>
                <w:rFonts w:ascii="Times New Roman" w:cs="Times New Roman" w:eastAsia="Times New Roman" w:hAnsi="Times New Roman"/>
                <w:sz w:val="8"/>
                <w:szCs w:val="8"/>
                <w:b w:val="1"/>
                <w:bCs w:val="1"/>
                <w:color w:val="auto"/>
                <w:w w:val="73"/>
              </w:rPr>
              <w:t>)</w:t>
            </w:r>
          </w:p>
        </w:tc>
        <w:tc>
          <w:tcPr>
            <w:tcW w:w="4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96,460</w:t>
            </w:r>
          </w:p>
        </w:tc>
        <w:tc>
          <w:tcPr>
            <w:tcW w:w="180" w:type="dxa"/>
            <w:vAlign w:val="bottom"/>
          </w:tcPr>
          <w:p>
            <w:pPr>
              <w:spacing w:after="0"/>
              <w:rPr>
                <w:sz w:val="13"/>
                <w:szCs w:val="13"/>
                <w:color w:val="auto"/>
              </w:rPr>
            </w:pPr>
          </w:p>
        </w:tc>
        <w:tc>
          <w:tcPr>
            <w:tcW w:w="2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(33)</w:t>
            </w:r>
          </w:p>
        </w:tc>
        <w:tc>
          <w:tcPr>
            <w:tcW w:w="140" w:type="dxa"/>
            <w:vAlign w:val="bottom"/>
          </w:tcPr>
          <w:p>
            <w:pPr>
              <w:spacing w:after="0"/>
              <w:rPr>
                <w:sz w:val="13"/>
                <w:szCs w:val="13"/>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(1,081,581</w:t>
            </w:r>
          </w:p>
        </w:tc>
        <w:tc>
          <w:tcPr>
            <w:tcW w:w="140" w:type="dxa"/>
            <w:vAlign w:val="bottom"/>
          </w:tcPr>
          <w:p>
            <w:pPr>
              <w:jc w:val="right"/>
              <w:ind w:right="58"/>
              <w:spacing w:after="0"/>
              <w:rPr>
                <w:sz w:val="20"/>
                <w:szCs w:val="20"/>
                <w:color w:val="auto"/>
              </w:rPr>
            </w:pPr>
            <w:r>
              <w:rPr>
                <w:rFonts w:ascii="Times New Roman" w:cs="Times New Roman" w:eastAsia="Times New Roman" w:hAnsi="Times New Roman"/>
                <w:sz w:val="8"/>
                <w:szCs w:val="8"/>
                <w:b w:val="1"/>
                <w:bCs w:val="1"/>
                <w:color w:val="auto"/>
                <w:w w:val="73"/>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(657,544</w:t>
            </w:r>
          </w:p>
        </w:tc>
        <w:tc>
          <w:tcPr>
            <w:tcW w:w="140" w:type="dxa"/>
            <w:vAlign w:val="bottom"/>
          </w:tcPr>
          <w:p>
            <w:pPr>
              <w:jc w:val="right"/>
              <w:ind w:right="58"/>
              <w:spacing w:after="0"/>
              <w:rPr>
                <w:sz w:val="20"/>
                <w:szCs w:val="20"/>
                <w:color w:val="auto"/>
              </w:rPr>
            </w:pPr>
            <w:r>
              <w:rPr>
                <w:rFonts w:ascii="Times New Roman" w:cs="Times New Roman" w:eastAsia="Times New Roman" w:hAnsi="Times New Roman"/>
                <w:sz w:val="8"/>
                <w:szCs w:val="8"/>
                <w:b w:val="1"/>
                <w:bCs w:val="1"/>
                <w:color w:val="auto"/>
                <w:w w:val="73"/>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(424,037</w:t>
            </w:r>
          </w:p>
        </w:tc>
        <w:tc>
          <w:tcPr>
            <w:tcW w:w="180" w:type="dxa"/>
            <w:vAlign w:val="bottom"/>
          </w:tcPr>
          <w:p>
            <w:pPr>
              <w:jc w:val="right"/>
              <w:ind w:right="98"/>
              <w:spacing w:after="0"/>
              <w:rPr>
                <w:sz w:val="20"/>
                <w:szCs w:val="20"/>
                <w:color w:val="auto"/>
              </w:rPr>
            </w:pPr>
            <w:r>
              <w:rPr>
                <w:rFonts w:ascii="Times New Roman" w:cs="Times New Roman" w:eastAsia="Times New Roman" w:hAnsi="Times New Roman"/>
                <w:sz w:val="8"/>
                <w:szCs w:val="8"/>
                <w:b w:val="1"/>
                <w:bCs w:val="1"/>
                <w:color w:val="auto"/>
                <w:w w:val="73"/>
              </w:rPr>
              <w:t>)</w:t>
            </w:r>
          </w:p>
        </w:tc>
        <w:tc>
          <w:tcPr>
            <w:tcW w:w="3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64</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29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Finance income</w:t>
            </w:r>
          </w:p>
        </w:tc>
        <w:tc>
          <w:tcPr>
            <w:tcW w:w="640" w:type="dxa"/>
            <w:vAlign w:val="bottom"/>
            <w:gridSpan w:val="2"/>
            <w:shd w:val="clear" w:color="auto" w:fill="CCEEFF"/>
          </w:tcPr>
          <w:p>
            <w:pPr>
              <w:jc w:val="right"/>
              <w:ind w:right="98"/>
              <w:spacing w:after="0"/>
              <w:rPr>
                <w:sz w:val="20"/>
                <w:szCs w:val="20"/>
                <w:color w:val="auto"/>
              </w:rPr>
            </w:pPr>
            <w:r>
              <w:rPr>
                <w:rFonts w:ascii="Times New Roman" w:cs="Times New Roman" w:eastAsia="Times New Roman" w:hAnsi="Times New Roman"/>
                <w:sz w:val="13"/>
                <w:szCs w:val="13"/>
                <w:color w:val="auto"/>
              </w:rPr>
              <w:t>711</w:t>
            </w:r>
          </w:p>
        </w:tc>
        <w:tc>
          <w:tcPr>
            <w:tcW w:w="660" w:type="dxa"/>
            <w:vAlign w:val="bottom"/>
            <w:gridSpan w:val="2"/>
            <w:shd w:val="clear" w:color="auto" w:fill="CCEEFF"/>
          </w:tcPr>
          <w:p>
            <w:pPr>
              <w:jc w:val="right"/>
              <w:ind w:right="118"/>
              <w:spacing w:after="0"/>
              <w:rPr>
                <w:sz w:val="20"/>
                <w:szCs w:val="20"/>
                <w:color w:val="auto"/>
              </w:rPr>
            </w:pPr>
            <w:r>
              <w:rPr>
                <w:rFonts w:ascii="Times New Roman" w:cs="Times New Roman" w:eastAsia="Times New Roman" w:hAnsi="Times New Roman"/>
                <w:sz w:val="13"/>
                <w:szCs w:val="13"/>
                <w:color w:val="auto"/>
              </w:rPr>
              <w:t>9,606</w:t>
            </w:r>
          </w:p>
        </w:tc>
        <w:tc>
          <w:tcPr>
            <w:tcW w:w="660" w:type="dxa"/>
            <w:vAlign w:val="bottom"/>
            <w:tcBorders>
              <w:right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color w:val="auto"/>
              </w:rPr>
              <w:t>(8,895)</w:t>
            </w:r>
          </w:p>
        </w:tc>
        <w:tc>
          <w:tcPr>
            <w:tcW w:w="40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(93)</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1,485</w:t>
            </w:r>
          </w:p>
        </w:tc>
        <w:tc>
          <w:tcPr>
            <w:tcW w:w="14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98"/>
              <w:spacing w:after="0"/>
              <w:rPr>
                <w:sz w:val="20"/>
                <w:szCs w:val="20"/>
                <w:color w:val="auto"/>
              </w:rPr>
            </w:pPr>
            <w:r>
              <w:rPr>
                <w:rFonts w:ascii="Times New Roman" w:cs="Times New Roman" w:eastAsia="Times New Roman" w:hAnsi="Times New Roman"/>
                <w:sz w:val="13"/>
                <w:szCs w:val="13"/>
                <w:color w:val="auto"/>
              </w:rPr>
              <w:t>24,801</w:t>
            </w:r>
          </w:p>
        </w:tc>
        <w:tc>
          <w:tcPr>
            <w:tcW w:w="680" w:type="dxa"/>
            <w:vAlign w:val="bottom"/>
            <w:tcBorders>
              <w:right w:val="single" w:sz="8" w:color="CCEEFF"/>
            </w:tcBorders>
            <w:gridSpan w:val="2"/>
            <w:shd w:val="clear" w:color="auto" w:fill="CCEEFF"/>
          </w:tcPr>
          <w:p>
            <w:pPr>
              <w:jc w:val="right"/>
              <w:ind w:right="98"/>
              <w:spacing w:after="0"/>
              <w:rPr>
                <w:sz w:val="20"/>
                <w:szCs w:val="20"/>
                <w:color w:val="auto"/>
              </w:rPr>
            </w:pPr>
            <w:r>
              <w:rPr>
                <w:rFonts w:ascii="Times New Roman" w:cs="Times New Roman" w:eastAsia="Times New Roman" w:hAnsi="Times New Roman"/>
                <w:sz w:val="13"/>
                <w:szCs w:val="13"/>
                <w:color w:val="auto"/>
              </w:rPr>
              <w:t>(23,316)</w:t>
            </w:r>
          </w:p>
        </w:tc>
        <w:tc>
          <w:tcPr>
            <w:tcW w:w="3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(94)</w:t>
            </w:r>
          </w:p>
        </w:tc>
        <w:tc>
          <w:tcPr>
            <w:tcW w:w="0" w:type="dxa"/>
            <w:vAlign w:val="bottom"/>
          </w:tcPr>
          <w:p>
            <w:pPr>
              <w:spacing w:after="0"/>
              <w:rPr>
                <w:sz w:val="1"/>
                <w:szCs w:val="1"/>
                <w:color w:val="auto"/>
              </w:rPr>
            </w:pPr>
          </w:p>
        </w:tc>
      </w:tr>
      <w:tr>
        <w:trPr>
          <w:trHeight w:val="152"/>
        </w:trPr>
        <w:tc>
          <w:tcPr>
            <w:tcW w:w="2940" w:type="dxa"/>
            <w:vAlign w:val="bottom"/>
          </w:tcPr>
          <w:p>
            <w:pPr>
              <w:spacing w:after="0"/>
              <w:rPr>
                <w:sz w:val="20"/>
                <w:szCs w:val="20"/>
                <w:color w:val="auto"/>
              </w:rPr>
            </w:pPr>
            <w:r>
              <w:rPr>
                <w:rFonts w:ascii="Times New Roman" w:cs="Times New Roman" w:eastAsia="Times New Roman" w:hAnsi="Times New Roman"/>
                <w:sz w:val="13"/>
                <w:szCs w:val="13"/>
                <w:color w:val="auto"/>
              </w:rPr>
              <w:t>Finance expense</w:t>
            </w:r>
          </w:p>
        </w:tc>
        <w:tc>
          <w:tcPr>
            <w:tcW w:w="64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(60,539)</w:t>
            </w:r>
          </w:p>
        </w:tc>
        <w:tc>
          <w:tcPr>
            <w:tcW w:w="660" w:type="dxa"/>
            <w:vAlign w:val="bottom"/>
            <w:gridSpan w:val="2"/>
          </w:tcPr>
          <w:p>
            <w:pPr>
              <w:jc w:val="right"/>
              <w:ind w:right="78"/>
              <w:spacing w:after="0"/>
              <w:rPr>
                <w:sz w:val="20"/>
                <w:szCs w:val="20"/>
                <w:color w:val="auto"/>
              </w:rPr>
            </w:pPr>
            <w:r>
              <w:rPr>
                <w:rFonts w:ascii="Times New Roman" w:cs="Times New Roman" w:eastAsia="Times New Roman" w:hAnsi="Times New Roman"/>
                <w:sz w:val="13"/>
                <w:szCs w:val="13"/>
                <w:color w:val="auto"/>
              </w:rPr>
              <w:t>(16,135)</w:t>
            </w:r>
          </w:p>
        </w:tc>
        <w:tc>
          <w:tcPr>
            <w:tcW w:w="66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color w:val="auto"/>
              </w:rPr>
              <w:t>(44,404)</w:t>
            </w:r>
          </w:p>
        </w:tc>
        <w:tc>
          <w:tcPr>
            <w:tcW w:w="40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color w:val="auto"/>
              </w:rPr>
              <w:t>275</w:t>
            </w:r>
          </w:p>
        </w:tc>
        <w:tc>
          <w:tcPr>
            <w:tcW w:w="74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(111,966)</w:t>
            </w:r>
          </w:p>
        </w:tc>
        <w:tc>
          <w:tcPr>
            <w:tcW w:w="64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(28,511)</w:t>
            </w:r>
          </w:p>
        </w:tc>
        <w:tc>
          <w:tcPr>
            <w:tcW w:w="680" w:type="dxa"/>
            <w:vAlign w:val="bottom"/>
            <w:gridSpan w:val="2"/>
          </w:tcPr>
          <w:p>
            <w:pPr>
              <w:jc w:val="right"/>
              <w:ind w:right="98"/>
              <w:spacing w:after="0"/>
              <w:rPr>
                <w:sz w:val="20"/>
                <w:szCs w:val="20"/>
                <w:color w:val="auto"/>
              </w:rPr>
            </w:pPr>
            <w:r>
              <w:rPr>
                <w:rFonts w:ascii="Times New Roman" w:cs="Times New Roman" w:eastAsia="Times New Roman" w:hAnsi="Times New Roman"/>
                <w:sz w:val="13"/>
                <w:szCs w:val="13"/>
                <w:color w:val="auto"/>
              </w:rPr>
              <w:t>(83,455)</w:t>
            </w:r>
          </w:p>
        </w:tc>
        <w:tc>
          <w:tcPr>
            <w:tcW w:w="38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rPr>
              <w:t>293</w:t>
            </w:r>
          </w:p>
        </w:tc>
        <w:tc>
          <w:tcPr>
            <w:tcW w:w="0" w:type="dxa"/>
            <w:vAlign w:val="bottom"/>
          </w:tcPr>
          <w:p>
            <w:pPr>
              <w:spacing w:after="0"/>
              <w:rPr>
                <w:sz w:val="1"/>
                <w:szCs w:val="1"/>
                <w:color w:val="auto"/>
              </w:rPr>
            </w:pPr>
          </w:p>
        </w:tc>
      </w:tr>
      <w:tr>
        <w:trPr>
          <w:trHeight w:val="152"/>
        </w:trPr>
        <w:tc>
          <w:tcPr>
            <w:tcW w:w="29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Fair value change - Earn-out rights</w:t>
            </w:r>
          </w:p>
        </w:tc>
        <w:tc>
          <w:tcPr>
            <w:tcW w:w="640" w:type="dxa"/>
            <w:vAlign w:val="bottom"/>
            <w:gridSpan w:val="2"/>
            <w:shd w:val="clear" w:color="auto" w:fill="CCEEFF"/>
          </w:tcPr>
          <w:p>
            <w:pPr>
              <w:jc w:val="right"/>
              <w:ind w:right="98"/>
              <w:spacing w:after="0"/>
              <w:rPr>
                <w:sz w:val="20"/>
                <w:szCs w:val="20"/>
                <w:color w:val="auto"/>
              </w:rPr>
            </w:pPr>
            <w:r>
              <w:rPr>
                <w:rFonts w:ascii="Times New Roman" w:cs="Times New Roman" w:eastAsia="Times New Roman" w:hAnsi="Times New Roman"/>
                <w:sz w:val="13"/>
                <w:szCs w:val="13"/>
                <w:color w:val="auto"/>
              </w:rPr>
              <w:t>546,961</w:t>
            </w:r>
          </w:p>
        </w:tc>
        <w:tc>
          <w:tcPr>
            <w:tcW w:w="660" w:type="dxa"/>
            <w:vAlign w:val="bottom"/>
            <w:gridSpan w:val="2"/>
            <w:shd w:val="clear" w:color="auto" w:fill="CCEEFF"/>
          </w:tcPr>
          <w:p>
            <w:pPr>
              <w:jc w:val="right"/>
              <w:ind w:right="178"/>
              <w:spacing w:after="0"/>
              <w:rPr>
                <w:sz w:val="20"/>
                <w:szCs w:val="20"/>
                <w:color w:val="auto"/>
              </w:rPr>
            </w:pPr>
            <w:r>
              <w:rPr>
                <w:rFonts w:ascii="Times New Roman" w:cs="Times New Roman" w:eastAsia="Times New Roman" w:hAnsi="Times New Roman"/>
                <w:sz w:val="13"/>
                <w:szCs w:val="13"/>
                <w:b w:val="1"/>
                <w:bCs w:val="1"/>
                <w:color w:val="auto"/>
              </w:rPr>
              <w:t>—</w:t>
            </w:r>
          </w:p>
        </w:tc>
        <w:tc>
          <w:tcPr>
            <w:tcW w:w="66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546,961</w:t>
            </w:r>
          </w:p>
        </w:tc>
        <w:tc>
          <w:tcPr>
            <w:tcW w:w="40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color w:val="auto"/>
              </w:rPr>
              <w:t>N/A</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965,668</w:t>
            </w:r>
          </w:p>
        </w:tc>
        <w:tc>
          <w:tcPr>
            <w:tcW w:w="14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158"/>
              <w:spacing w:after="0"/>
              <w:rPr>
                <w:sz w:val="20"/>
                <w:szCs w:val="20"/>
                <w:color w:val="auto"/>
              </w:rPr>
            </w:pPr>
            <w:r>
              <w:rPr>
                <w:rFonts w:ascii="Times New Roman" w:cs="Times New Roman" w:eastAsia="Times New Roman" w:hAnsi="Times New Roman"/>
                <w:sz w:val="13"/>
                <w:szCs w:val="13"/>
                <w:color w:val="auto"/>
              </w:rPr>
              <w:t>—</w:t>
            </w:r>
          </w:p>
        </w:tc>
        <w:tc>
          <w:tcPr>
            <w:tcW w:w="680" w:type="dxa"/>
            <w:vAlign w:val="bottom"/>
            <w:tcBorders>
              <w:right w:val="single" w:sz="8" w:color="CCEEFF"/>
            </w:tcBorders>
            <w:gridSpan w:val="2"/>
            <w:shd w:val="clear" w:color="auto" w:fill="CCEEFF"/>
          </w:tcPr>
          <w:p>
            <w:pPr>
              <w:jc w:val="right"/>
              <w:ind w:right="138"/>
              <w:spacing w:after="0"/>
              <w:rPr>
                <w:sz w:val="20"/>
                <w:szCs w:val="20"/>
                <w:color w:val="auto"/>
              </w:rPr>
            </w:pPr>
            <w:r>
              <w:rPr>
                <w:rFonts w:ascii="Times New Roman" w:cs="Times New Roman" w:eastAsia="Times New Roman" w:hAnsi="Times New Roman"/>
                <w:sz w:val="13"/>
                <w:szCs w:val="13"/>
                <w:color w:val="auto"/>
              </w:rPr>
              <w:t>965,668</w:t>
            </w:r>
          </w:p>
        </w:tc>
        <w:tc>
          <w:tcPr>
            <w:tcW w:w="38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3"/>
                <w:szCs w:val="13"/>
                <w:color w:val="auto"/>
              </w:rPr>
              <w:t>N/A</w:t>
            </w:r>
          </w:p>
        </w:tc>
        <w:tc>
          <w:tcPr>
            <w:tcW w:w="0" w:type="dxa"/>
            <w:vAlign w:val="bottom"/>
          </w:tcPr>
          <w:p>
            <w:pPr>
              <w:spacing w:after="0"/>
              <w:rPr>
                <w:sz w:val="1"/>
                <w:szCs w:val="1"/>
                <w:color w:val="auto"/>
              </w:rPr>
            </w:pPr>
          </w:p>
        </w:tc>
      </w:tr>
      <w:tr>
        <w:trPr>
          <w:trHeight w:val="152"/>
        </w:trPr>
        <w:tc>
          <w:tcPr>
            <w:tcW w:w="2940" w:type="dxa"/>
            <w:vAlign w:val="bottom"/>
          </w:tcPr>
          <w:p>
            <w:pPr>
              <w:spacing w:after="0"/>
              <w:rPr>
                <w:sz w:val="20"/>
                <w:szCs w:val="20"/>
                <w:color w:val="auto"/>
              </w:rPr>
            </w:pPr>
            <w:r>
              <w:rPr>
                <w:rFonts w:ascii="Times New Roman" w:cs="Times New Roman" w:eastAsia="Times New Roman" w:hAnsi="Times New Roman"/>
                <w:sz w:val="13"/>
                <w:szCs w:val="13"/>
                <w:color w:val="auto"/>
              </w:rPr>
              <w:t>Fair value change - Class C Shares</w:t>
            </w:r>
          </w:p>
        </w:tc>
        <w:tc>
          <w:tcPr>
            <w:tcW w:w="5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14,059</w:t>
            </w:r>
          </w:p>
        </w:tc>
        <w:tc>
          <w:tcPr>
            <w:tcW w:w="140" w:type="dxa"/>
            <w:vAlign w:val="bottom"/>
          </w:tcPr>
          <w:p>
            <w:pPr>
              <w:spacing w:after="0"/>
              <w:rPr>
                <w:sz w:val="13"/>
                <w:szCs w:val="13"/>
                <w:color w:val="auto"/>
              </w:rPr>
            </w:pPr>
          </w:p>
        </w:tc>
        <w:tc>
          <w:tcPr>
            <w:tcW w:w="500" w:type="dxa"/>
            <w:vAlign w:val="bottom"/>
          </w:tcPr>
          <w:p>
            <w:pPr>
              <w:jc w:val="right"/>
              <w:spacing w:after="0"/>
              <w:rPr>
                <w:sz w:val="20"/>
                <w:szCs w:val="20"/>
                <w:color w:val="auto"/>
              </w:rPr>
            </w:pPr>
            <w:r>
              <w:rPr>
                <w:rFonts w:ascii="Times New Roman" w:cs="Times New Roman" w:eastAsia="Times New Roman" w:hAnsi="Times New Roman"/>
                <w:sz w:val="13"/>
                <w:szCs w:val="13"/>
                <w:b w:val="1"/>
                <w:bCs w:val="1"/>
                <w:color w:val="auto"/>
              </w:rPr>
              <w:t>—</w:t>
            </w:r>
          </w:p>
        </w:tc>
        <w:tc>
          <w:tcPr>
            <w:tcW w:w="160" w:type="dxa"/>
            <w:vAlign w:val="bottom"/>
          </w:tcPr>
          <w:p>
            <w:pPr>
              <w:spacing w:after="0"/>
              <w:rPr>
                <w:sz w:val="13"/>
                <w:szCs w:val="13"/>
                <w:color w:val="auto"/>
              </w:rPr>
            </w:pPr>
          </w:p>
        </w:tc>
        <w:tc>
          <w:tcPr>
            <w:tcW w:w="66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14,059</w:t>
            </w:r>
          </w:p>
        </w:tc>
        <w:tc>
          <w:tcPr>
            <w:tcW w:w="40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color w:val="auto"/>
              </w:rPr>
              <w:t>N/A</w:t>
            </w:r>
          </w:p>
        </w:tc>
        <w:tc>
          <w:tcPr>
            <w:tcW w:w="740" w:type="dxa"/>
            <w:vAlign w:val="bottom"/>
            <w:gridSpan w:val="2"/>
          </w:tcPr>
          <w:p>
            <w:pPr>
              <w:jc w:val="right"/>
              <w:ind w:right="98"/>
              <w:spacing w:after="0"/>
              <w:rPr>
                <w:sz w:val="20"/>
                <w:szCs w:val="20"/>
                <w:color w:val="auto"/>
              </w:rPr>
            </w:pPr>
            <w:r>
              <w:rPr>
                <w:rFonts w:ascii="Times New Roman" w:cs="Times New Roman" w:eastAsia="Times New Roman" w:hAnsi="Times New Roman"/>
                <w:sz w:val="13"/>
                <w:szCs w:val="13"/>
                <w:color w:val="auto"/>
              </w:rPr>
              <w:t>35,590</w:t>
            </w:r>
          </w:p>
        </w:tc>
        <w:tc>
          <w:tcPr>
            <w:tcW w:w="640" w:type="dxa"/>
            <w:vAlign w:val="bottom"/>
            <w:gridSpan w:val="2"/>
          </w:tcPr>
          <w:p>
            <w:pPr>
              <w:jc w:val="right"/>
              <w:ind w:right="158"/>
              <w:spacing w:after="0"/>
              <w:rPr>
                <w:sz w:val="20"/>
                <w:szCs w:val="20"/>
                <w:color w:val="auto"/>
              </w:rPr>
            </w:pPr>
            <w:r>
              <w:rPr>
                <w:rFonts w:ascii="Times New Roman" w:cs="Times New Roman" w:eastAsia="Times New Roman" w:hAnsi="Times New Roman"/>
                <w:sz w:val="13"/>
                <w:szCs w:val="13"/>
                <w:color w:val="auto"/>
              </w:rPr>
              <w:t>—</w:t>
            </w:r>
          </w:p>
        </w:tc>
        <w:tc>
          <w:tcPr>
            <w:tcW w:w="680" w:type="dxa"/>
            <w:vAlign w:val="bottom"/>
            <w:gridSpan w:val="2"/>
          </w:tcPr>
          <w:p>
            <w:pPr>
              <w:jc w:val="right"/>
              <w:ind w:right="138"/>
              <w:spacing w:after="0"/>
              <w:rPr>
                <w:sz w:val="20"/>
                <w:szCs w:val="20"/>
                <w:color w:val="auto"/>
              </w:rPr>
            </w:pPr>
            <w:r>
              <w:rPr>
                <w:rFonts w:ascii="Times New Roman" w:cs="Times New Roman" w:eastAsia="Times New Roman" w:hAnsi="Times New Roman"/>
                <w:sz w:val="13"/>
                <w:szCs w:val="13"/>
                <w:color w:val="auto"/>
              </w:rPr>
              <w:t>35,590</w:t>
            </w:r>
          </w:p>
        </w:tc>
        <w:tc>
          <w:tcPr>
            <w:tcW w:w="380" w:type="dxa"/>
            <w:vAlign w:val="bottom"/>
            <w:gridSpan w:val="2"/>
          </w:tcPr>
          <w:p>
            <w:pPr>
              <w:ind w:left="80"/>
              <w:spacing w:after="0"/>
              <w:rPr>
                <w:sz w:val="20"/>
                <w:szCs w:val="20"/>
                <w:color w:val="auto"/>
              </w:rPr>
            </w:pPr>
            <w:r>
              <w:rPr>
                <w:rFonts w:ascii="Times New Roman" w:cs="Times New Roman" w:eastAsia="Times New Roman" w:hAnsi="Times New Roman"/>
                <w:sz w:val="13"/>
                <w:szCs w:val="13"/>
                <w:color w:val="auto"/>
              </w:rPr>
              <w:t>N/A</w:t>
            </w:r>
          </w:p>
        </w:tc>
        <w:tc>
          <w:tcPr>
            <w:tcW w:w="0" w:type="dxa"/>
            <w:vAlign w:val="bottom"/>
          </w:tcPr>
          <w:p>
            <w:pPr>
              <w:spacing w:after="0"/>
              <w:rPr>
                <w:sz w:val="1"/>
                <w:szCs w:val="1"/>
                <w:color w:val="auto"/>
              </w:rPr>
            </w:pPr>
          </w:p>
        </w:tc>
      </w:tr>
      <w:tr>
        <w:trPr>
          <w:trHeight w:val="20"/>
        </w:trPr>
        <w:tc>
          <w:tcPr>
            <w:tcW w:w="29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1"/>
        </w:trPr>
        <w:tc>
          <w:tcPr>
            <w:tcW w:w="29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Income (loss) before income taxes</w:t>
            </w:r>
          </w:p>
        </w:tc>
        <w:tc>
          <w:tcPr>
            <w:tcW w:w="5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304,791</w:t>
            </w:r>
          </w:p>
        </w:tc>
        <w:tc>
          <w:tcPr>
            <w:tcW w:w="140" w:type="dxa"/>
            <w:vAlign w:val="bottom"/>
            <w:shd w:val="clear" w:color="auto" w:fill="CCEEFF"/>
          </w:tcPr>
          <w:p>
            <w:pPr>
              <w:spacing w:after="0"/>
              <w:rPr>
                <w:sz w:val="13"/>
                <w:szCs w:val="13"/>
                <w:color w:val="auto"/>
              </w:rPr>
            </w:pPr>
          </w:p>
        </w:tc>
        <w:tc>
          <w:tcPr>
            <w:tcW w:w="660" w:type="dxa"/>
            <w:vAlign w:val="bottom"/>
            <w:gridSpan w:val="2"/>
            <w:shd w:val="clear" w:color="auto" w:fill="CCEEFF"/>
          </w:tcPr>
          <w:p>
            <w:pPr>
              <w:jc w:val="right"/>
              <w:ind w:right="78"/>
              <w:spacing w:after="0"/>
              <w:rPr>
                <w:sz w:val="20"/>
                <w:szCs w:val="20"/>
                <w:color w:val="auto"/>
              </w:rPr>
            </w:pPr>
            <w:r>
              <w:rPr>
                <w:rFonts w:ascii="Times New Roman" w:cs="Times New Roman" w:eastAsia="Times New Roman" w:hAnsi="Times New Roman"/>
                <w:sz w:val="13"/>
                <w:szCs w:val="13"/>
                <w:b w:val="1"/>
                <w:bCs w:val="1"/>
                <w:color w:val="auto"/>
              </w:rPr>
              <w:t>(299,390)</w:t>
            </w:r>
          </w:p>
        </w:tc>
        <w:tc>
          <w:tcPr>
            <w:tcW w:w="66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b w:val="1"/>
                <w:bCs w:val="1"/>
                <w:color w:val="auto"/>
              </w:rPr>
              <w:t>604,181</w:t>
            </w:r>
          </w:p>
        </w:tc>
        <w:tc>
          <w:tcPr>
            <w:tcW w:w="40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w w:val="99"/>
              </w:rPr>
              <w:t>(202)</w:t>
            </w:r>
          </w:p>
        </w:tc>
        <w:tc>
          <w:tcPr>
            <w:tcW w:w="74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b w:val="1"/>
                <w:bCs w:val="1"/>
                <w:color w:val="auto"/>
              </w:rPr>
              <w:t>(190,804)</w:t>
            </w:r>
          </w:p>
        </w:tc>
        <w:tc>
          <w:tcPr>
            <w:tcW w:w="64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b w:val="1"/>
                <w:bCs w:val="1"/>
                <w:color w:val="auto"/>
              </w:rPr>
              <w:t>(661,254)</w:t>
            </w:r>
          </w:p>
        </w:tc>
        <w:tc>
          <w:tcPr>
            <w:tcW w:w="680" w:type="dxa"/>
            <w:vAlign w:val="bottom"/>
            <w:tcBorders>
              <w:right w:val="single" w:sz="8" w:color="CCEEFF"/>
            </w:tcBorders>
            <w:gridSpan w:val="2"/>
            <w:shd w:val="clear" w:color="auto" w:fill="CCEEFF"/>
          </w:tcPr>
          <w:p>
            <w:pPr>
              <w:jc w:val="right"/>
              <w:ind w:right="138"/>
              <w:spacing w:after="0"/>
              <w:rPr>
                <w:sz w:val="20"/>
                <w:szCs w:val="20"/>
                <w:color w:val="auto"/>
              </w:rPr>
            </w:pPr>
            <w:r>
              <w:rPr>
                <w:rFonts w:ascii="Times New Roman" w:cs="Times New Roman" w:eastAsia="Times New Roman" w:hAnsi="Times New Roman"/>
                <w:sz w:val="13"/>
                <w:szCs w:val="13"/>
                <w:b w:val="1"/>
                <w:bCs w:val="1"/>
                <w:color w:val="auto"/>
              </w:rPr>
              <w:t>470,450</w:t>
            </w:r>
          </w:p>
        </w:tc>
        <w:tc>
          <w:tcPr>
            <w:tcW w:w="3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b w:val="1"/>
                <w:bCs w:val="1"/>
                <w:color w:val="auto"/>
              </w:rPr>
              <w:t>(71)</w:t>
            </w:r>
          </w:p>
        </w:tc>
        <w:tc>
          <w:tcPr>
            <w:tcW w:w="0" w:type="dxa"/>
            <w:vAlign w:val="bottom"/>
          </w:tcPr>
          <w:p>
            <w:pPr>
              <w:spacing w:after="0"/>
              <w:rPr>
                <w:sz w:val="1"/>
                <w:szCs w:val="1"/>
                <w:color w:val="auto"/>
              </w:rPr>
            </w:pPr>
          </w:p>
        </w:tc>
      </w:tr>
      <w:tr>
        <w:trPr>
          <w:trHeight w:val="151"/>
        </w:trPr>
        <w:tc>
          <w:tcPr>
            <w:tcW w:w="2940" w:type="dxa"/>
            <w:vAlign w:val="bottom"/>
          </w:tcPr>
          <w:p>
            <w:pPr>
              <w:spacing w:after="0"/>
              <w:rPr>
                <w:sz w:val="20"/>
                <w:szCs w:val="20"/>
                <w:color w:val="auto"/>
              </w:rPr>
            </w:pPr>
            <w:r>
              <w:rPr>
                <w:rFonts w:ascii="Times New Roman" w:cs="Times New Roman" w:eastAsia="Times New Roman" w:hAnsi="Times New Roman"/>
                <w:sz w:val="13"/>
                <w:szCs w:val="13"/>
                <w:color w:val="auto"/>
              </w:rPr>
              <w:t>Income tax expense</w:t>
            </w: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(5,404)</w:t>
            </w:r>
          </w:p>
        </w:tc>
        <w:tc>
          <w:tcPr>
            <w:tcW w:w="140" w:type="dxa"/>
            <w:vAlign w:val="bottom"/>
          </w:tcPr>
          <w:p>
            <w:pPr>
              <w:spacing w:after="0"/>
              <w:rPr>
                <w:sz w:val="13"/>
                <w:szCs w:val="13"/>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(3,058)</w:t>
            </w:r>
          </w:p>
        </w:tc>
        <w:tc>
          <w:tcPr>
            <w:tcW w:w="160" w:type="dxa"/>
            <w:vAlign w:val="bottom"/>
          </w:tcPr>
          <w:p>
            <w:pPr>
              <w:spacing w:after="0"/>
              <w:rPr>
                <w:sz w:val="13"/>
                <w:szCs w:val="13"/>
                <w:color w:val="auto"/>
              </w:rPr>
            </w:pPr>
          </w:p>
        </w:tc>
        <w:tc>
          <w:tcPr>
            <w:tcW w:w="4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(2,346)</w:t>
            </w:r>
          </w:p>
        </w:tc>
        <w:tc>
          <w:tcPr>
            <w:tcW w:w="180" w:type="dxa"/>
            <w:vAlign w:val="bottom"/>
          </w:tcPr>
          <w:p>
            <w:pPr>
              <w:spacing w:after="0"/>
              <w:rPr>
                <w:sz w:val="13"/>
                <w:szCs w:val="13"/>
                <w:color w:val="auto"/>
              </w:rPr>
            </w:pPr>
          </w:p>
        </w:tc>
        <w:tc>
          <w:tcPr>
            <w:tcW w:w="2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77</w:t>
            </w:r>
          </w:p>
        </w:tc>
        <w:tc>
          <w:tcPr>
            <w:tcW w:w="140" w:type="dxa"/>
            <w:vAlign w:val="bottom"/>
          </w:tcPr>
          <w:p>
            <w:pPr>
              <w:spacing w:after="0"/>
              <w:rPr>
                <w:sz w:val="13"/>
                <w:szCs w:val="13"/>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(12,543)</w:t>
            </w:r>
          </w:p>
        </w:tc>
        <w:tc>
          <w:tcPr>
            <w:tcW w:w="140" w:type="dxa"/>
            <w:vAlign w:val="bottom"/>
          </w:tcPr>
          <w:p>
            <w:pPr>
              <w:spacing w:after="0"/>
              <w:rPr>
                <w:sz w:val="13"/>
                <w:szCs w:val="13"/>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(9,414)</w:t>
            </w:r>
          </w:p>
        </w:tc>
        <w:tc>
          <w:tcPr>
            <w:tcW w:w="140" w:type="dxa"/>
            <w:vAlign w:val="bottom"/>
          </w:tcPr>
          <w:p>
            <w:pPr>
              <w:spacing w:after="0"/>
              <w:rPr>
                <w:sz w:val="13"/>
                <w:szCs w:val="13"/>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(3,129)</w:t>
            </w:r>
          </w:p>
        </w:tc>
        <w:tc>
          <w:tcPr>
            <w:tcW w:w="180" w:type="dxa"/>
            <w:vAlign w:val="bottom"/>
          </w:tcPr>
          <w:p>
            <w:pPr>
              <w:spacing w:after="0"/>
              <w:rPr>
                <w:sz w:val="13"/>
                <w:szCs w:val="13"/>
                <w:color w:val="auto"/>
              </w:rPr>
            </w:pPr>
          </w:p>
        </w:tc>
        <w:tc>
          <w:tcPr>
            <w:tcW w:w="3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33</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29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Net income (loss)</w:t>
            </w:r>
          </w:p>
        </w:tc>
        <w:tc>
          <w:tcPr>
            <w:tcW w:w="640" w:type="dxa"/>
            <w:vAlign w:val="bottom"/>
            <w:gridSpan w:val="2"/>
            <w:shd w:val="clear" w:color="auto" w:fill="CCEEFF"/>
          </w:tcPr>
          <w:p>
            <w:pPr>
              <w:jc w:val="right"/>
              <w:ind w:right="98"/>
              <w:spacing w:after="0"/>
              <w:rPr>
                <w:sz w:val="20"/>
                <w:szCs w:val="20"/>
                <w:color w:val="auto"/>
              </w:rPr>
            </w:pPr>
            <w:r>
              <w:rPr>
                <w:rFonts w:ascii="Times New Roman" w:cs="Times New Roman" w:eastAsia="Times New Roman" w:hAnsi="Times New Roman"/>
                <w:sz w:val="13"/>
                <w:szCs w:val="13"/>
                <w:b w:val="1"/>
                <w:bCs w:val="1"/>
                <w:color w:val="auto"/>
              </w:rPr>
              <w:t>299,387</w:t>
            </w:r>
          </w:p>
        </w:tc>
        <w:tc>
          <w:tcPr>
            <w:tcW w:w="660" w:type="dxa"/>
            <w:vAlign w:val="bottom"/>
            <w:gridSpan w:val="2"/>
            <w:shd w:val="clear" w:color="auto" w:fill="CCEEFF"/>
          </w:tcPr>
          <w:p>
            <w:pPr>
              <w:jc w:val="right"/>
              <w:ind w:right="78"/>
              <w:spacing w:after="0"/>
              <w:rPr>
                <w:sz w:val="20"/>
                <w:szCs w:val="20"/>
                <w:color w:val="auto"/>
              </w:rPr>
            </w:pPr>
            <w:r>
              <w:rPr>
                <w:rFonts w:ascii="Times New Roman" w:cs="Times New Roman" w:eastAsia="Times New Roman" w:hAnsi="Times New Roman"/>
                <w:sz w:val="13"/>
                <w:szCs w:val="13"/>
                <w:b w:val="1"/>
                <w:bCs w:val="1"/>
                <w:color w:val="auto"/>
              </w:rPr>
              <w:t>(302,448)</w:t>
            </w:r>
          </w:p>
        </w:tc>
        <w:tc>
          <w:tcPr>
            <w:tcW w:w="66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b w:val="1"/>
                <w:bCs w:val="1"/>
                <w:color w:val="auto"/>
              </w:rPr>
              <w:t>601,835</w:t>
            </w:r>
          </w:p>
        </w:tc>
        <w:tc>
          <w:tcPr>
            <w:tcW w:w="40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w w:val="99"/>
              </w:rPr>
              <w:t>(199)</w:t>
            </w:r>
          </w:p>
        </w:tc>
        <w:tc>
          <w:tcPr>
            <w:tcW w:w="74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b w:val="1"/>
                <w:bCs w:val="1"/>
                <w:color w:val="auto"/>
              </w:rPr>
              <w:t>(203,347)</w:t>
            </w:r>
          </w:p>
        </w:tc>
        <w:tc>
          <w:tcPr>
            <w:tcW w:w="64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b w:val="1"/>
                <w:bCs w:val="1"/>
                <w:color w:val="auto"/>
              </w:rPr>
              <w:t>(670,668)</w:t>
            </w:r>
          </w:p>
        </w:tc>
        <w:tc>
          <w:tcPr>
            <w:tcW w:w="680" w:type="dxa"/>
            <w:vAlign w:val="bottom"/>
            <w:tcBorders>
              <w:right w:val="single" w:sz="8" w:color="CCEEFF"/>
            </w:tcBorders>
            <w:gridSpan w:val="2"/>
            <w:shd w:val="clear" w:color="auto" w:fill="CCEEFF"/>
          </w:tcPr>
          <w:p>
            <w:pPr>
              <w:jc w:val="right"/>
              <w:ind w:right="138"/>
              <w:spacing w:after="0"/>
              <w:rPr>
                <w:sz w:val="20"/>
                <w:szCs w:val="20"/>
                <w:color w:val="auto"/>
              </w:rPr>
            </w:pPr>
            <w:r>
              <w:rPr>
                <w:rFonts w:ascii="Times New Roman" w:cs="Times New Roman" w:eastAsia="Times New Roman" w:hAnsi="Times New Roman"/>
                <w:sz w:val="13"/>
                <w:szCs w:val="13"/>
                <w:b w:val="1"/>
                <w:bCs w:val="1"/>
                <w:color w:val="auto"/>
              </w:rPr>
              <w:t>467,321</w:t>
            </w:r>
          </w:p>
        </w:tc>
        <w:tc>
          <w:tcPr>
            <w:tcW w:w="3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b w:val="1"/>
                <w:bCs w:val="1"/>
                <w:color w:val="auto"/>
              </w:rPr>
              <w:t>(70)</w:t>
            </w:r>
          </w:p>
        </w:tc>
        <w:tc>
          <w:tcPr>
            <w:tcW w:w="0" w:type="dxa"/>
            <w:vAlign w:val="bottom"/>
          </w:tcPr>
          <w:p>
            <w:pPr>
              <w:spacing w:after="0"/>
              <w:rPr>
                <w:sz w:val="1"/>
                <w:szCs w:val="1"/>
                <w:color w:val="auto"/>
              </w:rPr>
            </w:pPr>
          </w:p>
        </w:tc>
      </w:tr>
      <w:tr>
        <w:trPr>
          <w:trHeight w:val="256"/>
        </w:trPr>
        <w:tc>
          <w:tcPr>
            <w:tcW w:w="294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500" w:type="dxa"/>
            <w:vAlign w:val="bottom"/>
          </w:tcPr>
          <w:p>
            <w:pPr>
              <w:jc w:val="right"/>
              <w:ind w:right="118"/>
              <w:spacing w:after="0"/>
              <w:rPr>
                <w:sz w:val="20"/>
                <w:szCs w:val="20"/>
                <w:color w:val="auto"/>
              </w:rPr>
            </w:pPr>
            <w:r>
              <w:rPr>
                <w:rFonts w:ascii="Times New Roman" w:cs="Times New Roman" w:eastAsia="Times New Roman" w:hAnsi="Times New Roman"/>
                <w:sz w:val="13"/>
                <w:szCs w:val="13"/>
                <w:color w:val="auto"/>
              </w:rPr>
              <w:t>5</w:t>
            </w:r>
          </w:p>
        </w:tc>
        <w:tc>
          <w:tcPr>
            <w:tcW w:w="16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29" w:right="1440" w:bottom="1440" w:gutter="0" w:footer="0" w:header="0"/>
        </w:sectPr>
      </w:pPr>
    </w:p>
    <w:bookmarkStart w:id="48" w:name="page49"/>
    <w:bookmarkEnd w:id="48"/>
    <w:p>
      <w:pPr>
        <w:ind w:left="640"/>
        <w:spacing w:after="0"/>
        <w:rPr>
          <w:sz w:val="20"/>
          <w:szCs w:val="20"/>
          <w:color w:val="auto"/>
        </w:rPr>
      </w:pPr>
      <w:r>
        <w:rPr>
          <w:rFonts w:ascii="Times New Roman" w:cs="Times New Roman" w:eastAsia="Times New Roman" w:hAnsi="Times New Roman"/>
          <w:sz w:val="13"/>
          <w:szCs w:val="13"/>
          <w:i w:val="1"/>
          <w:iCs w:val="1"/>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10425" cy="30480"/>
                    </a:xfrm>
                    <a:prstGeom prst="rect">
                      <a:avLst/>
                    </a:prstGeom>
                    <a:noFill/>
                  </pic:spPr>
                </pic:pic>
              </a:graphicData>
            </a:graphic>
          </wp:anchor>
        </w:drawing>
        <w:t>Revenues</w:t>
      </w:r>
    </w:p>
    <w:p>
      <w:pPr>
        <w:spacing w:after="0" w:line="80" w:lineRule="exact"/>
        <w:rPr>
          <w:sz w:val="20"/>
          <w:szCs w:val="20"/>
          <w:color w:val="auto"/>
        </w:rPr>
      </w:pPr>
    </w:p>
    <w:p>
      <w:pPr>
        <w:ind w:left="640" w:right="699"/>
        <w:spacing w:after="0" w:line="255" w:lineRule="auto"/>
        <w:rPr>
          <w:sz w:val="20"/>
          <w:szCs w:val="20"/>
          <w:color w:val="auto"/>
        </w:rPr>
      </w:pPr>
      <w:r>
        <w:rPr>
          <w:rFonts w:ascii="Times New Roman" w:cs="Times New Roman" w:eastAsia="Times New Roman" w:hAnsi="Times New Roman"/>
          <w:sz w:val="13"/>
          <w:szCs w:val="13"/>
          <w:color w:val="auto"/>
        </w:rPr>
        <w:t>Polestar’s revenue increased by $222,553 or 105%, from $212,896 for the three months ended September 30, 2021 to $435,449 for the three months ended September 30, 2022. Revenue from related parties decreased by $3,775, or 18%, from $21,232 for the three months ended September 30, 2021 to $17,457 for the three months ended September 30, 2022.</w:t>
      </w:r>
    </w:p>
    <w:p>
      <w:pPr>
        <w:spacing w:after="0" w:line="130" w:lineRule="exact"/>
        <w:rPr>
          <w:sz w:val="20"/>
          <w:szCs w:val="20"/>
          <w:color w:val="auto"/>
        </w:rPr>
      </w:pPr>
    </w:p>
    <w:p>
      <w:pPr>
        <w:ind w:left="640" w:right="699"/>
        <w:spacing w:after="0" w:line="255" w:lineRule="auto"/>
        <w:rPr>
          <w:sz w:val="20"/>
          <w:szCs w:val="20"/>
          <w:color w:val="auto"/>
        </w:rPr>
      </w:pPr>
      <w:r>
        <w:rPr>
          <w:rFonts w:ascii="Times New Roman" w:cs="Times New Roman" w:eastAsia="Times New Roman" w:hAnsi="Times New Roman"/>
          <w:sz w:val="13"/>
          <w:szCs w:val="13"/>
          <w:color w:val="auto"/>
        </w:rPr>
        <w:t>Polestar’s revenue increased by $729,072 or 98%, from $747,674 for the nine months ended September 30, 2021 to $1,476,746 for the nine months ended September 30, 2022. Revenue from related parties increased by $30,059, or 42%, from $70,964 for the nine months ended September 30, 2021 to $101,024 for the nine months ended September 30, 2022.</w:t>
      </w:r>
    </w:p>
    <w:p>
      <w:pPr>
        <w:spacing w:after="0" w:line="130"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The following table summarizes the components of revenue and related changes between interim periods:</w:t>
      </w:r>
    </w:p>
    <w:p>
      <w:pPr>
        <w:spacing w:after="0" w:line="158" w:lineRule="exact"/>
        <w:rPr>
          <w:sz w:val="20"/>
          <w:szCs w:val="20"/>
          <w:color w:val="auto"/>
        </w:rPr>
      </w:pPr>
    </w:p>
    <w:tbl>
      <w:tblPr>
        <w:tblLayout w:type="fixed"/>
        <w:tblInd w:w="640" w:type="dxa"/>
        <w:tblCellMar>
          <w:top w:w="0" w:type="dxa"/>
          <w:left w:w="0" w:type="dxa"/>
          <w:bottom w:w="0" w:type="dxa"/>
          <w:right w:w="0" w:type="dxa"/>
        </w:tblCellMar>
      </w:tblPr>
      <w:tr>
        <w:trPr>
          <w:trHeight w:val="115"/>
        </w:trPr>
        <w:tc>
          <w:tcPr>
            <w:tcW w:w="3460" w:type="dxa"/>
            <w:vAlign w:val="bottom"/>
          </w:tcPr>
          <w:p>
            <w:pPr>
              <w:spacing w:after="0"/>
              <w:rPr>
                <w:sz w:val="10"/>
                <w:szCs w:val="10"/>
                <w:color w:val="auto"/>
              </w:rPr>
            </w:pPr>
          </w:p>
        </w:tc>
        <w:tc>
          <w:tcPr>
            <w:tcW w:w="1140" w:type="dxa"/>
            <w:vAlign w:val="bottom"/>
            <w:gridSpan w:val="4"/>
          </w:tcPr>
          <w:p>
            <w:pPr>
              <w:jc w:val="right"/>
              <w:ind w:right="160"/>
              <w:spacing w:after="0"/>
              <w:rPr>
                <w:sz w:val="20"/>
                <w:szCs w:val="20"/>
                <w:color w:val="auto"/>
              </w:rPr>
            </w:pPr>
            <w:r>
              <w:rPr>
                <w:rFonts w:ascii="Times New Roman" w:cs="Times New Roman" w:eastAsia="Times New Roman" w:hAnsi="Times New Roman"/>
                <w:sz w:val="10"/>
                <w:szCs w:val="10"/>
                <w:b w:val="1"/>
                <w:bCs w:val="1"/>
                <w:color w:val="auto"/>
              </w:rPr>
              <w:t>For the three months</w:t>
            </w:r>
          </w:p>
        </w:tc>
        <w:tc>
          <w:tcPr>
            <w:tcW w:w="620" w:type="dxa"/>
            <w:vAlign w:val="bottom"/>
            <w:gridSpan w:val="2"/>
            <w:vMerge w:val="restart"/>
          </w:tcPr>
          <w:p>
            <w:pPr>
              <w:jc w:val="right"/>
              <w:spacing w:after="0"/>
              <w:rPr>
                <w:sz w:val="20"/>
                <w:szCs w:val="20"/>
                <w:color w:val="auto"/>
              </w:rPr>
            </w:pPr>
            <w:r>
              <w:rPr>
                <w:rFonts w:ascii="Times New Roman" w:cs="Times New Roman" w:eastAsia="Times New Roman" w:hAnsi="Times New Roman"/>
                <w:sz w:val="10"/>
                <w:szCs w:val="10"/>
                <w:b w:val="1"/>
                <w:bCs w:val="1"/>
                <w:color w:val="auto"/>
              </w:rPr>
              <w:t>Variance</w:t>
            </w:r>
          </w:p>
        </w:tc>
        <w:tc>
          <w:tcPr>
            <w:tcW w:w="2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240" w:type="dxa"/>
            <w:vAlign w:val="bottom"/>
            <w:gridSpan w:val="4"/>
          </w:tcPr>
          <w:p>
            <w:pPr>
              <w:jc w:val="right"/>
              <w:ind w:right="240"/>
              <w:spacing w:after="0"/>
              <w:rPr>
                <w:sz w:val="20"/>
                <w:szCs w:val="20"/>
                <w:color w:val="auto"/>
              </w:rPr>
            </w:pPr>
            <w:r>
              <w:rPr>
                <w:rFonts w:ascii="Times New Roman" w:cs="Times New Roman" w:eastAsia="Times New Roman" w:hAnsi="Times New Roman"/>
                <w:sz w:val="10"/>
                <w:szCs w:val="10"/>
                <w:b w:val="1"/>
                <w:bCs w:val="1"/>
                <w:color w:val="auto"/>
              </w:rPr>
              <w:t>For the nine months</w:t>
            </w:r>
          </w:p>
        </w:tc>
        <w:tc>
          <w:tcPr>
            <w:tcW w:w="620" w:type="dxa"/>
            <w:vAlign w:val="bottom"/>
            <w:gridSpan w:val="2"/>
            <w:vMerge w:val="restart"/>
          </w:tcPr>
          <w:p>
            <w:pPr>
              <w:jc w:val="right"/>
              <w:ind w:right="20"/>
              <w:spacing w:after="0"/>
              <w:rPr>
                <w:sz w:val="20"/>
                <w:szCs w:val="20"/>
                <w:color w:val="auto"/>
              </w:rPr>
            </w:pPr>
            <w:r>
              <w:rPr>
                <w:rFonts w:ascii="Times New Roman" w:cs="Times New Roman" w:eastAsia="Times New Roman" w:hAnsi="Times New Roman"/>
                <w:sz w:val="10"/>
                <w:szCs w:val="10"/>
                <w:b w:val="1"/>
                <w:bCs w:val="1"/>
                <w:color w:val="auto"/>
              </w:rPr>
              <w:t>Variance</w:t>
            </w:r>
          </w:p>
        </w:tc>
        <w:tc>
          <w:tcPr>
            <w:tcW w:w="2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3460" w:type="dxa"/>
            <w:vAlign w:val="bottom"/>
          </w:tcPr>
          <w:p>
            <w:pPr>
              <w:spacing w:after="0"/>
              <w:rPr>
                <w:sz w:val="10"/>
                <w:szCs w:val="10"/>
                <w:color w:val="auto"/>
              </w:rPr>
            </w:pPr>
          </w:p>
        </w:tc>
        <w:tc>
          <w:tcPr>
            <w:tcW w:w="1140" w:type="dxa"/>
            <w:vAlign w:val="bottom"/>
            <w:gridSpan w:val="4"/>
          </w:tcPr>
          <w:p>
            <w:pPr>
              <w:jc w:val="right"/>
              <w:ind w:right="180"/>
              <w:spacing w:after="0"/>
              <w:rPr>
                <w:sz w:val="20"/>
                <w:szCs w:val="20"/>
                <w:color w:val="auto"/>
              </w:rPr>
            </w:pPr>
            <w:r>
              <w:rPr>
                <w:rFonts w:ascii="Times New Roman" w:cs="Times New Roman" w:eastAsia="Times New Roman" w:hAnsi="Times New Roman"/>
                <w:sz w:val="10"/>
                <w:szCs w:val="10"/>
                <w:b w:val="1"/>
                <w:bCs w:val="1"/>
                <w:color w:val="auto"/>
              </w:rPr>
              <w:t>ended September 30,</w:t>
            </w:r>
          </w:p>
        </w:tc>
        <w:tc>
          <w:tcPr>
            <w:tcW w:w="620" w:type="dxa"/>
            <w:vAlign w:val="bottom"/>
            <w:gridSpan w:val="2"/>
            <w:vMerge w:val="continue"/>
          </w:tcPr>
          <w:p>
            <w:pPr>
              <w:spacing w:after="0"/>
              <w:rPr>
                <w:sz w:val="10"/>
                <w:szCs w:val="10"/>
                <w:color w:val="auto"/>
              </w:rPr>
            </w:pPr>
          </w:p>
        </w:tc>
        <w:tc>
          <w:tcPr>
            <w:tcW w:w="2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240" w:type="dxa"/>
            <w:vAlign w:val="bottom"/>
            <w:gridSpan w:val="4"/>
          </w:tcPr>
          <w:p>
            <w:pPr>
              <w:jc w:val="right"/>
              <w:ind w:right="220"/>
              <w:spacing w:after="0"/>
              <w:rPr>
                <w:sz w:val="20"/>
                <w:szCs w:val="20"/>
                <w:color w:val="auto"/>
              </w:rPr>
            </w:pPr>
            <w:r>
              <w:rPr>
                <w:rFonts w:ascii="Times New Roman" w:cs="Times New Roman" w:eastAsia="Times New Roman" w:hAnsi="Times New Roman"/>
                <w:sz w:val="10"/>
                <w:szCs w:val="10"/>
                <w:b w:val="1"/>
                <w:bCs w:val="1"/>
                <w:color w:val="auto"/>
              </w:rPr>
              <w:t>ended September 30,</w:t>
            </w:r>
          </w:p>
        </w:tc>
        <w:tc>
          <w:tcPr>
            <w:tcW w:w="620" w:type="dxa"/>
            <w:vAlign w:val="bottom"/>
            <w:gridSpan w:val="2"/>
            <w:vMerge w:val="continue"/>
          </w:tcPr>
          <w:p>
            <w:pPr>
              <w:spacing w:after="0"/>
              <w:rPr>
                <w:sz w:val="10"/>
                <w:szCs w:val="10"/>
                <w:color w:val="auto"/>
              </w:rPr>
            </w:pPr>
          </w:p>
        </w:tc>
        <w:tc>
          <w:tcPr>
            <w:tcW w:w="2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4"/>
        </w:trPr>
        <w:tc>
          <w:tcPr>
            <w:tcW w:w="3460" w:type="dxa"/>
            <w:vAlign w:val="bottom"/>
            <w:tcBorders>
              <w:bottom w:val="single" w:sz="8" w:color="CCEEFF"/>
            </w:tcBorders>
          </w:tcPr>
          <w:p>
            <w:pPr>
              <w:spacing w:after="0"/>
              <w:rPr>
                <w:sz w:val="8"/>
                <w:szCs w:val="8"/>
                <w:color w:val="auto"/>
              </w:rPr>
            </w:pPr>
          </w:p>
        </w:tc>
        <w:tc>
          <w:tcPr>
            <w:tcW w:w="460" w:type="dxa"/>
            <w:vAlign w:val="bottom"/>
            <w:tcBorders>
              <w:top w:val="single" w:sz="8" w:color="auto"/>
              <w:bottom w:val="single" w:sz="8" w:color="auto"/>
            </w:tcBorders>
          </w:tcPr>
          <w:p>
            <w:pPr>
              <w:jc w:val="right"/>
              <w:ind w:right="61"/>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20" w:type="dxa"/>
            <w:vAlign w:val="bottom"/>
            <w:tcBorders>
              <w:top w:val="single" w:sz="8" w:color="auto"/>
              <w:bottom w:val="single" w:sz="8" w:color="CCEEFF"/>
            </w:tcBorders>
          </w:tcPr>
          <w:p>
            <w:pPr>
              <w:spacing w:after="0"/>
              <w:rPr>
                <w:sz w:val="8"/>
                <w:szCs w:val="8"/>
                <w:color w:val="auto"/>
              </w:rPr>
            </w:pPr>
          </w:p>
        </w:tc>
        <w:tc>
          <w:tcPr>
            <w:tcW w:w="440" w:type="dxa"/>
            <w:vAlign w:val="bottom"/>
            <w:tcBorders>
              <w:top w:val="single" w:sz="8" w:color="auto"/>
              <w:bottom w:val="single" w:sz="8" w:color="auto"/>
            </w:tcBorders>
          </w:tcPr>
          <w:p>
            <w:pPr>
              <w:jc w:val="right"/>
              <w:ind w:right="59"/>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120" w:type="dxa"/>
            <w:vAlign w:val="bottom"/>
            <w:tcBorders>
              <w:bottom w:val="single" w:sz="8" w:color="CCEEFF"/>
            </w:tcBorders>
          </w:tcPr>
          <w:p>
            <w:pPr>
              <w:spacing w:after="0"/>
              <w:rPr>
                <w:sz w:val="8"/>
                <w:szCs w:val="8"/>
                <w:color w:val="auto"/>
              </w:rPr>
            </w:pPr>
          </w:p>
        </w:tc>
        <w:tc>
          <w:tcPr>
            <w:tcW w:w="460" w:type="dxa"/>
            <w:vAlign w:val="bottom"/>
            <w:tcBorders>
              <w:top w:val="single" w:sz="8" w:color="auto"/>
              <w:bottom w:val="single" w:sz="8" w:color="auto"/>
            </w:tcBorders>
          </w:tcPr>
          <w:p>
            <w:pPr>
              <w:jc w:val="right"/>
              <w:ind w:right="140"/>
              <w:spacing w:after="0" w:line="94" w:lineRule="exact"/>
              <w:rPr>
                <w:sz w:val="20"/>
                <w:szCs w:val="20"/>
                <w:color w:val="auto"/>
              </w:rPr>
            </w:pPr>
            <w:r>
              <w:rPr>
                <w:rFonts w:ascii="Times New Roman" w:cs="Times New Roman" w:eastAsia="Times New Roman" w:hAnsi="Times New Roman"/>
                <w:sz w:val="10"/>
                <w:szCs w:val="10"/>
                <w:b w:val="1"/>
                <w:bCs w:val="1"/>
                <w:color w:val="auto"/>
              </w:rPr>
              <w:t>$</w:t>
            </w:r>
          </w:p>
        </w:tc>
        <w:tc>
          <w:tcPr>
            <w:tcW w:w="160" w:type="dxa"/>
            <w:vAlign w:val="bottom"/>
            <w:tcBorders>
              <w:top w:val="single" w:sz="8" w:color="auto"/>
              <w:bottom w:val="single" w:sz="8" w:color="CCEEFF"/>
            </w:tcBorders>
          </w:tcPr>
          <w:p>
            <w:pPr>
              <w:spacing w:after="0"/>
              <w:rPr>
                <w:sz w:val="8"/>
                <w:szCs w:val="8"/>
                <w:color w:val="auto"/>
              </w:rPr>
            </w:pPr>
          </w:p>
        </w:tc>
        <w:tc>
          <w:tcPr>
            <w:tcW w:w="220" w:type="dxa"/>
            <w:vAlign w:val="bottom"/>
            <w:tcBorders>
              <w:top w:val="single" w:sz="8" w:color="auto"/>
              <w:bottom w:val="single" w:sz="8" w:color="auto"/>
            </w:tcBorders>
          </w:tcPr>
          <w:p>
            <w:pPr>
              <w:jc w:val="right"/>
              <w:spacing w:after="0" w:line="94" w:lineRule="exact"/>
              <w:rPr>
                <w:sz w:val="20"/>
                <w:szCs w:val="20"/>
                <w:color w:val="auto"/>
              </w:rPr>
            </w:pPr>
            <w:r>
              <w:rPr>
                <w:rFonts w:ascii="Times New Roman" w:cs="Times New Roman" w:eastAsia="Times New Roman" w:hAnsi="Times New Roman"/>
                <w:sz w:val="10"/>
                <w:szCs w:val="10"/>
                <w:b w:val="1"/>
                <w:bCs w:val="1"/>
                <w:color w:val="auto"/>
              </w:rPr>
              <w:t>%</w:t>
            </w:r>
          </w:p>
        </w:tc>
        <w:tc>
          <w:tcPr>
            <w:tcW w:w="140" w:type="dxa"/>
            <w:vAlign w:val="bottom"/>
            <w:tcBorders>
              <w:bottom w:val="single" w:sz="8" w:color="CCEEFF"/>
            </w:tcBorders>
          </w:tcPr>
          <w:p>
            <w:pPr>
              <w:spacing w:after="0"/>
              <w:rPr>
                <w:sz w:val="8"/>
                <w:szCs w:val="8"/>
                <w:color w:val="auto"/>
              </w:rPr>
            </w:pPr>
          </w:p>
        </w:tc>
        <w:tc>
          <w:tcPr>
            <w:tcW w:w="560" w:type="dxa"/>
            <w:vAlign w:val="bottom"/>
            <w:tcBorders>
              <w:top w:val="single" w:sz="8" w:color="auto"/>
              <w:bottom w:val="single" w:sz="8" w:color="auto"/>
            </w:tcBorders>
          </w:tcPr>
          <w:p>
            <w:pPr>
              <w:jc w:val="right"/>
              <w:ind w:right="121"/>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20" w:type="dxa"/>
            <w:vAlign w:val="bottom"/>
            <w:tcBorders>
              <w:top w:val="single" w:sz="8" w:color="auto"/>
              <w:bottom w:val="single" w:sz="8" w:color="CCEEFF"/>
            </w:tcBorders>
          </w:tcPr>
          <w:p>
            <w:pPr>
              <w:spacing w:after="0"/>
              <w:rPr>
                <w:sz w:val="8"/>
                <w:szCs w:val="8"/>
                <w:color w:val="auto"/>
              </w:rPr>
            </w:pPr>
          </w:p>
        </w:tc>
        <w:tc>
          <w:tcPr>
            <w:tcW w:w="440" w:type="dxa"/>
            <w:vAlign w:val="bottom"/>
            <w:tcBorders>
              <w:top w:val="single" w:sz="8" w:color="auto"/>
              <w:bottom w:val="single" w:sz="8" w:color="auto"/>
            </w:tcBorders>
          </w:tcPr>
          <w:p>
            <w:pPr>
              <w:jc w:val="right"/>
              <w:ind w:right="59"/>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120" w:type="dxa"/>
            <w:vAlign w:val="bottom"/>
            <w:tcBorders>
              <w:bottom w:val="single" w:sz="8" w:color="CCEEFF"/>
            </w:tcBorders>
          </w:tcPr>
          <w:p>
            <w:pPr>
              <w:spacing w:after="0"/>
              <w:rPr>
                <w:sz w:val="8"/>
                <w:szCs w:val="8"/>
                <w:color w:val="auto"/>
              </w:rPr>
            </w:pPr>
          </w:p>
        </w:tc>
        <w:tc>
          <w:tcPr>
            <w:tcW w:w="460" w:type="dxa"/>
            <w:vAlign w:val="bottom"/>
            <w:tcBorders>
              <w:top w:val="single" w:sz="8" w:color="auto"/>
              <w:bottom w:val="single" w:sz="8" w:color="auto"/>
            </w:tcBorders>
          </w:tcPr>
          <w:p>
            <w:pPr>
              <w:jc w:val="right"/>
              <w:ind w:right="140"/>
              <w:spacing w:after="0" w:line="94" w:lineRule="exact"/>
              <w:rPr>
                <w:sz w:val="20"/>
                <w:szCs w:val="20"/>
                <w:color w:val="auto"/>
              </w:rPr>
            </w:pPr>
            <w:r>
              <w:rPr>
                <w:rFonts w:ascii="Times New Roman" w:cs="Times New Roman" w:eastAsia="Times New Roman" w:hAnsi="Times New Roman"/>
                <w:sz w:val="10"/>
                <w:szCs w:val="10"/>
                <w:b w:val="1"/>
                <w:bCs w:val="1"/>
                <w:color w:val="auto"/>
              </w:rPr>
              <w:t>$</w:t>
            </w:r>
          </w:p>
        </w:tc>
        <w:tc>
          <w:tcPr>
            <w:tcW w:w="160" w:type="dxa"/>
            <w:vAlign w:val="bottom"/>
            <w:tcBorders>
              <w:top w:val="single" w:sz="8" w:color="auto"/>
              <w:bottom w:val="single" w:sz="8" w:color="CCEEFF"/>
            </w:tcBorders>
          </w:tcPr>
          <w:p>
            <w:pPr>
              <w:spacing w:after="0"/>
              <w:rPr>
                <w:sz w:val="8"/>
                <w:szCs w:val="8"/>
                <w:color w:val="auto"/>
              </w:rPr>
            </w:pPr>
          </w:p>
        </w:tc>
        <w:tc>
          <w:tcPr>
            <w:tcW w:w="220" w:type="dxa"/>
            <w:vAlign w:val="bottom"/>
            <w:tcBorders>
              <w:top w:val="single" w:sz="8" w:color="auto"/>
              <w:bottom w:val="single" w:sz="8" w:color="auto"/>
            </w:tcBorders>
          </w:tcPr>
          <w:p>
            <w:pPr>
              <w:jc w:val="right"/>
              <w:spacing w:after="0" w:line="94" w:lineRule="exact"/>
              <w:rPr>
                <w:sz w:val="20"/>
                <w:szCs w:val="20"/>
                <w:color w:val="auto"/>
              </w:rPr>
            </w:pPr>
            <w:r>
              <w:rPr>
                <w:rFonts w:ascii="Times New Roman" w:cs="Times New Roman" w:eastAsia="Times New Roman" w:hAnsi="Times New Roman"/>
                <w:sz w:val="10"/>
                <w:szCs w:val="10"/>
                <w:b w:val="1"/>
                <w:bCs w:val="1"/>
                <w:color w:val="auto"/>
              </w:rPr>
              <w:t>%</w:t>
            </w:r>
          </w:p>
        </w:tc>
        <w:tc>
          <w:tcPr>
            <w:tcW w:w="80" w:type="dxa"/>
            <w:vAlign w:val="bottom"/>
            <w:tcBorders>
              <w:bottom w:val="single" w:sz="8" w:color="CCEEFF"/>
            </w:tcBorders>
          </w:tcPr>
          <w:p>
            <w:pPr>
              <w:spacing w:after="0"/>
              <w:rPr>
                <w:sz w:val="8"/>
                <w:szCs w:val="8"/>
                <w:color w:val="auto"/>
              </w:rPr>
            </w:pPr>
          </w:p>
        </w:tc>
        <w:tc>
          <w:tcPr>
            <w:tcW w:w="0" w:type="dxa"/>
            <w:vAlign w:val="bottom"/>
          </w:tcPr>
          <w:p>
            <w:pPr>
              <w:spacing w:after="0"/>
              <w:rPr>
                <w:sz w:val="1"/>
                <w:szCs w:val="1"/>
                <w:color w:val="auto"/>
              </w:rPr>
            </w:pPr>
          </w:p>
        </w:tc>
      </w:tr>
      <w:tr>
        <w:trPr>
          <w:trHeight w:val="132"/>
        </w:trPr>
        <w:tc>
          <w:tcPr>
            <w:tcW w:w="3460" w:type="dxa"/>
            <w:vAlign w:val="bottom"/>
            <w:shd w:val="clear" w:color="auto" w:fill="CCEEFF"/>
          </w:tcPr>
          <w:p>
            <w:pPr>
              <w:spacing w:after="0" w:line="132" w:lineRule="exact"/>
              <w:rPr>
                <w:sz w:val="20"/>
                <w:szCs w:val="20"/>
                <w:color w:val="auto"/>
              </w:rPr>
            </w:pPr>
            <w:r>
              <w:rPr>
                <w:rFonts w:ascii="Times New Roman" w:cs="Times New Roman" w:eastAsia="Times New Roman" w:hAnsi="Times New Roman"/>
                <w:sz w:val="13"/>
                <w:szCs w:val="13"/>
                <w:b w:val="1"/>
                <w:bCs w:val="1"/>
                <w:color w:val="auto"/>
              </w:rPr>
              <w:t>Revenues</w:t>
            </w:r>
          </w:p>
        </w:tc>
        <w:tc>
          <w:tcPr>
            <w:tcW w:w="4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160" w:type="dxa"/>
            <w:vAlign w:val="bottom"/>
            <w:tcBorders>
              <w:right w:val="single" w:sz="8" w:color="CCEEFF"/>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160" w:type="dxa"/>
            <w:vAlign w:val="bottom"/>
            <w:tcBorders>
              <w:right w:val="single" w:sz="8" w:color="CCEEFF"/>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2"/>
        </w:trPr>
        <w:tc>
          <w:tcPr>
            <w:tcW w:w="3460" w:type="dxa"/>
            <w:vAlign w:val="bottom"/>
          </w:tcPr>
          <w:p>
            <w:pPr>
              <w:spacing w:after="0"/>
              <w:rPr>
                <w:sz w:val="20"/>
                <w:szCs w:val="20"/>
                <w:color w:val="auto"/>
              </w:rPr>
            </w:pPr>
            <w:r>
              <w:rPr>
                <w:rFonts w:ascii="Times New Roman" w:cs="Times New Roman" w:eastAsia="Times New Roman" w:hAnsi="Times New Roman"/>
                <w:sz w:val="13"/>
                <w:szCs w:val="13"/>
                <w:color w:val="auto"/>
              </w:rPr>
              <w:t>Sales of vehicles</w:t>
            </w:r>
          </w:p>
        </w:tc>
        <w:tc>
          <w:tcPr>
            <w:tcW w:w="58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425,299</w:t>
            </w:r>
          </w:p>
        </w:tc>
        <w:tc>
          <w:tcPr>
            <w:tcW w:w="56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w w:val="99"/>
              </w:rPr>
              <w:t>204,869</w:t>
            </w:r>
          </w:p>
        </w:tc>
        <w:tc>
          <w:tcPr>
            <w:tcW w:w="620" w:type="dxa"/>
            <w:vAlign w:val="bottom"/>
            <w:gridSpan w:val="2"/>
          </w:tcPr>
          <w:p>
            <w:pPr>
              <w:jc w:val="right"/>
              <w:ind w:right="160"/>
              <w:spacing w:after="0"/>
              <w:rPr>
                <w:sz w:val="20"/>
                <w:szCs w:val="20"/>
                <w:color w:val="auto"/>
              </w:rPr>
            </w:pPr>
            <w:r>
              <w:rPr>
                <w:rFonts w:ascii="Times New Roman" w:cs="Times New Roman" w:eastAsia="Times New Roman" w:hAnsi="Times New Roman"/>
                <w:sz w:val="13"/>
                <w:szCs w:val="13"/>
                <w:color w:val="auto"/>
              </w:rPr>
              <w:t>220,430</w:t>
            </w:r>
          </w:p>
        </w:tc>
        <w:tc>
          <w:tcPr>
            <w:tcW w:w="36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color w:val="auto"/>
              </w:rPr>
              <w:t>108</w:t>
            </w:r>
          </w:p>
        </w:tc>
        <w:tc>
          <w:tcPr>
            <w:tcW w:w="56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1,442,116</w:t>
            </w:r>
          </w:p>
        </w:tc>
        <w:tc>
          <w:tcPr>
            <w:tcW w:w="120" w:type="dxa"/>
            <w:vAlign w:val="bottom"/>
          </w:tcPr>
          <w:p>
            <w:pPr>
              <w:spacing w:after="0"/>
              <w:rPr>
                <w:sz w:val="13"/>
                <w:szCs w:val="13"/>
                <w:color w:val="auto"/>
              </w:rPr>
            </w:pPr>
          </w:p>
        </w:tc>
        <w:tc>
          <w:tcPr>
            <w:tcW w:w="440" w:type="dxa"/>
            <w:vAlign w:val="bottom"/>
          </w:tcPr>
          <w:p>
            <w:pPr>
              <w:jc w:val="right"/>
              <w:spacing w:after="0"/>
              <w:rPr>
                <w:sz w:val="20"/>
                <w:szCs w:val="20"/>
                <w:color w:val="auto"/>
              </w:rPr>
            </w:pPr>
            <w:r>
              <w:rPr>
                <w:rFonts w:ascii="Times New Roman" w:cs="Times New Roman" w:eastAsia="Times New Roman" w:hAnsi="Times New Roman"/>
                <w:sz w:val="13"/>
                <w:szCs w:val="13"/>
                <w:color w:val="auto"/>
                <w:w w:val="99"/>
              </w:rPr>
              <w:t>722,152</w:t>
            </w:r>
          </w:p>
        </w:tc>
        <w:tc>
          <w:tcPr>
            <w:tcW w:w="120" w:type="dxa"/>
            <w:vAlign w:val="bottom"/>
          </w:tcPr>
          <w:p>
            <w:pPr>
              <w:spacing w:after="0"/>
              <w:rPr>
                <w:sz w:val="13"/>
                <w:szCs w:val="13"/>
                <w:color w:val="auto"/>
              </w:rPr>
            </w:pPr>
          </w:p>
        </w:tc>
        <w:tc>
          <w:tcPr>
            <w:tcW w:w="620" w:type="dxa"/>
            <w:vAlign w:val="bottom"/>
            <w:gridSpan w:val="2"/>
          </w:tcPr>
          <w:p>
            <w:pPr>
              <w:jc w:val="right"/>
              <w:ind w:right="160"/>
              <w:spacing w:after="0"/>
              <w:rPr>
                <w:sz w:val="20"/>
                <w:szCs w:val="20"/>
                <w:color w:val="auto"/>
              </w:rPr>
            </w:pPr>
            <w:r>
              <w:rPr>
                <w:rFonts w:ascii="Times New Roman" w:cs="Times New Roman" w:eastAsia="Times New Roman" w:hAnsi="Times New Roman"/>
                <w:sz w:val="13"/>
                <w:szCs w:val="13"/>
                <w:color w:val="auto"/>
              </w:rPr>
              <w:t>719,964</w:t>
            </w:r>
          </w:p>
        </w:tc>
        <w:tc>
          <w:tcPr>
            <w:tcW w:w="30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rPr>
              <w:t>100</w:t>
            </w:r>
          </w:p>
        </w:tc>
        <w:tc>
          <w:tcPr>
            <w:tcW w:w="0" w:type="dxa"/>
            <w:vAlign w:val="bottom"/>
          </w:tcPr>
          <w:p>
            <w:pPr>
              <w:spacing w:after="0"/>
              <w:rPr>
                <w:sz w:val="1"/>
                <w:szCs w:val="1"/>
                <w:color w:val="auto"/>
              </w:rPr>
            </w:pPr>
          </w:p>
        </w:tc>
      </w:tr>
      <w:tr>
        <w:trPr>
          <w:trHeight w:val="152"/>
        </w:trPr>
        <w:tc>
          <w:tcPr>
            <w:tcW w:w="346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Sales of software and performance engineered kits</w:t>
            </w:r>
          </w:p>
        </w:tc>
        <w:tc>
          <w:tcPr>
            <w:tcW w:w="5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4,451</w:t>
            </w:r>
          </w:p>
        </w:tc>
        <w:tc>
          <w:tcPr>
            <w:tcW w:w="5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5,537</w:t>
            </w:r>
          </w:p>
        </w:tc>
        <w:tc>
          <w:tcPr>
            <w:tcW w:w="620" w:type="dxa"/>
            <w:vAlign w:val="bottom"/>
            <w:tcBorders>
              <w:right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(1,086)</w:t>
            </w:r>
          </w:p>
        </w:tc>
        <w:tc>
          <w:tcPr>
            <w:tcW w:w="3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(20)</w:t>
            </w:r>
          </w:p>
        </w:tc>
        <w:tc>
          <w:tcPr>
            <w:tcW w:w="6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15,313</w:t>
            </w:r>
          </w:p>
        </w:tc>
        <w:tc>
          <w:tcPr>
            <w:tcW w:w="5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19,817</w:t>
            </w:r>
          </w:p>
        </w:tc>
        <w:tc>
          <w:tcPr>
            <w:tcW w:w="620" w:type="dxa"/>
            <w:vAlign w:val="bottom"/>
            <w:tcBorders>
              <w:right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(4,504)</w:t>
            </w:r>
          </w:p>
        </w:tc>
        <w:tc>
          <w:tcPr>
            <w:tcW w:w="30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(23)</w:t>
            </w:r>
          </w:p>
        </w:tc>
        <w:tc>
          <w:tcPr>
            <w:tcW w:w="0" w:type="dxa"/>
            <w:vAlign w:val="bottom"/>
          </w:tcPr>
          <w:p>
            <w:pPr>
              <w:spacing w:after="0"/>
              <w:rPr>
                <w:sz w:val="1"/>
                <w:szCs w:val="1"/>
                <w:color w:val="auto"/>
              </w:rPr>
            </w:pPr>
          </w:p>
        </w:tc>
      </w:tr>
      <w:tr>
        <w:trPr>
          <w:trHeight w:val="152"/>
        </w:trPr>
        <w:tc>
          <w:tcPr>
            <w:tcW w:w="3460" w:type="dxa"/>
            <w:vAlign w:val="bottom"/>
          </w:tcPr>
          <w:p>
            <w:pPr>
              <w:spacing w:after="0"/>
              <w:rPr>
                <w:sz w:val="20"/>
                <w:szCs w:val="20"/>
                <w:color w:val="auto"/>
              </w:rPr>
            </w:pPr>
            <w:r>
              <w:rPr>
                <w:rFonts w:ascii="Times New Roman" w:cs="Times New Roman" w:eastAsia="Times New Roman" w:hAnsi="Times New Roman"/>
                <w:sz w:val="13"/>
                <w:szCs w:val="13"/>
                <w:color w:val="auto"/>
              </w:rPr>
              <w:t>Sales of carbon credits</w:t>
            </w:r>
          </w:p>
        </w:tc>
        <w:tc>
          <w:tcPr>
            <w:tcW w:w="58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162</w:t>
            </w:r>
          </w:p>
        </w:tc>
        <w:tc>
          <w:tcPr>
            <w:tcW w:w="56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w:t>
            </w:r>
          </w:p>
        </w:tc>
        <w:tc>
          <w:tcPr>
            <w:tcW w:w="620" w:type="dxa"/>
            <w:vAlign w:val="bottom"/>
            <w:gridSpan w:val="2"/>
          </w:tcPr>
          <w:p>
            <w:pPr>
              <w:jc w:val="right"/>
              <w:ind w:right="160"/>
              <w:spacing w:after="0"/>
              <w:rPr>
                <w:sz w:val="20"/>
                <w:szCs w:val="20"/>
                <w:color w:val="auto"/>
              </w:rPr>
            </w:pPr>
            <w:r>
              <w:rPr>
                <w:rFonts w:ascii="Times New Roman" w:cs="Times New Roman" w:eastAsia="Times New Roman" w:hAnsi="Times New Roman"/>
                <w:sz w:val="13"/>
                <w:szCs w:val="13"/>
                <w:color w:val="auto"/>
              </w:rPr>
              <w:t>162</w:t>
            </w:r>
          </w:p>
        </w:tc>
        <w:tc>
          <w:tcPr>
            <w:tcW w:w="360" w:type="dxa"/>
            <w:vAlign w:val="bottom"/>
            <w:gridSpan w:val="2"/>
          </w:tcPr>
          <w:p>
            <w:pPr>
              <w:jc w:val="right"/>
              <w:ind w:right="200"/>
              <w:spacing w:after="0"/>
              <w:rPr>
                <w:sz w:val="20"/>
                <w:szCs w:val="20"/>
                <w:color w:val="auto"/>
              </w:rPr>
            </w:pPr>
            <w:r>
              <w:rPr>
                <w:rFonts w:ascii="Times New Roman" w:cs="Times New Roman" w:eastAsia="Times New Roman" w:hAnsi="Times New Roman"/>
                <w:sz w:val="13"/>
                <w:szCs w:val="13"/>
                <w:color w:val="auto"/>
              </w:rPr>
              <w:t>—</w:t>
            </w:r>
          </w:p>
        </w:tc>
        <w:tc>
          <w:tcPr>
            <w:tcW w:w="56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1,475</w:t>
            </w:r>
          </w:p>
        </w:tc>
        <w:tc>
          <w:tcPr>
            <w:tcW w:w="120" w:type="dxa"/>
            <w:vAlign w:val="bottom"/>
          </w:tcPr>
          <w:p>
            <w:pPr>
              <w:spacing w:after="0"/>
              <w:rPr>
                <w:sz w:val="13"/>
                <w:szCs w:val="13"/>
                <w:color w:val="auto"/>
              </w:rPr>
            </w:pPr>
          </w:p>
        </w:tc>
        <w:tc>
          <w:tcPr>
            <w:tcW w:w="56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w:t>
            </w:r>
          </w:p>
        </w:tc>
        <w:tc>
          <w:tcPr>
            <w:tcW w:w="620" w:type="dxa"/>
            <w:vAlign w:val="bottom"/>
            <w:gridSpan w:val="2"/>
          </w:tcPr>
          <w:p>
            <w:pPr>
              <w:jc w:val="right"/>
              <w:ind w:right="160"/>
              <w:spacing w:after="0"/>
              <w:rPr>
                <w:sz w:val="20"/>
                <w:szCs w:val="20"/>
                <w:color w:val="auto"/>
              </w:rPr>
            </w:pPr>
            <w:r>
              <w:rPr>
                <w:rFonts w:ascii="Times New Roman" w:cs="Times New Roman" w:eastAsia="Times New Roman" w:hAnsi="Times New Roman"/>
                <w:sz w:val="13"/>
                <w:szCs w:val="13"/>
                <w:color w:val="auto"/>
              </w:rPr>
              <w:t>1,475</w:t>
            </w:r>
          </w:p>
        </w:tc>
        <w:tc>
          <w:tcPr>
            <w:tcW w:w="30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color w:val="auto"/>
              </w:rPr>
              <w:t>—</w:t>
            </w:r>
          </w:p>
        </w:tc>
        <w:tc>
          <w:tcPr>
            <w:tcW w:w="0" w:type="dxa"/>
            <w:vAlign w:val="bottom"/>
          </w:tcPr>
          <w:p>
            <w:pPr>
              <w:spacing w:after="0"/>
              <w:rPr>
                <w:sz w:val="1"/>
                <w:szCs w:val="1"/>
                <w:color w:val="auto"/>
              </w:rPr>
            </w:pPr>
          </w:p>
        </w:tc>
      </w:tr>
      <w:tr>
        <w:trPr>
          <w:trHeight w:val="152"/>
        </w:trPr>
        <w:tc>
          <w:tcPr>
            <w:tcW w:w="346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Vehicle leasing revenue</w:t>
            </w:r>
          </w:p>
        </w:tc>
        <w:tc>
          <w:tcPr>
            <w:tcW w:w="5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4,559</w:t>
            </w:r>
          </w:p>
        </w:tc>
        <w:tc>
          <w:tcPr>
            <w:tcW w:w="5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2,001</w:t>
            </w:r>
          </w:p>
        </w:tc>
        <w:tc>
          <w:tcPr>
            <w:tcW w:w="620" w:type="dxa"/>
            <w:vAlign w:val="bottom"/>
            <w:tcBorders>
              <w:right w:val="single" w:sz="8" w:color="CCEEFF"/>
            </w:tcBorders>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3"/>
                <w:szCs w:val="13"/>
                <w:color w:val="auto"/>
              </w:rPr>
              <w:t>2,558</w:t>
            </w:r>
          </w:p>
        </w:tc>
        <w:tc>
          <w:tcPr>
            <w:tcW w:w="36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color w:val="auto"/>
              </w:rPr>
              <w:t>128</w:t>
            </w:r>
          </w:p>
        </w:tc>
        <w:tc>
          <w:tcPr>
            <w:tcW w:w="6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12,493</w:t>
            </w:r>
          </w:p>
        </w:tc>
        <w:tc>
          <w:tcPr>
            <w:tcW w:w="4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2,155</w:t>
            </w:r>
          </w:p>
        </w:tc>
        <w:tc>
          <w:tcPr>
            <w:tcW w:w="120" w:type="dxa"/>
            <w:vAlign w:val="bottom"/>
            <w:shd w:val="clear" w:color="auto" w:fill="CCEEFF"/>
          </w:tcPr>
          <w:p>
            <w:pPr>
              <w:spacing w:after="0"/>
              <w:rPr>
                <w:sz w:val="13"/>
                <w:szCs w:val="13"/>
                <w:color w:val="auto"/>
              </w:rPr>
            </w:pPr>
          </w:p>
        </w:tc>
        <w:tc>
          <w:tcPr>
            <w:tcW w:w="620" w:type="dxa"/>
            <w:vAlign w:val="bottom"/>
            <w:tcBorders>
              <w:right w:val="single" w:sz="8" w:color="CCEEFF"/>
            </w:tcBorders>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3"/>
                <w:szCs w:val="13"/>
                <w:color w:val="auto"/>
              </w:rPr>
              <w:t>10,338</w:t>
            </w:r>
          </w:p>
        </w:tc>
        <w:tc>
          <w:tcPr>
            <w:tcW w:w="30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3"/>
                <w:szCs w:val="13"/>
                <w:color w:val="auto"/>
              </w:rPr>
              <w:t>480</w:t>
            </w:r>
          </w:p>
        </w:tc>
        <w:tc>
          <w:tcPr>
            <w:tcW w:w="0" w:type="dxa"/>
            <w:vAlign w:val="bottom"/>
          </w:tcPr>
          <w:p>
            <w:pPr>
              <w:spacing w:after="0"/>
              <w:rPr>
                <w:sz w:val="1"/>
                <w:szCs w:val="1"/>
                <w:color w:val="auto"/>
              </w:rPr>
            </w:pPr>
          </w:p>
        </w:tc>
      </w:tr>
      <w:tr>
        <w:trPr>
          <w:trHeight w:val="152"/>
        </w:trPr>
        <w:tc>
          <w:tcPr>
            <w:tcW w:w="3460" w:type="dxa"/>
            <w:vAlign w:val="bottom"/>
          </w:tcPr>
          <w:p>
            <w:pPr>
              <w:spacing w:after="0"/>
              <w:rPr>
                <w:sz w:val="20"/>
                <w:szCs w:val="20"/>
                <w:color w:val="auto"/>
              </w:rPr>
            </w:pPr>
            <w:r>
              <w:rPr>
                <w:rFonts w:ascii="Times New Roman" w:cs="Times New Roman" w:eastAsia="Times New Roman" w:hAnsi="Times New Roman"/>
                <w:sz w:val="13"/>
                <w:szCs w:val="13"/>
                <w:color w:val="auto"/>
              </w:rPr>
              <w:t>Other revenue</w:t>
            </w:r>
          </w:p>
        </w:tc>
        <w:tc>
          <w:tcPr>
            <w:tcW w:w="58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978</w:t>
            </w:r>
          </w:p>
        </w:tc>
        <w:tc>
          <w:tcPr>
            <w:tcW w:w="56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489</w:t>
            </w:r>
          </w:p>
        </w:tc>
        <w:tc>
          <w:tcPr>
            <w:tcW w:w="620" w:type="dxa"/>
            <w:vAlign w:val="bottom"/>
            <w:gridSpan w:val="2"/>
          </w:tcPr>
          <w:p>
            <w:pPr>
              <w:jc w:val="right"/>
              <w:ind w:right="160"/>
              <w:spacing w:after="0"/>
              <w:rPr>
                <w:sz w:val="20"/>
                <w:szCs w:val="20"/>
                <w:color w:val="auto"/>
              </w:rPr>
            </w:pPr>
            <w:r>
              <w:rPr>
                <w:rFonts w:ascii="Times New Roman" w:cs="Times New Roman" w:eastAsia="Times New Roman" w:hAnsi="Times New Roman"/>
                <w:sz w:val="13"/>
                <w:szCs w:val="13"/>
                <w:color w:val="auto"/>
              </w:rPr>
              <w:t>489</w:t>
            </w:r>
          </w:p>
        </w:tc>
        <w:tc>
          <w:tcPr>
            <w:tcW w:w="36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color w:val="auto"/>
              </w:rPr>
              <w:t>100</w:t>
            </w:r>
          </w:p>
        </w:tc>
        <w:tc>
          <w:tcPr>
            <w:tcW w:w="56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5,349</w:t>
            </w:r>
          </w:p>
        </w:tc>
        <w:tc>
          <w:tcPr>
            <w:tcW w:w="120" w:type="dxa"/>
            <w:vAlign w:val="bottom"/>
          </w:tcPr>
          <w:p>
            <w:pPr>
              <w:spacing w:after="0"/>
              <w:rPr>
                <w:sz w:val="13"/>
                <w:szCs w:val="13"/>
                <w:color w:val="auto"/>
              </w:rPr>
            </w:pPr>
          </w:p>
        </w:tc>
        <w:tc>
          <w:tcPr>
            <w:tcW w:w="4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3,550</w:t>
            </w:r>
          </w:p>
        </w:tc>
        <w:tc>
          <w:tcPr>
            <w:tcW w:w="120" w:type="dxa"/>
            <w:vAlign w:val="bottom"/>
          </w:tcPr>
          <w:p>
            <w:pPr>
              <w:spacing w:after="0"/>
              <w:rPr>
                <w:sz w:val="13"/>
                <w:szCs w:val="13"/>
                <w:color w:val="auto"/>
              </w:rPr>
            </w:pPr>
          </w:p>
        </w:tc>
        <w:tc>
          <w:tcPr>
            <w:tcW w:w="620" w:type="dxa"/>
            <w:vAlign w:val="bottom"/>
            <w:gridSpan w:val="2"/>
          </w:tcPr>
          <w:p>
            <w:pPr>
              <w:jc w:val="right"/>
              <w:ind w:right="160"/>
              <w:spacing w:after="0"/>
              <w:rPr>
                <w:sz w:val="20"/>
                <w:szCs w:val="20"/>
                <w:color w:val="auto"/>
              </w:rPr>
            </w:pPr>
            <w:r>
              <w:rPr>
                <w:rFonts w:ascii="Times New Roman" w:cs="Times New Roman" w:eastAsia="Times New Roman" w:hAnsi="Times New Roman"/>
                <w:sz w:val="13"/>
                <w:szCs w:val="13"/>
                <w:color w:val="auto"/>
              </w:rPr>
              <w:t>1,799</w:t>
            </w:r>
          </w:p>
        </w:tc>
        <w:tc>
          <w:tcPr>
            <w:tcW w:w="30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rPr>
              <w:t>51</w:t>
            </w:r>
          </w:p>
        </w:tc>
        <w:tc>
          <w:tcPr>
            <w:tcW w:w="0" w:type="dxa"/>
            <w:vAlign w:val="bottom"/>
          </w:tcPr>
          <w:p>
            <w:pPr>
              <w:spacing w:after="0"/>
              <w:rPr>
                <w:sz w:val="1"/>
                <w:szCs w:val="1"/>
                <w:color w:val="auto"/>
              </w:rPr>
            </w:pPr>
          </w:p>
        </w:tc>
      </w:tr>
      <w:tr>
        <w:trPr>
          <w:trHeight w:val="20"/>
        </w:trPr>
        <w:tc>
          <w:tcPr>
            <w:tcW w:w="346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1"/>
        </w:trPr>
        <w:tc>
          <w:tcPr>
            <w:tcW w:w="346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Total</w:t>
            </w:r>
          </w:p>
        </w:tc>
        <w:tc>
          <w:tcPr>
            <w:tcW w:w="5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b w:val="1"/>
                <w:bCs w:val="1"/>
                <w:color w:val="auto"/>
              </w:rPr>
              <w:t>435,449</w:t>
            </w:r>
          </w:p>
        </w:tc>
        <w:tc>
          <w:tcPr>
            <w:tcW w:w="5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b w:val="1"/>
                <w:bCs w:val="1"/>
                <w:color w:val="auto"/>
                <w:w w:val="99"/>
              </w:rPr>
              <w:t>212,896</w:t>
            </w:r>
          </w:p>
        </w:tc>
        <w:tc>
          <w:tcPr>
            <w:tcW w:w="620" w:type="dxa"/>
            <w:vAlign w:val="bottom"/>
            <w:tcBorders>
              <w:right w:val="single" w:sz="8" w:color="CCEEFF"/>
            </w:tcBorders>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3"/>
                <w:szCs w:val="13"/>
                <w:b w:val="1"/>
                <w:bCs w:val="1"/>
                <w:color w:val="auto"/>
              </w:rPr>
              <w:t>222,553</w:t>
            </w:r>
          </w:p>
        </w:tc>
        <w:tc>
          <w:tcPr>
            <w:tcW w:w="36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b w:val="1"/>
                <w:bCs w:val="1"/>
                <w:color w:val="auto"/>
              </w:rPr>
              <w:t>105</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1,476,746</w:t>
            </w:r>
          </w:p>
        </w:tc>
        <w:tc>
          <w:tcPr>
            <w:tcW w:w="120" w:type="dxa"/>
            <w:vAlign w:val="bottom"/>
            <w:shd w:val="clear" w:color="auto" w:fill="CCEEFF"/>
          </w:tcPr>
          <w:p>
            <w:pPr>
              <w:spacing w:after="0"/>
              <w:rPr>
                <w:sz w:val="13"/>
                <w:szCs w:val="13"/>
                <w:color w:val="auto"/>
              </w:rPr>
            </w:pPr>
          </w:p>
        </w:tc>
        <w:tc>
          <w:tcPr>
            <w:tcW w:w="4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w w:val="99"/>
              </w:rPr>
              <w:t>747,674</w:t>
            </w:r>
          </w:p>
        </w:tc>
        <w:tc>
          <w:tcPr>
            <w:tcW w:w="120" w:type="dxa"/>
            <w:vAlign w:val="bottom"/>
            <w:shd w:val="clear" w:color="auto" w:fill="CCEEFF"/>
          </w:tcPr>
          <w:p>
            <w:pPr>
              <w:spacing w:after="0"/>
              <w:rPr>
                <w:sz w:val="13"/>
                <w:szCs w:val="13"/>
                <w:color w:val="auto"/>
              </w:rPr>
            </w:pPr>
          </w:p>
        </w:tc>
        <w:tc>
          <w:tcPr>
            <w:tcW w:w="620" w:type="dxa"/>
            <w:vAlign w:val="bottom"/>
            <w:tcBorders>
              <w:right w:val="single" w:sz="8" w:color="CCEEFF"/>
            </w:tcBorders>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3"/>
                <w:szCs w:val="13"/>
                <w:b w:val="1"/>
                <w:bCs w:val="1"/>
                <w:color w:val="auto"/>
              </w:rPr>
              <w:t>729,072</w:t>
            </w:r>
          </w:p>
        </w:tc>
        <w:tc>
          <w:tcPr>
            <w:tcW w:w="30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3"/>
                <w:szCs w:val="13"/>
                <w:b w:val="1"/>
                <w:bCs w:val="1"/>
                <w:color w:val="auto"/>
              </w:rPr>
              <w:t>98</w:t>
            </w:r>
          </w:p>
        </w:tc>
        <w:tc>
          <w:tcPr>
            <w:tcW w:w="0" w:type="dxa"/>
            <w:vAlign w:val="bottom"/>
          </w:tcPr>
          <w:p>
            <w:pPr>
              <w:spacing w:after="0"/>
              <w:rPr>
                <w:sz w:val="1"/>
                <w:szCs w:val="1"/>
                <w:color w:val="auto"/>
              </w:rPr>
            </w:pPr>
          </w:p>
        </w:tc>
      </w:tr>
      <w:tr>
        <w:trPr>
          <w:trHeight w:val="20"/>
        </w:trPr>
        <w:tc>
          <w:tcPr>
            <w:tcW w:w="346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4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Sales of vehicles increased by $220,430, or 108%, from $204,869 for the three months ended September 30, 2021 to $425,299 for the three months</w:t>
      </w:r>
    </w:p>
    <w:p>
      <w:pPr>
        <w:spacing w:after="0" w:line="15"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ended September 30, 2022. Sales of vehicles increased by $719,964, or 100%, from $722,152 for the nine months ended September 30, 2021 to</w:t>
      </w:r>
    </w:p>
    <w:p>
      <w:pPr>
        <w:spacing w:after="0" w:line="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$1,442,116 for the nine months ended September 30, 2022. The increase was driven by greater volumes of Polestar 2 sales across major geographic</w:t>
      </w:r>
    </w:p>
    <w:p>
      <w:pPr>
        <w:spacing w:after="0" w:line="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markets such as the United States, the United Kingdom, Germany, Sweden, and South Korea.</w:t>
      </w:r>
    </w:p>
    <w:p>
      <w:pPr>
        <w:spacing w:after="0" w:line="9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6</w:t>
      </w:r>
    </w:p>
    <w:p>
      <w:pPr>
        <w:sectPr>
          <w:pgSz w:w="11900" w:h="16838" w:orient="portrait"/>
          <w:cols w:equalWidth="0" w:num="1">
            <w:col w:w="9019"/>
          </w:cols>
          <w:pgMar w:left="1440" w:top="229" w:right="1440" w:bottom="1440" w:gutter="0" w:footer="0" w:header="0"/>
        </w:sectPr>
      </w:pPr>
    </w:p>
    <w:bookmarkStart w:id="49" w:name="page50"/>
    <w:bookmarkEnd w:id="49"/>
    <w:p>
      <w:pPr>
        <w:ind w:left="640" w:right="919"/>
        <w:spacing w:after="0" w:line="250" w:lineRule="auto"/>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10425" cy="30480"/>
                    </a:xfrm>
                    <a:prstGeom prst="rect">
                      <a:avLst/>
                    </a:prstGeom>
                    <a:noFill/>
                  </pic:spPr>
                </pic:pic>
              </a:graphicData>
            </a:graphic>
          </wp:anchor>
        </w:drawing>
        <w:t>Revenue per vehicle decreased slightly for the nine months ended September 30, 2022 compared to the nine months ended September 30, 2021 primarily due to Polestar 2 model mix and market mix. During the nine months ended September 30, 2021, the majority of vehicles sold were long-range dual motor variants of the Polestar 2 while the lower priced long-range single motor and</w:t>
      </w:r>
    </w:p>
    <w:p>
      <w:pPr>
        <w:spacing w:after="0" w:line="1" w:lineRule="exact"/>
        <w:rPr>
          <w:sz w:val="20"/>
          <w:szCs w:val="20"/>
          <w:color w:val="auto"/>
        </w:rPr>
      </w:pPr>
    </w:p>
    <w:p>
      <w:pPr>
        <w:ind w:left="640" w:right="839"/>
        <w:spacing w:after="0" w:line="245" w:lineRule="auto"/>
        <w:rPr>
          <w:sz w:val="20"/>
          <w:szCs w:val="20"/>
          <w:color w:val="auto"/>
        </w:rPr>
      </w:pPr>
      <w:r>
        <w:rPr>
          <w:rFonts w:ascii="Times New Roman" w:cs="Times New Roman" w:eastAsia="Times New Roman" w:hAnsi="Times New Roman"/>
          <w:sz w:val="13"/>
          <w:szCs w:val="13"/>
          <w:color w:val="auto"/>
        </w:rPr>
        <w:t>standard-range single motor variants represented a greater share of revenue during the nine months ended September 30, 2022. Continued market expansion outside of Europe, where net revenue per car is generally lower, was a contributing factor in decreased revenue per vehicle during the nine months ended September 30, 2022 as compared to the comparative period.</w:t>
      </w:r>
    </w:p>
    <w:p>
      <w:pPr>
        <w:spacing w:after="0" w:line="8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7</w:t>
      </w:r>
    </w:p>
    <w:p>
      <w:pPr>
        <w:sectPr>
          <w:pgSz w:w="11900" w:h="16838" w:orient="portrait"/>
          <w:cols w:equalWidth="0" w:num="1">
            <w:col w:w="9019"/>
          </w:cols>
          <w:pgMar w:left="1440" w:top="231" w:right="1440" w:bottom="1440" w:gutter="0" w:footer="0" w:header="0"/>
        </w:sectPr>
      </w:pPr>
    </w:p>
    <w:bookmarkStart w:id="50" w:name="page51"/>
    <w:bookmarkEnd w:id="50"/>
    <w:p>
      <w:pPr>
        <w:ind w:left="640" w:right="699"/>
        <w:spacing w:after="0" w:line="279" w:lineRule="auto"/>
        <w:rPr>
          <w:sz w:val="20"/>
          <w:szCs w:val="20"/>
          <w:color w:val="auto"/>
        </w:rPr>
      </w:pPr>
      <w:r>
        <w:rPr>
          <w:rFonts w:ascii="Times New Roman" w:cs="Times New Roman" w:eastAsia="Times New Roman" w:hAnsi="Times New Roman"/>
          <w:sz w:val="12"/>
          <w:szCs w:val="12"/>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10425" cy="30480"/>
                    </a:xfrm>
                    <a:prstGeom prst="rect">
                      <a:avLst/>
                    </a:prstGeom>
                    <a:noFill/>
                  </pic:spPr>
                </pic:pic>
              </a:graphicData>
            </a:graphic>
          </wp:anchor>
        </w:drawing>
        <w:t>Sales of software and performance engineered kits decreased by $1,086, or 20%, from $5,537 for the three months ended September 30, 2021 to $4,451 for the three months ended September 30, 2022. Sales of software and performance engineered kits decreased by $4,504, or 23%, from $19,817 for the nine months ended September 30, 2021 to $15,313 for the nine months ended September 30, 2022. The decrease across both comparative periods is a result of Polestar’s shifting focus to its own vehicles and a decrease in Volvo Cars’ sales of Polestar’s performance engineered kits.</w:t>
      </w:r>
    </w:p>
    <w:p>
      <w:pPr>
        <w:spacing w:after="0" w:line="116" w:lineRule="exact"/>
        <w:rPr>
          <w:sz w:val="20"/>
          <w:szCs w:val="20"/>
          <w:color w:val="auto"/>
        </w:rPr>
      </w:pPr>
    </w:p>
    <w:p>
      <w:pPr>
        <w:ind w:left="640" w:right="739"/>
        <w:spacing w:after="0" w:line="249" w:lineRule="auto"/>
        <w:rPr>
          <w:sz w:val="20"/>
          <w:szCs w:val="20"/>
          <w:color w:val="auto"/>
        </w:rPr>
      </w:pPr>
      <w:r>
        <w:rPr>
          <w:rFonts w:ascii="Times New Roman" w:cs="Times New Roman" w:eastAsia="Times New Roman" w:hAnsi="Times New Roman"/>
          <w:sz w:val="13"/>
          <w:szCs w:val="13"/>
          <w:color w:val="auto"/>
        </w:rPr>
        <w:t>Vehicle leasing revenue increased by $2,558, or 128%, from $2,001 for the three months ended September 30, 2021 to $4,559 for the three months ended September 30, 2022. Vehicle leasing revenue increased by $10,338, or 480%, from $2,155 for the nine months ended September 30, 2021 to $12,493 for the nine months ended September 30, 2022. Polestar began selling vehicles with repurchase obligations during the first half of 2021 and continued to increase the number of vehicles sold with repurchase obligations in the subsequent periods. This resulted in the increase to vehicle leasing revenue during the three and nine months ended September 30, 2022 as compared to the comparative periods.</w:t>
      </w:r>
    </w:p>
    <w:p>
      <w:pPr>
        <w:spacing w:after="0" w:line="134" w:lineRule="exact"/>
        <w:rPr>
          <w:sz w:val="20"/>
          <w:szCs w:val="20"/>
          <w:color w:val="auto"/>
        </w:rPr>
      </w:pPr>
    </w:p>
    <w:p>
      <w:pPr>
        <w:ind w:left="640" w:right="899"/>
        <w:spacing w:after="0" w:line="251" w:lineRule="auto"/>
        <w:rPr>
          <w:sz w:val="20"/>
          <w:szCs w:val="20"/>
          <w:color w:val="auto"/>
        </w:rPr>
      </w:pPr>
      <w:r>
        <w:rPr>
          <w:rFonts w:ascii="Times New Roman" w:cs="Times New Roman" w:eastAsia="Times New Roman" w:hAnsi="Times New Roman"/>
          <w:sz w:val="13"/>
          <w:szCs w:val="13"/>
          <w:color w:val="auto"/>
        </w:rPr>
        <w:t>Other revenue increased by $489, or 100%, from $489 for the three months ended September 30, 2021 to $978 for the three months ended September 30, 2022. Other revenue increased by $1,799, or 51%, from $3,550 for the nine months ended September 30, 2021 to $5,349 for the nine months ended September 30, 2022. The increase is driven primarily by higher royalties from Volvo Cars’ sales of parts and accessories for Polestar vehicles.</w:t>
      </w:r>
    </w:p>
    <w:p>
      <w:pPr>
        <w:spacing w:after="0" w:line="207"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Cost of sales and gross profit</w:t>
      </w:r>
    </w:p>
    <w:p>
      <w:pPr>
        <w:spacing w:after="0" w:line="80" w:lineRule="exact"/>
        <w:rPr>
          <w:sz w:val="20"/>
          <w:szCs w:val="20"/>
          <w:color w:val="auto"/>
        </w:rPr>
      </w:pPr>
    </w:p>
    <w:p>
      <w:pPr>
        <w:ind w:left="640" w:right="859"/>
        <w:spacing w:after="0" w:line="255" w:lineRule="auto"/>
        <w:rPr>
          <w:sz w:val="20"/>
          <w:szCs w:val="20"/>
          <w:color w:val="auto"/>
        </w:rPr>
      </w:pPr>
      <w:r>
        <w:rPr>
          <w:rFonts w:ascii="Times New Roman" w:cs="Times New Roman" w:eastAsia="Times New Roman" w:hAnsi="Times New Roman"/>
          <w:sz w:val="13"/>
          <w:szCs w:val="13"/>
          <w:color w:val="auto"/>
        </w:rPr>
        <w:t>Cost of sales increased by $183,743, or 74%, from $247,647 for the three months ended September 30, 2021 to $431,390 for the three months ended September 30, 2022. Gross profit (loss) increased by $38,810, or 112%, from a loss of $34,751 for the three months ended September 30, 2021 to a profit of $4,059 for the three months ended September 30, 2022.</w:t>
      </w:r>
    </w:p>
    <w:p>
      <w:pPr>
        <w:spacing w:after="0" w:line="130" w:lineRule="exact"/>
        <w:rPr>
          <w:sz w:val="20"/>
          <w:szCs w:val="20"/>
          <w:color w:val="auto"/>
        </w:rPr>
      </w:pPr>
    </w:p>
    <w:p>
      <w:pPr>
        <w:ind w:left="640" w:right="839"/>
        <w:spacing w:after="0" w:line="255" w:lineRule="auto"/>
        <w:rPr>
          <w:sz w:val="20"/>
          <w:szCs w:val="20"/>
          <w:color w:val="auto"/>
        </w:rPr>
      </w:pPr>
      <w:r>
        <w:rPr>
          <w:rFonts w:ascii="Times New Roman" w:cs="Times New Roman" w:eastAsia="Times New Roman" w:hAnsi="Times New Roman"/>
          <w:sz w:val="13"/>
          <w:szCs w:val="13"/>
          <w:color w:val="auto"/>
        </w:rPr>
        <w:t>Cost of sales increased by $672,657, or 90%, from $746,614 for the nine months ended September 30, 2021 to $1,419,271 for the nine months ended September 30, 2022. Gross profit increased by $56,415 from $1,060 for the nine months ended September 30, 2021 to $57,475 for the nine months ended September 30, 2022.</w:t>
      </w:r>
    </w:p>
    <w:p>
      <w:pPr>
        <w:spacing w:after="0" w:line="8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8</w:t>
      </w:r>
    </w:p>
    <w:p>
      <w:pPr>
        <w:sectPr>
          <w:pgSz w:w="11900" w:h="16838" w:orient="portrait"/>
          <w:cols w:equalWidth="0" w:num="1">
            <w:col w:w="9019"/>
          </w:cols>
          <w:pgMar w:left="1440" w:top="231" w:right="1440" w:bottom="1440" w:gutter="0" w:footer="0" w:header="0"/>
        </w:sectPr>
      </w:pPr>
    </w:p>
    <w:bookmarkStart w:id="51" w:name="page52"/>
    <w:bookmarkEnd w:id="51"/>
    <w:p>
      <w:pPr>
        <w:ind w:left="640" w:right="759"/>
        <w:spacing w:after="0" w:line="249" w:lineRule="auto"/>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210425" cy="30480"/>
                    </a:xfrm>
                    <a:prstGeom prst="rect">
                      <a:avLst/>
                    </a:prstGeom>
                    <a:noFill/>
                  </pic:spPr>
                </pic:pic>
              </a:graphicData>
            </a:graphic>
          </wp:anchor>
        </w:drawing>
        <w:t>In general, the increases in cost of sales and gross profit across comparative periods are the result of expanded production and commercialization of Polestar 2 vehicles. Both cost of sales and gross profit were negatively impacted by higher freight and distribution costs per vehicle across all markets during the three and nine months ended September 30, 2022, partially offset by lower fixed manufacturing costs due to the winding down of Polestar 1 manufacturing in 2021. The decrease in revenue per vehicle from model mix and market mix during the three and nine months ended September 30, 2022 also had a direct impact on gross profit.</w:t>
      </w:r>
    </w:p>
    <w:p>
      <w:pPr>
        <w:spacing w:after="0" w:line="134" w:lineRule="exact"/>
        <w:rPr>
          <w:sz w:val="20"/>
          <w:szCs w:val="20"/>
          <w:color w:val="auto"/>
        </w:rPr>
      </w:pPr>
    </w:p>
    <w:p>
      <w:pPr>
        <w:ind w:left="640" w:right="699"/>
        <w:spacing w:after="0" w:line="248" w:lineRule="auto"/>
        <w:rPr>
          <w:sz w:val="20"/>
          <w:szCs w:val="20"/>
          <w:color w:val="auto"/>
        </w:rPr>
      </w:pPr>
      <w:r>
        <w:rPr>
          <w:rFonts w:ascii="Times New Roman" w:cs="Times New Roman" w:eastAsia="Times New Roman" w:hAnsi="Times New Roman"/>
          <w:sz w:val="13"/>
          <w:szCs w:val="13"/>
          <w:color w:val="auto"/>
        </w:rPr>
        <w:t>Continued deterioration of the SEK/CNY foreign exchange rate has been a contributing factor to higher costs of sales and reduced margin development. The SEK/CNY foreign exchange rate weakened by approximately 8.6% during the nine months ended September 30, 2022 from 0.70 on January 1, 2022 to 0.64 by September 30, 2022. During the comparative period, the SEK/CNY foreign exchange rate weakened by approximately 6.3% from 0.79 on January 1, 2021 to 0.74 by September 30, 2021. In total, the SEK/CNY foreign exchange rate has weakened by approximately 19% since January 1, 2021. This trend impacts Polestar’s gross profit as a transaction effect of contract manufacturing in China when Polestar’s purchasing entity is denominated in a functional currency that is weaker than CNY.</w:t>
      </w:r>
    </w:p>
    <w:p>
      <w:pPr>
        <w:spacing w:after="0" w:line="20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Selling, general, and administrative expense</w:t>
      </w:r>
    </w:p>
    <w:p>
      <w:pPr>
        <w:spacing w:after="0" w:line="80" w:lineRule="exact"/>
        <w:rPr>
          <w:sz w:val="20"/>
          <w:szCs w:val="20"/>
          <w:color w:val="auto"/>
        </w:rPr>
      </w:pPr>
    </w:p>
    <w:p>
      <w:pPr>
        <w:ind w:left="640" w:right="719"/>
        <w:spacing w:after="0" w:line="251" w:lineRule="auto"/>
        <w:rPr>
          <w:sz w:val="20"/>
          <w:szCs w:val="20"/>
          <w:color w:val="auto"/>
        </w:rPr>
      </w:pPr>
      <w:r>
        <w:rPr>
          <w:rFonts w:ascii="Times New Roman" w:cs="Times New Roman" w:eastAsia="Times New Roman" w:hAnsi="Times New Roman"/>
          <w:sz w:val="13"/>
          <w:szCs w:val="13"/>
          <w:color w:val="auto"/>
        </w:rPr>
        <w:t>Selling, general, and administrative expense decreased by $20,647, or 10%, from $199,290 for the three months ended September 30, 2021 to $178,643 for the three months ended September 30, 2022. The decrease is primarily due to lower advertising, marketing, and promotional activities in the three months ended September 30, 2022. Polestar’s began curtailing advertising, marketing and promotional activities during the three months ended September 30, 2022 after experiencing a period of heavier spend in the twelve months prior.</w:t>
      </w:r>
    </w:p>
    <w:p>
      <w:pPr>
        <w:spacing w:after="0" w:line="133" w:lineRule="exact"/>
        <w:rPr>
          <w:sz w:val="20"/>
          <w:szCs w:val="20"/>
          <w:color w:val="auto"/>
        </w:rPr>
      </w:pPr>
    </w:p>
    <w:p>
      <w:pPr>
        <w:ind w:left="640" w:right="699"/>
        <w:spacing w:after="0" w:line="249" w:lineRule="auto"/>
        <w:rPr>
          <w:sz w:val="20"/>
          <w:szCs w:val="20"/>
          <w:color w:val="auto"/>
        </w:rPr>
      </w:pPr>
      <w:r>
        <w:rPr>
          <w:rFonts w:ascii="Times New Roman" w:cs="Times New Roman" w:eastAsia="Times New Roman" w:hAnsi="Times New Roman"/>
          <w:sz w:val="13"/>
          <w:szCs w:val="13"/>
          <w:color w:val="auto"/>
        </w:rPr>
        <w:t>Selling, general, and administrative expense increased by $147,280, or 31%, from $478,144 for the nine months ended September 30, 2021 to $625,424 for the nine months ended September 30, 2022. The increase is primarily due to (1) higher investments in advertising, marketing, and promotional activities during the first half of 2021 as part of Polestar’s commercial expansion across new and existing markets, (2) increased professional service fees related to accounting, finance, and information technology, and (3) higher wages and salaries associated with scaling headcount of Polestar’s sales and administrative personnel to meet the demands of the growing business and becoming a publicly listed company.</w:t>
      </w:r>
    </w:p>
    <w:p>
      <w:pPr>
        <w:spacing w:after="0" w:line="20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Research and development expense</w:t>
      </w:r>
    </w:p>
    <w:p>
      <w:pPr>
        <w:spacing w:after="0" w:line="80" w:lineRule="exact"/>
        <w:rPr>
          <w:sz w:val="20"/>
          <w:szCs w:val="20"/>
          <w:color w:val="auto"/>
        </w:rPr>
      </w:pPr>
    </w:p>
    <w:p>
      <w:pPr>
        <w:ind w:left="640" w:right="759"/>
        <w:spacing w:after="0" w:line="255" w:lineRule="auto"/>
        <w:rPr>
          <w:sz w:val="20"/>
          <w:szCs w:val="20"/>
          <w:color w:val="auto"/>
        </w:rPr>
      </w:pPr>
      <w:r>
        <w:rPr>
          <w:rFonts w:ascii="Times New Roman" w:cs="Times New Roman" w:eastAsia="Times New Roman" w:hAnsi="Times New Roman"/>
          <w:sz w:val="13"/>
          <w:szCs w:val="13"/>
          <w:color w:val="auto"/>
        </w:rPr>
        <w:t>Research and development expense decreased by $25,931, or 51%, from $50,529 for the three months ended September 30, 2021 to $24,598 for the three months ended September 30, 2022. Research and development expense decreased by $34,047, or 22%, from $157,400 for the nine months ended September 30, 2021 to $123,353 for the nine months ended September 30, 2022.</w:t>
      </w:r>
    </w:p>
    <w:p>
      <w:pPr>
        <w:spacing w:after="0" w:line="8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9</w:t>
      </w:r>
    </w:p>
    <w:p>
      <w:pPr>
        <w:sectPr>
          <w:pgSz w:w="11900" w:h="16838" w:orient="portrait"/>
          <w:cols w:equalWidth="0" w:num="1">
            <w:col w:w="9019"/>
          </w:cols>
          <w:pgMar w:left="1440" w:top="231" w:right="1440" w:bottom="1440" w:gutter="0" w:footer="0" w:header="0"/>
        </w:sectPr>
      </w:pPr>
    </w:p>
    <w:bookmarkStart w:id="52" w:name="page53"/>
    <w:bookmarkEnd w:id="52"/>
    <w:p>
      <w:pPr>
        <w:ind w:left="640" w:right="1019"/>
        <w:spacing w:after="0" w:line="251" w:lineRule="auto"/>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10425" cy="30480"/>
                    </a:xfrm>
                    <a:prstGeom prst="rect">
                      <a:avLst/>
                    </a:prstGeom>
                    <a:noFill/>
                  </pic:spPr>
                </pic:pic>
              </a:graphicData>
            </a:graphic>
          </wp:anchor>
        </w:drawing>
        <w:t>The decrease is primarily the result of lower amortization of intangible assets related to the Polestar 1, which was fully amortized during the 2021 period, and positive translation effects on our research and development activities the United Kingdom which are transacted in SEK. The lower amortizations for Polestar 1 and the USD translation impacts are partially offset by increased research and development activities related to future vehicles and battery electric technologies, including the Polestar Precept and the P10 powertrain.</w:t>
      </w:r>
    </w:p>
    <w:p>
      <w:pPr>
        <w:spacing w:after="0" w:line="207"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Other operating income (expense), net and Listing expense</w:t>
      </w:r>
    </w:p>
    <w:p>
      <w:pPr>
        <w:spacing w:after="0" w:line="80" w:lineRule="exact"/>
        <w:rPr>
          <w:sz w:val="20"/>
          <w:szCs w:val="20"/>
          <w:color w:val="auto"/>
        </w:rPr>
      </w:pPr>
    </w:p>
    <w:p>
      <w:pPr>
        <w:ind w:left="640" w:right="659"/>
        <w:spacing w:after="0" w:line="247" w:lineRule="auto"/>
        <w:rPr>
          <w:sz w:val="20"/>
          <w:szCs w:val="20"/>
          <w:color w:val="auto"/>
        </w:rPr>
      </w:pPr>
      <w:r>
        <w:rPr>
          <w:rFonts w:ascii="Times New Roman" w:cs="Times New Roman" w:eastAsia="Times New Roman" w:hAnsi="Times New Roman"/>
          <w:sz w:val="13"/>
          <w:szCs w:val="13"/>
          <w:color w:val="auto"/>
        </w:rPr>
        <w:t>Other operating income (expense), net increased by $11,072, or 134%, from an expense of $8,291 for the three months ended September 30, 2021 to an income of $2,781 for the three months ended September 30, 2022. Other operating expense, net decreased by $5,099, or 22%, from $23,060 for the nine months ended September 30, 2021 to $17,961 for the nine months ended September 30, 2022. The changes during the three and nine months ended September 30, 2022 as compared to the respective comparative periods are primarily driven by lower negative foreign exchange effects on payables to Volvo Cars and Geely for the contract manufacturing of the Polestar 2. The listing expense of $372,318 incurred upon the merger with GGI on June 23, 2022 is non-recurring and presented separately below Other operating income (expense), net. Refer to Note 9 - Reverse recapitalization in the Unaudited Condensed Consolidated Financial Statements included elsewhere in this report for more information.</w:t>
      </w:r>
    </w:p>
    <w:p>
      <w:pPr>
        <w:spacing w:after="0" w:line="210"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Finance income and Finance expense</w:t>
      </w:r>
    </w:p>
    <w:p>
      <w:pPr>
        <w:spacing w:after="0" w:line="80" w:lineRule="exact"/>
        <w:rPr>
          <w:sz w:val="20"/>
          <w:szCs w:val="20"/>
          <w:color w:val="auto"/>
        </w:rPr>
      </w:pPr>
    </w:p>
    <w:p>
      <w:pPr>
        <w:ind w:left="640" w:right="679"/>
        <w:spacing w:after="0" w:line="251" w:lineRule="auto"/>
        <w:rPr>
          <w:sz w:val="20"/>
          <w:szCs w:val="20"/>
          <w:color w:val="auto"/>
        </w:rPr>
      </w:pPr>
      <w:r>
        <w:rPr>
          <w:rFonts w:ascii="Times New Roman" w:cs="Times New Roman" w:eastAsia="Times New Roman" w:hAnsi="Times New Roman"/>
          <w:sz w:val="13"/>
          <w:szCs w:val="13"/>
          <w:color w:val="auto"/>
        </w:rPr>
        <w:t>Finance income decreased by $8,895, or 93%, from $9,606 for the three months ended September 30, 2021 to $711 for the three months ended September 30, 2022. Finance income decreased by $23,316, or 94%, from $24,801 for the nine months ended September 30, 2021 to $1,485 for the nine months ended September 30, 2022. The decrease is primarily driven by a negative net foreign exchange effect related to financial items for the three and nine months ended September 30, 2022 and 2021.</w:t>
      </w:r>
    </w:p>
    <w:p>
      <w:pPr>
        <w:spacing w:after="0" w:line="133" w:lineRule="exact"/>
        <w:rPr>
          <w:sz w:val="20"/>
          <w:szCs w:val="20"/>
          <w:color w:val="auto"/>
        </w:rPr>
      </w:pPr>
    </w:p>
    <w:p>
      <w:pPr>
        <w:ind w:left="640" w:right="699"/>
        <w:spacing w:after="0" w:line="251" w:lineRule="auto"/>
        <w:rPr>
          <w:sz w:val="20"/>
          <w:szCs w:val="20"/>
          <w:color w:val="auto"/>
        </w:rPr>
      </w:pPr>
      <w:r>
        <w:rPr>
          <w:rFonts w:ascii="Times New Roman" w:cs="Times New Roman" w:eastAsia="Times New Roman" w:hAnsi="Times New Roman"/>
          <w:sz w:val="13"/>
          <w:szCs w:val="13"/>
          <w:color w:val="auto"/>
        </w:rPr>
        <w:t>Finance expense increased by $44,404, or 275%, from $16,135 for the three months ended September 30, 2021 to $60,539 for the three months ended September 30, 2022. Finance expense increased by $83,455 from $28,511 for the nine months ended September 30, 2021 to $111,966 for the nine months ended September 30, 2022. These increases are primarily related to higher interest expense associated with financing arrangements and overdue trade payables to Volvo Cars.</w:t>
      </w:r>
    </w:p>
    <w:p>
      <w:pPr>
        <w:spacing w:after="0" w:line="207"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Fair value change - Earn out rights</w:t>
      </w:r>
    </w:p>
    <w:p>
      <w:pPr>
        <w:spacing w:after="0" w:line="80" w:lineRule="exact"/>
        <w:rPr>
          <w:sz w:val="20"/>
          <w:szCs w:val="20"/>
          <w:color w:val="auto"/>
        </w:rPr>
      </w:pPr>
    </w:p>
    <w:p>
      <w:pPr>
        <w:ind w:left="640" w:right="759"/>
        <w:spacing w:after="0" w:line="251" w:lineRule="auto"/>
        <w:rPr>
          <w:sz w:val="20"/>
          <w:szCs w:val="20"/>
          <w:color w:val="auto"/>
        </w:rPr>
      </w:pPr>
      <w:r>
        <w:rPr>
          <w:rFonts w:ascii="Times New Roman" w:cs="Times New Roman" w:eastAsia="Times New Roman" w:hAnsi="Times New Roman"/>
          <w:sz w:val="13"/>
          <w:szCs w:val="13"/>
          <w:color w:val="auto"/>
        </w:rPr>
        <w:t>The earn-out rights were issued in connection with the capital reorganization that was consummated on June 23, 2022. As such, there is no comparison figure for 2021. The gain on the fair value change of the earn out liability for the three and nine months ended September 30, 2022 was $546,961 and $965,668, respectively. These gains are primarily attributable to a decrease in Polestar’s share price from $11.23 on June 23, 2022 (i.e., closing of the merger with GGI and issuance of the earn-out rights) to $5.06 on September 30, 2022 and increased market volatility.</w:t>
      </w:r>
    </w:p>
    <w:p>
      <w:pPr>
        <w:spacing w:after="0" w:line="8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10</w:t>
      </w:r>
    </w:p>
    <w:p>
      <w:pPr>
        <w:sectPr>
          <w:pgSz w:w="11900" w:h="16838" w:orient="portrait"/>
          <w:cols w:equalWidth="0" w:num="1">
            <w:col w:w="9019"/>
          </w:cols>
          <w:pgMar w:left="1440" w:top="231" w:right="1440" w:bottom="1440" w:gutter="0" w:footer="0" w:header="0"/>
        </w:sectPr>
      </w:pPr>
    </w:p>
    <w:bookmarkStart w:id="53" w:name="page54"/>
    <w:bookmarkEnd w:id="53"/>
    <w:p>
      <w:pPr>
        <w:ind w:left="640" w:right="899"/>
        <w:spacing w:after="0" w:line="267" w:lineRule="auto"/>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210425" cy="30480"/>
                    </a:xfrm>
                    <a:prstGeom prst="rect">
                      <a:avLst/>
                    </a:prstGeom>
                    <a:noFill/>
                  </pic:spPr>
                </pic:pic>
              </a:graphicData>
            </a:graphic>
          </wp:anchor>
        </w:drawing>
        <w:t>Leveraging on a benchmark of peers, the implied asset volatility used in the Monte Carlo simulation increased from of 60% as of June 23, 2022 and 70% as of September 30, 2022.</w:t>
      </w:r>
    </w:p>
    <w:p>
      <w:pPr>
        <w:spacing w:after="0" w:line="196"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Fair value change - Class C Shares</w:t>
      </w:r>
    </w:p>
    <w:p>
      <w:pPr>
        <w:spacing w:after="0" w:line="80" w:lineRule="exact"/>
        <w:rPr>
          <w:sz w:val="20"/>
          <w:szCs w:val="20"/>
          <w:color w:val="auto"/>
        </w:rPr>
      </w:pPr>
    </w:p>
    <w:p>
      <w:pPr>
        <w:ind w:left="640" w:right="699"/>
        <w:spacing w:after="0" w:line="247" w:lineRule="auto"/>
        <w:rPr>
          <w:sz w:val="20"/>
          <w:szCs w:val="20"/>
          <w:color w:val="auto"/>
        </w:rPr>
      </w:pPr>
      <w:r>
        <w:rPr>
          <w:rFonts w:ascii="Times New Roman" w:cs="Times New Roman" w:eastAsia="Times New Roman" w:hAnsi="Times New Roman"/>
          <w:sz w:val="13"/>
          <w:szCs w:val="13"/>
          <w:color w:val="auto"/>
        </w:rPr>
        <w:t>As part of the capital reorganization via the merger with GGI on June 23, 2022, Polestar exchanged rights and obligations to the public and private warrant instruments of GGI. The gain on the fair value change of these warrants (Class C Shares in Polestar) for the three and nine months ended September 30, 2022 was $14,059 and $35,590, respectively. These gains are primarily attributable to a decrease in the price of the Class C-1 Shares from $2.52 on June 23, 2022 (i.e., closing of the merger with GGI and exchange of the warrants) to $1.10 on September 30, 2022 and a decrease in the estimated value of the Class C-2 Shares from $2.53 to $1.10 over the same period. Polestar utilizes a binomial lattice model to calculate the value of the Class C-2 Shares which factors several inputs, including the changes in Polestar’s share price from $11.23 to $5.06, implied volatility of Class C-1 Shares from 22.5% to 88%, and risk-free rate from 3.12% to 4.04% over the same period.</w:t>
      </w:r>
    </w:p>
    <w:p>
      <w:pPr>
        <w:spacing w:after="0" w:line="8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11</w:t>
      </w:r>
    </w:p>
    <w:p>
      <w:pPr>
        <w:sectPr>
          <w:pgSz w:w="11900" w:h="16838" w:orient="portrait"/>
          <w:cols w:equalWidth="0" w:num="1">
            <w:col w:w="9019"/>
          </w:cols>
          <w:pgMar w:left="1440" w:top="231" w:right="1440" w:bottom="1440" w:gutter="0" w:footer="0" w:header="0"/>
        </w:sectPr>
      </w:pPr>
    </w:p>
    <w:bookmarkStart w:id="54" w:name="page55"/>
    <w:bookmarkEnd w:id="54"/>
    <w:p>
      <w:pPr>
        <w:ind w:left="640"/>
        <w:spacing w:after="0"/>
        <w:rPr>
          <w:sz w:val="20"/>
          <w:szCs w:val="20"/>
          <w:color w:val="auto"/>
        </w:rPr>
      </w:pPr>
      <w:r>
        <w:rPr>
          <w:rFonts w:ascii="Times New Roman" w:cs="Times New Roman" w:eastAsia="Times New Roman" w:hAnsi="Times New Roman"/>
          <w:sz w:val="13"/>
          <w:szCs w:val="13"/>
          <w:b w:val="1"/>
          <w:bCs w:val="1"/>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10425" cy="30480"/>
                    </a:xfrm>
                    <a:prstGeom prst="rect">
                      <a:avLst/>
                    </a:prstGeom>
                    <a:noFill/>
                  </pic:spPr>
                </pic:pic>
              </a:graphicData>
            </a:graphic>
          </wp:anchor>
        </w:drawing>
        <w:t>Liquidity and capital resources</w:t>
      </w:r>
    </w:p>
    <w:p>
      <w:pPr>
        <w:spacing w:after="0" w:line="80" w:lineRule="exact"/>
        <w:rPr>
          <w:sz w:val="20"/>
          <w:szCs w:val="20"/>
          <w:color w:val="auto"/>
        </w:rPr>
      </w:pPr>
    </w:p>
    <w:p>
      <w:pPr>
        <w:ind w:left="640" w:right="659"/>
        <w:spacing w:after="0" w:line="272" w:lineRule="auto"/>
        <w:rPr>
          <w:sz w:val="20"/>
          <w:szCs w:val="20"/>
          <w:color w:val="auto"/>
        </w:rPr>
      </w:pPr>
      <w:r>
        <w:rPr>
          <w:rFonts w:ascii="Times New Roman" w:cs="Times New Roman" w:eastAsia="Times New Roman" w:hAnsi="Times New Roman"/>
          <w:sz w:val="12"/>
          <w:szCs w:val="12"/>
          <w:color w:val="auto"/>
        </w:rPr>
        <w:t>Polestar continues to finance its operations primarily through the issuance of equity instruments, various short-term credit facilities, including working capital facilities, term loans with related parties, sale-leaseback arrangements, and extended trade credit with related parties. The principal uses of liquidity and capital are funding operations, market expansion, and investments in Polestar’s future vehicles and automotive technologies. Substantial doubt about Polestar’s ability to continue as a going concern persists as timely realization of financing endeavors is necessary to cover forecasted operating and investing cash outflow. Refer to Note 1 - Significant accounting policies and judgements, Note 7 - Liabilities to credit institutions, and Note 9 - Reverse recapitalization in the Unaudited Condensed Consolidated Financial Statements included elsewhere in this report for more information.</w:t>
      </w:r>
    </w:p>
    <w:p>
      <w:pPr>
        <w:spacing w:after="0" w:line="197"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Comparison of the nine months ended September 30, 2022 and 2021</w:t>
      </w:r>
    </w:p>
    <w:p>
      <w:pPr>
        <w:spacing w:after="0" w:line="80" w:lineRule="exact"/>
        <w:rPr>
          <w:sz w:val="20"/>
          <w:szCs w:val="20"/>
          <w:color w:val="auto"/>
        </w:rPr>
      </w:pPr>
    </w:p>
    <w:p>
      <w:pPr>
        <w:ind w:left="640" w:right="739"/>
        <w:spacing w:after="0" w:line="309" w:lineRule="auto"/>
        <w:rPr>
          <w:sz w:val="20"/>
          <w:szCs w:val="20"/>
          <w:color w:val="auto"/>
        </w:rPr>
      </w:pPr>
      <w:r>
        <w:rPr>
          <w:rFonts w:ascii="Times New Roman" w:cs="Times New Roman" w:eastAsia="Times New Roman" w:hAnsi="Times New Roman"/>
          <w:sz w:val="12"/>
          <w:szCs w:val="12"/>
          <w:color w:val="auto"/>
        </w:rPr>
        <w:t>As of September 30, 2022, Polestar had cash and cash equivalents of $988,259 as compared to $756,677 as of December 31, 2021. The following table summarizes Polestar’s Unaudited Condensed Consolidated Statement of Cash Flows for the nine months ended September 30, 2022 and 2021:</w:t>
      </w:r>
    </w:p>
    <w:p>
      <w:pPr>
        <w:spacing w:after="0" w:line="104" w:lineRule="exact"/>
        <w:rPr>
          <w:sz w:val="20"/>
          <w:szCs w:val="20"/>
          <w:color w:val="auto"/>
        </w:rPr>
      </w:pPr>
    </w:p>
    <w:tbl>
      <w:tblPr>
        <w:tblLayout w:type="fixed"/>
        <w:tblInd w:w="1260" w:type="dxa"/>
        <w:tblCellMar>
          <w:top w:w="0" w:type="dxa"/>
          <w:left w:w="0" w:type="dxa"/>
          <w:bottom w:w="0" w:type="dxa"/>
          <w:right w:w="0" w:type="dxa"/>
        </w:tblCellMar>
      </w:tblPr>
      <w:tr>
        <w:trPr>
          <w:trHeight w:val="115"/>
        </w:trPr>
        <w:tc>
          <w:tcPr>
            <w:tcW w:w="4500" w:type="dxa"/>
            <w:vAlign w:val="bottom"/>
          </w:tcPr>
          <w:p>
            <w:pPr>
              <w:spacing w:after="0"/>
              <w:rPr>
                <w:sz w:val="10"/>
                <w:szCs w:val="10"/>
                <w:color w:val="auto"/>
              </w:rPr>
            </w:pPr>
          </w:p>
        </w:tc>
        <w:tc>
          <w:tcPr>
            <w:tcW w:w="1360" w:type="dxa"/>
            <w:vAlign w:val="bottom"/>
            <w:gridSpan w:val="4"/>
          </w:tcPr>
          <w:p>
            <w:pPr>
              <w:jc w:val="right"/>
              <w:ind w:right="320"/>
              <w:spacing w:after="0"/>
              <w:rPr>
                <w:sz w:val="20"/>
                <w:szCs w:val="20"/>
                <w:color w:val="auto"/>
              </w:rPr>
            </w:pPr>
            <w:r>
              <w:rPr>
                <w:rFonts w:ascii="Times New Roman" w:cs="Times New Roman" w:eastAsia="Times New Roman" w:hAnsi="Times New Roman"/>
                <w:sz w:val="10"/>
                <w:szCs w:val="10"/>
                <w:b w:val="1"/>
                <w:bCs w:val="1"/>
                <w:color w:val="auto"/>
              </w:rPr>
              <w:t>For the nine months</w:t>
            </w:r>
          </w:p>
        </w:tc>
        <w:tc>
          <w:tcPr>
            <w:tcW w:w="640" w:type="dxa"/>
            <w:vAlign w:val="bottom"/>
            <w:gridSpan w:val="2"/>
            <w:vMerge w:val="restart"/>
          </w:tcPr>
          <w:p>
            <w:pPr>
              <w:jc w:val="right"/>
              <w:ind w:right="160"/>
              <w:spacing w:after="0"/>
              <w:rPr>
                <w:sz w:val="20"/>
                <w:szCs w:val="20"/>
                <w:color w:val="auto"/>
              </w:rPr>
            </w:pPr>
            <w:r>
              <w:rPr>
                <w:rFonts w:ascii="Times New Roman" w:cs="Times New Roman" w:eastAsia="Times New Roman" w:hAnsi="Times New Roman"/>
                <w:sz w:val="10"/>
                <w:szCs w:val="10"/>
                <w:b w:val="1"/>
                <w:bCs w:val="1"/>
                <w:color w:val="auto"/>
              </w:rPr>
              <w:t>Variance</w:t>
            </w:r>
          </w:p>
        </w:tc>
        <w:tc>
          <w:tcPr>
            <w:tcW w:w="0" w:type="dxa"/>
            <w:vAlign w:val="bottom"/>
          </w:tcPr>
          <w:p>
            <w:pPr>
              <w:spacing w:after="0"/>
              <w:rPr>
                <w:sz w:val="1"/>
                <w:szCs w:val="1"/>
                <w:color w:val="auto"/>
              </w:rPr>
            </w:pPr>
          </w:p>
        </w:tc>
      </w:tr>
      <w:tr>
        <w:trPr>
          <w:trHeight w:val="121"/>
        </w:trPr>
        <w:tc>
          <w:tcPr>
            <w:tcW w:w="4500" w:type="dxa"/>
            <w:vAlign w:val="bottom"/>
          </w:tcPr>
          <w:p>
            <w:pPr>
              <w:spacing w:after="0"/>
              <w:rPr>
                <w:sz w:val="10"/>
                <w:szCs w:val="10"/>
                <w:color w:val="auto"/>
              </w:rPr>
            </w:pPr>
          </w:p>
        </w:tc>
        <w:tc>
          <w:tcPr>
            <w:tcW w:w="1360" w:type="dxa"/>
            <w:vAlign w:val="bottom"/>
            <w:gridSpan w:val="4"/>
          </w:tcPr>
          <w:p>
            <w:pPr>
              <w:jc w:val="right"/>
              <w:ind w:right="300"/>
              <w:spacing w:after="0"/>
              <w:rPr>
                <w:sz w:val="20"/>
                <w:szCs w:val="20"/>
                <w:color w:val="auto"/>
              </w:rPr>
            </w:pPr>
            <w:r>
              <w:rPr>
                <w:rFonts w:ascii="Times New Roman" w:cs="Times New Roman" w:eastAsia="Times New Roman" w:hAnsi="Times New Roman"/>
                <w:sz w:val="10"/>
                <w:szCs w:val="10"/>
                <w:b w:val="1"/>
                <w:bCs w:val="1"/>
                <w:color w:val="auto"/>
              </w:rPr>
              <w:t>ended September 30,</w:t>
            </w:r>
          </w:p>
        </w:tc>
        <w:tc>
          <w:tcPr>
            <w:tcW w:w="640" w:type="dxa"/>
            <w:vAlign w:val="bottom"/>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94"/>
        </w:trPr>
        <w:tc>
          <w:tcPr>
            <w:tcW w:w="4500" w:type="dxa"/>
            <w:vAlign w:val="bottom"/>
            <w:tcBorders>
              <w:bottom w:val="single" w:sz="8" w:color="CCEEFF"/>
            </w:tcBorders>
          </w:tcPr>
          <w:p>
            <w:pPr>
              <w:spacing w:after="0"/>
              <w:rPr>
                <w:sz w:val="8"/>
                <w:szCs w:val="8"/>
                <w:color w:val="auto"/>
              </w:rPr>
            </w:pPr>
          </w:p>
        </w:tc>
        <w:tc>
          <w:tcPr>
            <w:tcW w:w="600" w:type="dxa"/>
            <w:vAlign w:val="bottom"/>
            <w:tcBorders>
              <w:top w:val="single" w:sz="8" w:color="auto"/>
              <w:bottom w:val="single" w:sz="8" w:color="auto"/>
            </w:tcBorders>
          </w:tcPr>
          <w:p>
            <w:pPr>
              <w:jc w:val="right"/>
              <w:ind w:right="143"/>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40" w:type="dxa"/>
            <w:vAlign w:val="bottom"/>
            <w:tcBorders>
              <w:top w:val="single" w:sz="8" w:color="auto"/>
              <w:bottom w:val="single" w:sz="8" w:color="CCEEFF"/>
            </w:tcBorders>
          </w:tcPr>
          <w:p>
            <w:pPr>
              <w:spacing w:after="0"/>
              <w:rPr>
                <w:sz w:val="8"/>
                <w:szCs w:val="8"/>
                <w:color w:val="auto"/>
              </w:rPr>
            </w:pPr>
          </w:p>
        </w:tc>
        <w:tc>
          <w:tcPr>
            <w:tcW w:w="480" w:type="dxa"/>
            <w:vAlign w:val="bottom"/>
            <w:tcBorders>
              <w:top w:val="single" w:sz="8" w:color="auto"/>
              <w:bottom w:val="single" w:sz="8" w:color="auto"/>
            </w:tcBorders>
          </w:tcPr>
          <w:p>
            <w:pPr>
              <w:jc w:val="right"/>
              <w:ind w:right="80"/>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140" w:type="dxa"/>
            <w:vAlign w:val="bottom"/>
            <w:tcBorders>
              <w:bottom w:val="single" w:sz="8" w:color="CCEEFF"/>
            </w:tcBorders>
          </w:tcPr>
          <w:p>
            <w:pPr>
              <w:spacing w:after="0"/>
              <w:rPr>
                <w:sz w:val="8"/>
                <w:szCs w:val="8"/>
                <w:color w:val="auto"/>
              </w:rPr>
            </w:pPr>
          </w:p>
        </w:tc>
        <w:tc>
          <w:tcPr>
            <w:tcW w:w="560" w:type="dxa"/>
            <w:vAlign w:val="bottom"/>
            <w:tcBorders>
              <w:top w:val="single" w:sz="8" w:color="auto"/>
              <w:bottom w:val="single" w:sz="8" w:color="auto"/>
            </w:tcBorders>
          </w:tcPr>
          <w:p>
            <w:pPr>
              <w:jc w:val="right"/>
              <w:ind w:right="202"/>
              <w:spacing w:after="0" w:line="94" w:lineRule="exact"/>
              <w:rPr>
                <w:sz w:val="20"/>
                <w:szCs w:val="20"/>
                <w:color w:val="auto"/>
              </w:rPr>
            </w:pPr>
            <w:r>
              <w:rPr>
                <w:rFonts w:ascii="Times New Roman" w:cs="Times New Roman" w:eastAsia="Times New Roman" w:hAnsi="Times New Roman"/>
                <w:sz w:val="10"/>
                <w:szCs w:val="10"/>
                <w:b w:val="1"/>
                <w:bCs w:val="1"/>
                <w:color w:val="auto"/>
              </w:rPr>
              <w:t>$</w:t>
            </w:r>
          </w:p>
        </w:tc>
        <w:tc>
          <w:tcPr>
            <w:tcW w:w="80" w:type="dxa"/>
            <w:vAlign w:val="bottom"/>
            <w:tcBorders>
              <w:bottom w:val="single" w:sz="8" w:color="CCEEFF"/>
            </w:tcBorders>
          </w:tcPr>
          <w:p>
            <w:pPr>
              <w:spacing w:after="0"/>
              <w:rPr>
                <w:sz w:val="8"/>
                <w:szCs w:val="8"/>
                <w:color w:val="auto"/>
              </w:rPr>
            </w:pPr>
          </w:p>
        </w:tc>
        <w:tc>
          <w:tcPr>
            <w:tcW w:w="0" w:type="dxa"/>
            <w:vAlign w:val="bottom"/>
          </w:tcPr>
          <w:p>
            <w:pPr>
              <w:spacing w:after="0"/>
              <w:rPr>
                <w:sz w:val="1"/>
                <w:szCs w:val="1"/>
                <w:color w:val="auto"/>
              </w:rPr>
            </w:pPr>
          </w:p>
        </w:tc>
      </w:tr>
      <w:tr>
        <w:trPr>
          <w:trHeight w:val="141"/>
        </w:trPr>
        <w:tc>
          <w:tcPr>
            <w:tcW w:w="4500" w:type="dxa"/>
            <w:vAlign w:val="bottom"/>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Cash used for operating activities</w:t>
            </w:r>
          </w:p>
        </w:tc>
        <w:tc>
          <w:tcPr>
            <w:tcW w:w="6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w w:val="95"/>
              </w:rPr>
              <w:t>(1,023,425)</w:t>
            </w:r>
          </w:p>
        </w:tc>
        <w:tc>
          <w:tcPr>
            <w:tcW w:w="140" w:type="dxa"/>
            <w:vAlign w:val="bottom"/>
            <w:shd w:val="clear" w:color="auto" w:fill="CCEEFF"/>
          </w:tcPr>
          <w:p>
            <w:pPr>
              <w:spacing w:after="0"/>
              <w:rPr>
                <w:sz w:val="12"/>
                <w:szCs w:val="12"/>
                <w:color w:val="auto"/>
              </w:rPr>
            </w:pPr>
          </w:p>
        </w:tc>
        <w:tc>
          <w:tcPr>
            <w:tcW w:w="4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w w:val="90"/>
              </w:rPr>
              <w:t>(155,078)</w:t>
            </w: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(868,347)</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2"/>
        </w:trPr>
        <w:tc>
          <w:tcPr>
            <w:tcW w:w="4500" w:type="dxa"/>
            <w:vAlign w:val="bottom"/>
          </w:tcPr>
          <w:p>
            <w:pPr>
              <w:spacing w:after="0"/>
              <w:rPr>
                <w:sz w:val="20"/>
                <w:szCs w:val="20"/>
                <w:color w:val="auto"/>
              </w:rPr>
            </w:pPr>
            <w:r>
              <w:rPr>
                <w:rFonts w:ascii="Times New Roman" w:cs="Times New Roman" w:eastAsia="Times New Roman" w:hAnsi="Times New Roman"/>
                <w:sz w:val="13"/>
                <w:szCs w:val="13"/>
                <w:color w:val="auto"/>
              </w:rPr>
              <w:t>Cash used for investing activities</w:t>
            </w:r>
          </w:p>
        </w:tc>
        <w:tc>
          <w:tcPr>
            <w:tcW w:w="74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(652,778)</w:t>
            </w:r>
          </w:p>
        </w:tc>
        <w:tc>
          <w:tcPr>
            <w:tcW w:w="62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(72,171)</w:t>
            </w:r>
          </w:p>
        </w:tc>
        <w:tc>
          <w:tcPr>
            <w:tcW w:w="64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(580,607)</w:t>
            </w:r>
          </w:p>
        </w:tc>
        <w:tc>
          <w:tcPr>
            <w:tcW w:w="0" w:type="dxa"/>
            <w:vAlign w:val="bottom"/>
          </w:tcPr>
          <w:p>
            <w:pPr>
              <w:spacing w:after="0"/>
              <w:rPr>
                <w:sz w:val="1"/>
                <w:szCs w:val="1"/>
                <w:color w:val="auto"/>
              </w:rPr>
            </w:pPr>
          </w:p>
        </w:tc>
      </w:tr>
      <w:tr>
        <w:trPr>
          <w:trHeight w:val="152"/>
        </w:trPr>
        <w:tc>
          <w:tcPr>
            <w:tcW w:w="45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Cash provided by financing activities</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1,965,753</w:t>
            </w:r>
          </w:p>
        </w:tc>
        <w:tc>
          <w:tcPr>
            <w:tcW w:w="140" w:type="dxa"/>
            <w:vAlign w:val="bottom"/>
            <w:shd w:val="clear" w:color="auto" w:fill="CCEEFF"/>
          </w:tcPr>
          <w:p>
            <w:pPr>
              <w:spacing w:after="0"/>
              <w:rPr>
                <w:sz w:val="13"/>
                <w:szCs w:val="13"/>
                <w:color w:val="auto"/>
              </w:rPr>
            </w:pP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536,603</w:t>
            </w:r>
          </w:p>
        </w:tc>
        <w:tc>
          <w:tcPr>
            <w:tcW w:w="140" w:type="dxa"/>
            <w:vAlign w:val="bottom"/>
            <w:shd w:val="clear" w:color="auto" w:fill="CCEEFF"/>
          </w:tcPr>
          <w:p>
            <w:pPr>
              <w:spacing w:after="0"/>
              <w:rPr>
                <w:sz w:val="13"/>
                <w:szCs w:val="13"/>
                <w:color w:val="auto"/>
              </w:rPr>
            </w:pP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1,429,150</w:t>
            </w: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bl>
    <w:p>
      <w:pPr>
        <w:spacing w:after="0" w:line="213"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Cash used for operating activities</w:t>
      </w:r>
    </w:p>
    <w:p>
      <w:pPr>
        <w:spacing w:after="0" w:line="80" w:lineRule="exact"/>
        <w:rPr>
          <w:sz w:val="20"/>
          <w:szCs w:val="20"/>
          <w:color w:val="auto"/>
        </w:rPr>
      </w:pPr>
    </w:p>
    <w:p>
      <w:pPr>
        <w:ind w:left="640" w:right="659"/>
        <w:spacing w:after="0" w:line="248" w:lineRule="auto"/>
        <w:rPr>
          <w:sz w:val="20"/>
          <w:szCs w:val="20"/>
          <w:color w:val="auto"/>
        </w:rPr>
      </w:pPr>
      <w:r>
        <w:rPr>
          <w:rFonts w:ascii="Times New Roman" w:cs="Times New Roman" w:eastAsia="Times New Roman" w:hAnsi="Times New Roman"/>
          <w:sz w:val="13"/>
          <w:szCs w:val="13"/>
          <w:color w:val="auto"/>
        </w:rPr>
        <w:t>Cash used for operating activities increased by $868,347, from $155,078 for the nine months ended September 30, 2021 to $1,023,425 for the nine months ended September 30, 2022. The change is primarily attributable to a larger operating loss and negative changes in working capital during the nine months ended September 30, 2022. Cash used for inventories increased by $165,776, from $145,378 for the nine months ended September 30, 2021 to $311,154 for the nine months ended September 30, 2022. This change is primarily attributed to accelerated production of the Polestar 2 following the end of the COVID-19 lockdowns in eastern China that occurred in the first half of 2022, necessary in order to be able to deliver on open customer orders.</w:t>
      </w:r>
    </w:p>
    <w:p>
      <w:pPr>
        <w:spacing w:after="0" w:line="135" w:lineRule="exact"/>
        <w:rPr>
          <w:sz w:val="20"/>
          <w:szCs w:val="20"/>
          <w:color w:val="auto"/>
        </w:rPr>
      </w:pPr>
    </w:p>
    <w:p>
      <w:pPr>
        <w:ind w:left="640" w:right="659"/>
        <w:spacing w:after="0" w:line="248" w:lineRule="auto"/>
        <w:rPr>
          <w:sz w:val="20"/>
          <w:szCs w:val="20"/>
          <w:color w:val="auto"/>
        </w:rPr>
      </w:pPr>
      <w:r>
        <w:rPr>
          <w:rFonts w:ascii="Times New Roman" w:cs="Times New Roman" w:eastAsia="Times New Roman" w:hAnsi="Times New Roman"/>
          <w:sz w:val="13"/>
          <w:szCs w:val="13"/>
          <w:color w:val="auto"/>
        </w:rPr>
        <w:t>Cash provided by changes in trade receivables, prepaid expenses, and other assets decreased by $253,884, from a cash inflow of $210,426 for the nine months ended September 30, 2021 to a cash outflow of $43,458 for the nine months ended September 30, 2022, primarily reflecting the impact of higher outstanding trade receivables with Volvo Cars. Cash provided by changes in trade payables, accrued expenses, and other liabilities decreased by $305,087, from a cash inflow of $244,442 for the nine months ended September 30, 2021 to a cash outflow of $60,645 for the nine months ended September 30, 2022, primarily due to higher repayments of trade payables and accrued expenses with Volvo Cars and Geely during the nine months ended September 30, 2022.</w:t>
      </w:r>
    </w:p>
    <w:p>
      <w:pPr>
        <w:spacing w:after="0" w:line="8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12</w:t>
      </w:r>
    </w:p>
    <w:p>
      <w:pPr>
        <w:sectPr>
          <w:pgSz w:w="11900" w:h="16838" w:orient="portrait"/>
          <w:cols w:equalWidth="0" w:num="1">
            <w:col w:w="9019"/>
          </w:cols>
          <w:pgMar w:left="1440" w:top="229" w:right="1440" w:bottom="1440" w:gutter="0" w:footer="0" w:header="0"/>
        </w:sectPr>
      </w:pPr>
    </w:p>
    <w:bookmarkStart w:id="55" w:name="page56"/>
    <w:bookmarkEnd w:id="55"/>
    <w:p>
      <w:pPr>
        <w:ind w:left="640"/>
        <w:spacing w:after="0"/>
        <w:rPr>
          <w:sz w:val="20"/>
          <w:szCs w:val="20"/>
          <w:color w:val="auto"/>
        </w:rPr>
      </w:pPr>
      <w:r>
        <w:rPr>
          <w:rFonts w:ascii="Times New Roman" w:cs="Times New Roman" w:eastAsia="Times New Roman" w:hAnsi="Times New Roman"/>
          <w:sz w:val="13"/>
          <w:szCs w:val="13"/>
          <w:i w:val="1"/>
          <w:iCs w:val="1"/>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10425" cy="30480"/>
                    </a:xfrm>
                    <a:prstGeom prst="rect">
                      <a:avLst/>
                    </a:prstGeom>
                    <a:noFill/>
                  </pic:spPr>
                </pic:pic>
              </a:graphicData>
            </a:graphic>
          </wp:anchor>
        </w:drawing>
        <w:t>Cash used for investing activities</w:t>
      </w:r>
    </w:p>
    <w:p>
      <w:pPr>
        <w:spacing w:after="0" w:line="80" w:lineRule="exact"/>
        <w:rPr>
          <w:sz w:val="20"/>
          <w:szCs w:val="20"/>
          <w:color w:val="auto"/>
        </w:rPr>
      </w:pPr>
    </w:p>
    <w:p>
      <w:pPr>
        <w:ind w:left="640" w:right="759"/>
        <w:spacing w:after="0" w:line="251" w:lineRule="auto"/>
        <w:rPr>
          <w:sz w:val="20"/>
          <w:szCs w:val="20"/>
          <w:color w:val="auto"/>
        </w:rPr>
      </w:pPr>
      <w:r>
        <w:rPr>
          <w:rFonts w:ascii="Times New Roman" w:cs="Times New Roman" w:eastAsia="Times New Roman" w:hAnsi="Times New Roman"/>
          <w:sz w:val="13"/>
          <w:szCs w:val="13"/>
          <w:color w:val="auto"/>
        </w:rPr>
        <w:t>Cash used for investing activities increased by $580,607 from $72,171 for the nine months ended September 30, 2021 to $652,778 for the nine months ended September 30, 2022. The change was primarily the result of significantly more cash settlements with Volvo Cars and Geely for prior period investments in intellectual property related to the Polestar 2, Polestar 3 and Polestar 4. Polestar also made an investment of $2,480 in the fast-charging battery technology innovator, StoreDot, during the nine months ended September 30, 2022.</w:t>
      </w:r>
    </w:p>
    <w:p>
      <w:pPr>
        <w:spacing w:after="0" w:line="207"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Cash provided by financing activities</w:t>
      </w:r>
    </w:p>
    <w:p>
      <w:pPr>
        <w:spacing w:after="0" w:line="80" w:lineRule="exact"/>
        <w:rPr>
          <w:sz w:val="20"/>
          <w:szCs w:val="20"/>
          <w:color w:val="auto"/>
        </w:rPr>
      </w:pPr>
    </w:p>
    <w:p>
      <w:pPr>
        <w:ind w:left="640" w:right="659"/>
        <w:spacing w:after="0" w:line="246" w:lineRule="auto"/>
        <w:rPr>
          <w:sz w:val="20"/>
          <w:szCs w:val="20"/>
          <w:color w:val="auto"/>
        </w:rPr>
      </w:pPr>
      <w:r>
        <w:rPr>
          <w:rFonts w:ascii="Times New Roman" w:cs="Times New Roman" w:eastAsia="Times New Roman" w:hAnsi="Times New Roman"/>
          <w:sz w:val="13"/>
          <w:szCs w:val="13"/>
          <w:color w:val="auto"/>
        </w:rPr>
        <w:t>Cash provided by financing activities increased by $1,429,150, from $536,603 for the nine months ended September 30, 2021 to $1,965,753 for the nine months ended September 30, 2022. The change was primarily the result of (1) the merger with GGI that occurred on June 23, 2022 and (2) increased liquidity provided by seven short-term working capital facilities secured by Polestar during the nine months ended September 30, 2022. The merger with GGI and related arrangements provided Polestar with net cash proceeds of $1,417,973. Polestar’s borrowings provided $1,555,201 in gross cash proceeds during the period, of which $815,541 was sourced from six short-term working capital facilities with Chinese banking partners, $642,520 was sourced from a green trade revolving credit facility with a syndicate of European banks, and $97,130 was sourced from multiple low-value floorplan and sale-leaseback facilities, including a small credit facility with Volvo Cars. These gross cash proceeds were partially offset by principal repayments of $957,186 during the period, of which $597,467 was used to settle three short-term working capital facilities with Chinese banking partners, $271,412 was used to settle amounts due on the green trade revolving credit facility, and $88,307 was used to settle amounts due on the low-value floorplan and sale-leaseback facilities, including the credit facility with Volvo Cars.</w:t>
      </w:r>
    </w:p>
    <w:p>
      <w:pPr>
        <w:spacing w:after="0" w:line="136" w:lineRule="exact"/>
        <w:rPr>
          <w:sz w:val="20"/>
          <w:szCs w:val="20"/>
          <w:color w:val="auto"/>
        </w:rPr>
      </w:pPr>
    </w:p>
    <w:p>
      <w:pPr>
        <w:ind w:left="640" w:right="739"/>
        <w:spacing w:after="0" w:line="249" w:lineRule="auto"/>
        <w:rPr>
          <w:sz w:val="20"/>
          <w:szCs w:val="20"/>
          <w:color w:val="auto"/>
        </w:rPr>
      </w:pPr>
      <w:r>
        <w:rPr>
          <w:rFonts w:ascii="Times New Roman" w:cs="Times New Roman" w:eastAsia="Times New Roman" w:hAnsi="Times New Roman"/>
          <w:sz w:val="13"/>
          <w:szCs w:val="13"/>
          <w:color w:val="auto"/>
        </w:rPr>
        <w:t>During the nine months ended September 30, 2021, Polestar sourced $832,701 in financing which was comprised of (1) $547,157 from an equity injection from various investors, including Geely, (2) $250,313 from short-term working capital facilities with Chinese and European banking partners, and (3) $35,231 from a convertible note issuance to various investors, including Geely. These gross cash proceeds were partially offset by principal repayments of $341,863 during the period, all of which was used to settle three short-term working capital facilities and amounts due on low-value floorplan and sale-leaseback facilities.</w:t>
      </w:r>
    </w:p>
    <w:p>
      <w:pPr>
        <w:spacing w:after="0" w:line="8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13</w:t>
      </w:r>
    </w:p>
    <w:p>
      <w:pPr>
        <w:sectPr>
          <w:pgSz w:w="11900" w:h="16838" w:orient="portrait"/>
          <w:cols w:equalWidth="0" w:num="1">
            <w:col w:w="9019"/>
          </w:cols>
          <w:pgMar w:left="1440" w:top="229" w:right="1440" w:bottom="1440" w:gutter="0" w:footer="0" w:header="0"/>
        </w:sectPr>
      </w:pPr>
    </w:p>
    <w:bookmarkStart w:id="56" w:name="page57"/>
    <w:bookmarkEnd w:id="56"/>
    <w:p>
      <w:pPr>
        <w:ind w:left="640"/>
        <w:spacing w:after="0"/>
        <w:rPr>
          <w:sz w:val="20"/>
          <w:szCs w:val="20"/>
          <w:color w:val="auto"/>
        </w:rPr>
      </w:pPr>
      <w:r>
        <w:rPr>
          <w:rFonts w:ascii="Times New Roman" w:cs="Times New Roman" w:eastAsia="Times New Roman" w:hAnsi="Times New Roman"/>
          <w:sz w:val="13"/>
          <w:szCs w:val="13"/>
          <w:i w:val="1"/>
          <w:iCs w:val="1"/>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210425" cy="30480"/>
                    </a:xfrm>
                    <a:prstGeom prst="rect">
                      <a:avLst/>
                    </a:prstGeom>
                    <a:noFill/>
                  </pic:spPr>
                </pic:pic>
              </a:graphicData>
            </a:graphic>
          </wp:anchor>
        </w:drawing>
        <w:t>Contractual obligations and commitments</w:t>
      </w:r>
    </w:p>
    <w:p>
      <w:pPr>
        <w:spacing w:after="0" w:line="80" w:lineRule="exact"/>
        <w:rPr>
          <w:sz w:val="20"/>
          <w:szCs w:val="20"/>
          <w:color w:val="auto"/>
        </w:rPr>
      </w:pPr>
    </w:p>
    <w:p>
      <w:pPr>
        <w:ind w:left="640" w:right="719"/>
        <w:spacing w:after="0" w:line="251" w:lineRule="auto"/>
        <w:rPr>
          <w:sz w:val="20"/>
          <w:szCs w:val="20"/>
          <w:color w:val="auto"/>
        </w:rPr>
      </w:pPr>
      <w:r>
        <w:rPr>
          <w:rFonts w:ascii="Times New Roman" w:cs="Times New Roman" w:eastAsia="Times New Roman" w:hAnsi="Times New Roman"/>
          <w:sz w:val="13"/>
          <w:szCs w:val="13"/>
          <w:color w:val="auto"/>
        </w:rPr>
        <w:t>Polestar is party to contractual obligations to make payments to third parties and related parties in the form of short-term credit facilities, sale leaseback arrangements, and various other leasing arrangements. Polestar also has certain capital commitments to purchase property, plant and equipment and intellectual property. The following table summarizes Polestar’s estimated future cash expenditures related to contractual obligations and commitments as of September 30, 2022:</w:t>
      </w:r>
    </w:p>
    <w:p>
      <w:pPr>
        <w:spacing w:after="0" w:line="137" w:lineRule="exact"/>
        <w:rPr>
          <w:sz w:val="20"/>
          <w:szCs w:val="20"/>
          <w:color w:val="auto"/>
        </w:rPr>
      </w:pPr>
    </w:p>
    <w:tbl>
      <w:tblPr>
        <w:tblLayout w:type="fixed"/>
        <w:tblInd w:w="1260" w:type="dxa"/>
        <w:tblCellMar>
          <w:top w:w="0" w:type="dxa"/>
          <w:left w:w="0" w:type="dxa"/>
          <w:bottom w:w="0" w:type="dxa"/>
          <w:right w:w="0" w:type="dxa"/>
        </w:tblCellMar>
      </w:tblPr>
      <w:tr>
        <w:trPr>
          <w:trHeight w:val="115"/>
        </w:trPr>
        <w:tc>
          <w:tcPr>
            <w:tcW w:w="4520" w:type="dxa"/>
            <w:vAlign w:val="bottom"/>
          </w:tcPr>
          <w:p>
            <w:pPr>
              <w:spacing w:after="0"/>
              <w:rPr>
                <w:sz w:val="10"/>
                <w:szCs w:val="10"/>
                <w:color w:val="auto"/>
              </w:rPr>
            </w:pPr>
          </w:p>
        </w:tc>
        <w:tc>
          <w:tcPr>
            <w:tcW w:w="1980" w:type="dxa"/>
            <w:vAlign w:val="bottom"/>
            <w:gridSpan w:val="6"/>
          </w:tcPr>
          <w:p>
            <w:pPr>
              <w:jc w:val="center"/>
              <w:ind w:right="60"/>
              <w:spacing w:after="0"/>
              <w:rPr>
                <w:sz w:val="20"/>
                <w:szCs w:val="20"/>
                <w:color w:val="auto"/>
              </w:rPr>
            </w:pPr>
            <w:r>
              <w:rPr>
                <w:rFonts w:ascii="Times New Roman" w:cs="Times New Roman" w:eastAsia="Times New Roman" w:hAnsi="Times New Roman"/>
                <w:sz w:val="10"/>
                <w:szCs w:val="10"/>
                <w:b w:val="1"/>
                <w:bCs w:val="1"/>
                <w:color w:val="auto"/>
              </w:rPr>
              <w:t>Payments due by period</w:t>
            </w:r>
          </w:p>
        </w:tc>
      </w:tr>
      <w:tr>
        <w:trPr>
          <w:trHeight w:val="104"/>
        </w:trPr>
        <w:tc>
          <w:tcPr>
            <w:tcW w:w="4520" w:type="dxa"/>
            <w:vAlign w:val="bottom"/>
          </w:tcPr>
          <w:p>
            <w:pPr>
              <w:spacing w:after="0"/>
              <w:rPr>
                <w:sz w:val="9"/>
                <w:szCs w:val="9"/>
                <w:color w:val="auto"/>
              </w:rPr>
            </w:pPr>
          </w:p>
        </w:tc>
        <w:tc>
          <w:tcPr>
            <w:tcW w:w="540" w:type="dxa"/>
            <w:vAlign w:val="bottom"/>
          </w:tcPr>
          <w:p>
            <w:pPr>
              <w:spacing w:after="0"/>
              <w:rPr>
                <w:sz w:val="9"/>
                <w:szCs w:val="9"/>
                <w:color w:val="auto"/>
              </w:rPr>
            </w:pPr>
          </w:p>
        </w:tc>
        <w:tc>
          <w:tcPr>
            <w:tcW w:w="160" w:type="dxa"/>
            <w:vAlign w:val="bottom"/>
          </w:tcPr>
          <w:p>
            <w:pPr>
              <w:spacing w:after="0"/>
              <w:rPr>
                <w:sz w:val="9"/>
                <w:szCs w:val="9"/>
                <w:color w:val="auto"/>
              </w:rPr>
            </w:pPr>
          </w:p>
        </w:tc>
        <w:tc>
          <w:tcPr>
            <w:tcW w:w="560" w:type="dxa"/>
            <w:vAlign w:val="bottom"/>
          </w:tcPr>
          <w:p>
            <w:pPr>
              <w:jc w:val="center"/>
              <w:spacing w:after="0" w:line="104" w:lineRule="exact"/>
              <w:rPr>
                <w:sz w:val="20"/>
                <w:szCs w:val="20"/>
                <w:color w:val="auto"/>
              </w:rPr>
            </w:pPr>
            <w:r>
              <w:rPr>
                <w:rFonts w:ascii="Times New Roman" w:cs="Times New Roman" w:eastAsia="Times New Roman" w:hAnsi="Times New Roman"/>
                <w:sz w:val="10"/>
                <w:szCs w:val="10"/>
                <w:b w:val="1"/>
                <w:bCs w:val="1"/>
                <w:color w:val="auto"/>
              </w:rPr>
              <w:t>Less than</w:t>
            </w:r>
          </w:p>
        </w:tc>
        <w:tc>
          <w:tcPr>
            <w:tcW w:w="160" w:type="dxa"/>
            <w:vAlign w:val="bottom"/>
          </w:tcPr>
          <w:p>
            <w:pPr>
              <w:spacing w:after="0"/>
              <w:rPr>
                <w:sz w:val="9"/>
                <w:szCs w:val="9"/>
                <w:color w:val="auto"/>
              </w:rPr>
            </w:pPr>
          </w:p>
        </w:tc>
        <w:tc>
          <w:tcPr>
            <w:tcW w:w="520" w:type="dxa"/>
            <w:vAlign w:val="bottom"/>
          </w:tcPr>
          <w:p>
            <w:pPr>
              <w:spacing w:after="0"/>
              <w:rPr>
                <w:sz w:val="9"/>
                <w:szCs w:val="9"/>
                <w:color w:val="auto"/>
              </w:rPr>
            </w:pPr>
          </w:p>
        </w:tc>
        <w:tc>
          <w:tcPr>
            <w:tcW w:w="40" w:type="dxa"/>
            <w:vAlign w:val="bottom"/>
          </w:tcPr>
          <w:p>
            <w:pPr>
              <w:spacing w:after="0"/>
              <w:rPr>
                <w:sz w:val="9"/>
                <w:szCs w:val="9"/>
                <w:color w:val="auto"/>
              </w:rPr>
            </w:pPr>
          </w:p>
        </w:tc>
      </w:tr>
      <w:tr>
        <w:trPr>
          <w:trHeight w:val="130"/>
        </w:trPr>
        <w:tc>
          <w:tcPr>
            <w:tcW w:w="4520" w:type="dxa"/>
            <w:vAlign w:val="bottom"/>
          </w:tcPr>
          <w:p>
            <w:pPr>
              <w:spacing w:after="0"/>
              <w:rPr>
                <w:sz w:val="20"/>
                <w:szCs w:val="20"/>
                <w:color w:val="auto"/>
              </w:rPr>
            </w:pPr>
            <w:r>
              <w:rPr>
                <w:rFonts w:ascii="Times New Roman" w:cs="Times New Roman" w:eastAsia="Times New Roman" w:hAnsi="Times New Roman"/>
                <w:sz w:val="10"/>
                <w:szCs w:val="10"/>
                <w:b w:val="1"/>
                <w:bCs w:val="1"/>
                <w:color w:val="auto"/>
              </w:rPr>
              <w:t>Contractual obligations and commitments</w:t>
            </w:r>
          </w:p>
        </w:tc>
        <w:tc>
          <w:tcPr>
            <w:tcW w:w="540" w:type="dxa"/>
            <w:vAlign w:val="bottom"/>
          </w:tcPr>
          <w:p>
            <w:pPr>
              <w:jc w:val="right"/>
              <w:ind w:right="101"/>
              <w:spacing w:after="0"/>
              <w:rPr>
                <w:sz w:val="20"/>
                <w:szCs w:val="20"/>
                <w:color w:val="auto"/>
              </w:rPr>
            </w:pPr>
            <w:r>
              <w:rPr>
                <w:rFonts w:ascii="Times New Roman" w:cs="Times New Roman" w:eastAsia="Times New Roman" w:hAnsi="Times New Roman"/>
                <w:sz w:val="10"/>
                <w:szCs w:val="10"/>
                <w:b w:val="1"/>
                <w:bCs w:val="1"/>
                <w:color w:val="auto"/>
              </w:rPr>
              <w:t>Total</w:t>
            </w:r>
          </w:p>
        </w:tc>
        <w:tc>
          <w:tcPr>
            <w:tcW w:w="160" w:type="dxa"/>
            <w:vAlign w:val="bottom"/>
          </w:tcPr>
          <w:p>
            <w:pPr>
              <w:spacing w:after="0"/>
              <w:rPr>
                <w:sz w:val="11"/>
                <w:szCs w:val="11"/>
                <w:color w:val="auto"/>
              </w:rPr>
            </w:pPr>
          </w:p>
        </w:tc>
        <w:tc>
          <w:tcPr>
            <w:tcW w:w="560" w:type="dxa"/>
            <w:vAlign w:val="bottom"/>
          </w:tcPr>
          <w:p>
            <w:pPr>
              <w:jc w:val="center"/>
              <w:spacing w:after="0"/>
              <w:rPr>
                <w:sz w:val="20"/>
                <w:szCs w:val="20"/>
                <w:color w:val="auto"/>
              </w:rPr>
            </w:pPr>
            <w:r>
              <w:rPr>
                <w:rFonts w:ascii="Times New Roman" w:cs="Times New Roman" w:eastAsia="Times New Roman" w:hAnsi="Times New Roman"/>
                <w:sz w:val="10"/>
                <w:szCs w:val="10"/>
                <w:b w:val="1"/>
                <w:bCs w:val="1"/>
                <w:color w:val="auto"/>
                <w:w w:val="98"/>
              </w:rPr>
              <w:t>1 year</w:t>
            </w:r>
          </w:p>
        </w:tc>
        <w:tc>
          <w:tcPr>
            <w:tcW w:w="720" w:type="dxa"/>
            <w:vAlign w:val="bottom"/>
            <w:gridSpan w:val="3"/>
          </w:tcPr>
          <w:p>
            <w:pPr>
              <w:ind w:left="160"/>
              <w:spacing w:after="0"/>
              <w:rPr>
                <w:sz w:val="20"/>
                <w:szCs w:val="20"/>
                <w:color w:val="auto"/>
              </w:rPr>
            </w:pPr>
            <w:r>
              <w:rPr>
                <w:rFonts w:ascii="Times New Roman" w:cs="Times New Roman" w:eastAsia="Times New Roman" w:hAnsi="Times New Roman"/>
                <w:sz w:val="10"/>
                <w:szCs w:val="10"/>
                <w:b w:val="1"/>
                <w:bCs w:val="1"/>
                <w:color w:val="auto"/>
              </w:rPr>
              <w:t>After 1 year</w:t>
            </w:r>
          </w:p>
        </w:tc>
      </w:tr>
      <w:tr>
        <w:trPr>
          <w:trHeight w:val="152"/>
        </w:trPr>
        <w:tc>
          <w:tcPr>
            <w:tcW w:w="45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Capital commitments</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515,942</w:t>
            </w:r>
          </w:p>
        </w:tc>
        <w:tc>
          <w:tcPr>
            <w:tcW w:w="7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352,128</w:t>
            </w:r>
          </w:p>
        </w:tc>
        <w:tc>
          <w:tcPr>
            <w:tcW w:w="6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163,814</w:t>
            </w:r>
          </w:p>
        </w:tc>
        <w:tc>
          <w:tcPr>
            <w:tcW w:w="40" w:type="dxa"/>
            <w:vAlign w:val="bottom"/>
            <w:shd w:val="clear" w:color="auto" w:fill="CCEEFF"/>
          </w:tcPr>
          <w:p>
            <w:pPr>
              <w:spacing w:after="0"/>
              <w:rPr>
                <w:sz w:val="13"/>
                <w:szCs w:val="13"/>
                <w:color w:val="auto"/>
              </w:rPr>
            </w:pPr>
          </w:p>
        </w:tc>
      </w:tr>
      <w:tr>
        <w:trPr>
          <w:trHeight w:val="152"/>
        </w:trPr>
        <w:tc>
          <w:tcPr>
            <w:tcW w:w="4520" w:type="dxa"/>
            <w:vAlign w:val="bottom"/>
          </w:tcPr>
          <w:p>
            <w:pPr>
              <w:spacing w:after="0"/>
              <w:rPr>
                <w:sz w:val="20"/>
                <w:szCs w:val="20"/>
                <w:color w:val="auto"/>
              </w:rPr>
            </w:pPr>
            <w:r>
              <w:rPr>
                <w:rFonts w:ascii="Times New Roman" w:cs="Times New Roman" w:eastAsia="Times New Roman" w:hAnsi="Times New Roman"/>
                <w:sz w:val="13"/>
                <w:szCs w:val="13"/>
                <w:color w:val="auto"/>
              </w:rPr>
              <w:t>Credit facilities, including sale-leasebacks</w:t>
            </w:r>
          </w:p>
        </w:tc>
        <w:tc>
          <w:tcPr>
            <w:tcW w:w="540" w:type="dxa"/>
            <w:vAlign w:val="bottom"/>
          </w:tcPr>
          <w:p>
            <w:pPr>
              <w:jc w:val="right"/>
              <w:spacing w:after="0"/>
              <w:rPr>
                <w:sz w:val="20"/>
                <w:szCs w:val="20"/>
                <w:color w:val="auto"/>
              </w:rPr>
            </w:pPr>
            <w:r>
              <w:rPr>
                <w:rFonts w:ascii="Times New Roman" w:cs="Times New Roman" w:eastAsia="Times New Roman" w:hAnsi="Times New Roman"/>
                <w:sz w:val="13"/>
                <w:szCs w:val="13"/>
                <w:color w:val="auto"/>
                <w:w w:val="99"/>
              </w:rPr>
              <w:t>1,185,568</w:t>
            </w:r>
          </w:p>
        </w:tc>
        <w:tc>
          <w:tcPr>
            <w:tcW w:w="72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1,185,568</w:t>
            </w:r>
          </w:p>
        </w:tc>
        <w:tc>
          <w:tcPr>
            <w:tcW w:w="160" w:type="dxa"/>
            <w:vAlign w:val="bottom"/>
          </w:tcPr>
          <w:p>
            <w:pPr>
              <w:spacing w:after="0"/>
              <w:rPr>
                <w:sz w:val="13"/>
                <w:szCs w:val="13"/>
                <w:color w:val="auto"/>
              </w:rPr>
            </w:pPr>
          </w:p>
        </w:tc>
        <w:tc>
          <w:tcPr>
            <w:tcW w:w="560" w:type="dxa"/>
            <w:vAlign w:val="bottom"/>
            <w:gridSpan w:val="2"/>
          </w:tcPr>
          <w:p>
            <w:pPr>
              <w:ind w:left="320"/>
              <w:spacing w:after="0"/>
              <w:rPr>
                <w:sz w:val="20"/>
                <w:szCs w:val="20"/>
                <w:color w:val="auto"/>
              </w:rPr>
            </w:pPr>
            <w:r>
              <w:rPr>
                <w:rFonts w:ascii="Times New Roman" w:cs="Times New Roman" w:eastAsia="Times New Roman" w:hAnsi="Times New Roman"/>
                <w:sz w:val="13"/>
                <w:szCs w:val="13"/>
                <w:color w:val="auto"/>
              </w:rPr>
              <w:t>—</w:t>
            </w:r>
          </w:p>
        </w:tc>
      </w:tr>
      <w:tr>
        <w:trPr>
          <w:trHeight w:val="152"/>
        </w:trPr>
        <w:tc>
          <w:tcPr>
            <w:tcW w:w="45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Lease obligations</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92,274</w:t>
            </w:r>
          </w:p>
        </w:tc>
        <w:tc>
          <w:tcPr>
            <w:tcW w:w="7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16,936</w:t>
            </w:r>
          </w:p>
        </w:tc>
        <w:tc>
          <w:tcPr>
            <w:tcW w:w="6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75,338</w:t>
            </w:r>
          </w:p>
        </w:tc>
        <w:tc>
          <w:tcPr>
            <w:tcW w:w="40" w:type="dxa"/>
            <w:vAlign w:val="bottom"/>
            <w:shd w:val="clear" w:color="auto" w:fill="CCEEFF"/>
          </w:tcPr>
          <w:p>
            <w:pPr>
              <w:spacing w:after="0"/>
              <w:rPr>
                <w:sz w:val="13"/>
                <w:szCs w:val="13"/>
                <w:color w:val="auto"/>
              </w:rPr>
            </w:pPr>
          </w:p>
        </w:tc>
      </w:tr>
      <w:tr>
        <w:trPr>
          <w:trHeight w:val="151"/>
        </w:trPr>
        <w:tc>
          <w:tcPr>
            <w:tcW w:w="452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Total</w:t>
            </w:r>
          </w:p>
        </w:tc>
        <w:tc>
          <w:tcPr>
            <w:tcW w:w="5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w w:val="99"/>
              </w:rPr>
              <w:t>1,793,784</w:t>
            </w:r>
          </w:p>
        </w:tc>
        <w:tc>
          <w:tcPr>
            <w:tcW w:w="160" w:type="dxa"/>
            <w:vAlign w:val="bottom"/>
          </w:tcPr>
          <w:p>
            <w:pPr>
              <w:spacing w:after="0"/>
              <w:rPr>
                <w:sz w:val="13"/>
                <w:szCs w:val="13"/>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w w:val="99"/>
              </w:rPr>
              <w:t>1,554,632</w:t>
            </w:r>
          </w:p>
        </w:tc>
        <w:tc>
          <w:tcPr>
            <w:tcW w:w="160" w:type="dxa"/>
            <w:vAlign w:val="bottom"/>
          </w:tcPr>
          <w:p>
            <w:pPr>
              <w:spacing w:after="0"/>
              <w:rPr>
                <w:sz w:val="13"/>
                <w:szCs w:val="13"/>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239,152</w:t>
            </w:r>
          </w:p>
        </w:tc>
        <w:tc>
          <w:tcPr>
            <w:tcW w:w="40" w:type="dxa"/>
            <w:vAlign w:val="bottom"/>
          </w:tcPr>
          <w:p>
            <w:pPr>
              <w:spacing w:after="0"/>
              <w:rPr>
                <w:sz w:val="13"/>
                <w:szCs w:val="13"/>
                <w:color w:val="auto"/>
              </w:rPr>
            </w:pPr>
          </w:p>
        </w:tc>
      </w:tr>
    </w:tbl>
    <w:p>
      <w:pPr>
        <w:spacing w:after="0" w:line="22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Critical accounting estimates</w:t>
      </w:r>
    </w:p>
    <w:p>
      <w:pPr>
        <w:spacing w:after="0" w:line="80" w:lineRule="exact"/>
        <w:rPr>
          <w:sz w:val="20"/>
          <w:szCs w:val="20"/>
          <w:color w:val="auto"/>
        </w:rPr>
      </w:pPr>
    </w:p>
    <w:p>
      <w:pPr>
        <w:ind w:left="640" w:right="779"/>
        <w:spacing w:after="0" w:line="267" w:lineRule="auto"/>
        <w:rPr>
          <w:sz w:val="20"/>
          <w:szCs w:val="20"/>
          <w:color w:val="auto"/>
        </w:rPr>
      </w:pPr>
      <w:r>
        <w:rPr>
          <w:rFonts w:ascii="Times New Roman" w:cs="Times New Roman" w:eastAsia="Times New Roman" w:hAnsi="Times New Roman"/>
          <w:sz w:val="13"/>
          <w:szCs w:val="13"/>
          <w:color w:val="auto"/>
        </w:rPr>
        <w:t>The following paragraphs discuss new accounting estimates applied during the nine months ended September 30, 2022 that are critical to the portrayal of our financial condition and results of operations and that require significant, difficult, subjective, or complex judgements.</w:t>
      </w:r>
    </w:p>
    <w:p>
      <w:pPr>
        <w:spacing w:after="0" w:line="196" w:lineRule="exact"/>
        <w:rPr>
          <w:sz w:val="20"/>
          <w:szCs w:val="20"/>
          <w:color w:val="auto"/>
        </w:rPr>
      </w:pPr>
    </w:p>
    <w:p>
      <w:pPr>
        <w:ind w:left="640" w:right="959"/>
        <w:spacing w:after="0" w:line="270" w:lineRule="auto"/>
        <w:rPr>
          <w:sz w:val="20"/>
          <w:szCs w:val="20"/>
          <w:color w:val="auto"/>
        </w:rPr>
      </w:pPr>
      <w:r>
        <w:rPr>
          <w:rFonts w:ascii="Times New Roman" w:cs="Times New Roman" w:eastAsia="Times New Roman" w:hAnsi="Times New Roman"/>
          <w:sz w:val="13"/>
          <w:szCs w:val="13"/>
          <w:i w:val="1"/>
          <w:iCs w:val="1"/>
          <w:color w:val="auto"/>
        </w:rPr>
        <w:t>Fair value measurement – methodologies for measuring the fair value of the financial liabilities related to the Class C-2 Shares and the contingent earn-out rights</w:t>
      </w:r>
    </w:p>
    <w:p>
      <w:pPr>
        <w:spacing w:after="0" w:line="45" w:lineRule="exact"/>
        <w:rPr>
          <w:sz w:val="20"/>
          <w:szCs w:val="20"/>
          <w:color w:val="auto"/>
        </w:rPr>
      </w:pPr>
    </w:p>
    <w:p>
      <w:pPr>
        <w:ind w:left="640" w:right="699"/>
        <w:spacing w:after="0" w:line="255" w:lineRule="auto"/>
        <w:rPr>
          <w:sz w:val="20"/>
          <w:szCs w:val="20"/>
          <w:color w:val="auto"/>
        </w:rPr>
      </w:pPr>
      <w:r>
        <w:rPr>
          <w:rFonts w:ascii="Times New Roman" w:cs="Times New Roman" w:eastAsia="Times New Roman" w:hAnsi="Times New Roman"/>
          <w:sz w:val="13"/>
          <w:szCs w:val="13"/>
          <w:color w:val="auto"/>
        </w:rPr>
        <w:t>The Class C-2 Shares and the contingent earn-out rights are derivative financial instruments that are carried at fair value through profit and loss. Quoted or observable prices for these financial instruments are not available in active markets, requiring Polestar to estimate the fair value of the instruments each period utilizing certain valuation techniques.</w:t>
      </w:r>
    </w:p>
    <w:p>
      <w:pPr>
        <w:spacing w:after="0" w:line="130" w:lineRule="exact"/>
        <w:rPr>
          <w:sz w:val="20"/>
          <w:szCs w:val="20"/>
          <w:color w:val="auto"/>
        </w:rPr>
      </w:pPr>
    </w:p>
    <w:p>
      <w:pPr>
        <w:ind w:left="640" w:right="759"/>
        <w:spacing w:after="0" w:line="247" w:lineRule="auto"/>
        <w:rPr>
          <w:sz w:val="20"/>
          <w:szCs w:val="20"/>
          <w:color w:val="auto"/>
        </w:rPr>
      </w:pPr>
      <w:r>
        <w:rPr>
          <w:rFonts w:ascii="Times New Roman" w:cs="Times New Roman" w:eastAsia="Times New Roman" w:hAnsi="Times New Roman"/>
          <w:sz w:val="13"/>
          <w:szCs w:val="13"/>
          <w:color w:val="auto"/>
        </w:rPr>
        <w:t>The fair value of the financial liability for the Class C-2 Shares is measured using a binomial lattice option pricing model that incorporates a geometric Brownian motion and references the observable price of the Class C-1 Shares. The Class C-1 Shares are almost identical instruments and are publicly traded on the NASDAQ (i.e., an active market). The inputs for this valuation technique include (1) the price of the Class C-1 Shares, (2) the implied volatility of the Class C-2 Shares, determined by reference to the implied volatility of the Class C-1 Shares, (3) the 5-year risk-free rate, and (4) the dividend yield of the Class C-2 Shares. Polestar considers these inputs to be primarily observable by reference to information on the Class C-1 Shares and other information available to the public (e.g., the 5-year risk-free rate is available by reference to published U.S. treasury rates), resulting in a Level 2 measurement methodology.</w:t>
      </w:r>
    </w:p>
    <w:p>
      <w:pPr>
        <w:spacing w:after="0" w:line="136" w:lineRule="exact"/>
        <w:rPr>
          <w:sz w:val="20"/>
          <w:szCs w:val="20"/>
          <w:color w:val="auto"/>
        </w:rPr>
      </w:pPr>
    </w:p>
    <w:p>
      <w:pPr>
        <w:ind w:left="640" w:right="659"/>
        <w:spacing w:after="0" w:line="248" w:lineRule="auto"/>
        <w:rPr>
          <w:sz w:val="20"/>
          <w:szCs w:val="20"/>
          <w:color w:val="auto"/>
        </w:rPr>
      </w:pPr>
      <w:r>
        <w:rPr>
          <w:rFonts w:ascii="Times New Roman" w:cs="Times New Roman" w:eastAsia="Times New Roman" w:hAnsi="Times New Roman"/>
          <w:sz w:val="13"/>
          <w:szCs w:val="13"/>
          <w:color w:val="auto"/>
        </w:rPr>
        <w:t>The fair value of the financial liability for the earn-out rights is measured using a Monte Carlo simulation. The inputs for this valuation technique include (1) the remaining term of the instrument, (2) the five earn-out tranches, (3) the probability of the Polestar’s Class A Shares reaching certain daily volume weighted average prices during the earn out period resulting in the issuance of each tranche of Class A Shares and Class B Shares, as determined by leveraging the implied volatility of the Class A Shares, and (4) the 5-year risk-free rate. The price and implied volatility of the Class A Shares are the most significant inputs to the Monte Carlo Simulation. The implied volatility is unobservable, requiring Polestar to calculate this input by reference to estimations of the asset volatility of common equity of peers. This results in a Level 3 measurement methodology.</w:t>
      </w:r>
    </w:p>
    <w:p>
      <w:pPr>
        <w:spacing w:after="0" w:line="8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14</w:t>
      </w:r>
    </w:p>
    <w:p>
      <w:pPr>
        <w:sectPr>
          <w:pgSz w:w="11900" w:h="16838" w:orient="portrait"/>
          <w:cols w:equalWidth="0" w:num="1">
            <w:col w:w="9019"/>
          </w:cols>
          <w:pgMar w:left="1440" w:top="229" w:right="1440" w:bottom="1440" w:gutter="0" w:footer="0" w:header="0"/>
        </w:sectPr>
      </w:pPr>
    </w:p>
    <w:bookmarkStart w:id="57" w:name="page58"/>
    <w:bookmarkEnd w:id="57"/>
    <w:p>
      <w:pPr>
        <w:jc w:val="right"/>
        <w:ind w:right="639"/>
        <w:spacing w:after="0"/>
        <w:rPr>
          <w:sz w:val="20"/>
          <w:szCs w:val="20"/>
          <w:color w:val="auto"/>
        </w:rPr>
      </w:pPr>
      <w:r>
        <w:rPr>
          <w:rFonts w:ascii="Times New Roman" w:cs="Times New Roman" w:eastAsia="Times New Roman" w:hAnsi="Times New Roman"/>
          <w:sz w:val="13"/>
          <w:szCs w:val="13"/>
          <w:b w:val="1"/>
          <w:bCs w:val="1"/>
          <w:color w:val="auto"/>
        </w:rPr>
        <w:t>Exhibit 99.3</w:t>
      </w:r>
    </w:p>
    <w:p>
      <w:pPr>
        <w:spacing w:after="0" w:line="30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b w:val="1"/>
          <w:bCs w:val="1"/>
          <w:color w:val="auto"/>
        </w:rPr>
        <w:t>The Polestar Group</w:t>
      </w:r>
    </w:p>
    <w:p>
      <w:pPr>
        <w:spacing w:after="0" w:line="1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2"/>
          <w:szCs w:val="12"/>
          <w:b w:val="1"/>
          <w:bCs w:val="1"/>
          <w:color w:val="auto"/>
        </w:rPr>
        <w:t>Unaudited Condensed Consolidated Financial Statements as of September 30, 2022 and for</w:t>
      </w:r>
    </w:p>
    <w:p>
      <w:pPr>
        <w:spacing w:after="0" w:line="1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b w:val="1"/>
          <w:bCs w:val="1"/>
          <w:color w:val="auto"/>
        </w:rPr>
        <w:t>the Three and Nine Months Ended September 30, 2022 and 2021</w:t>
      </w:r>
    </w:p>
    <w:p>
      <w:pPr>
        <w:spacing w:after="0" w:line="9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1</w:t>
      </w:r>
    </w:p>
    <w:p>
      <w:pPr>
        <w:sectPr>
          <w:pgSz w:w="11900" w:h="16838" w:orient="portrait"/>
          <w:cols w:equalWidth="0" w:num="1">
            <w:col w:w="9019"/>
          </w:cols>
          <w:pgMar w:left="1440" w:top="125" w:right="1440" w:bottom="1440" w:gutter="0" w:footer="0" w:header="0"/>
        </w:sectPr>
      </w:pPr>
    </w:p>
    <w:bookmarkStart w:id="58" w:name="page59"/>
    <w:bookmarkEnd w:id="58"/>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10425" cy="30480"/>
                    </a:xfrm>
                    <a:prstGeom prst="rect">
                      <a:avLst/>
                    </a:prstGeom>
                    <a:noFill/>
                  </pic:spPr>
                </pic:pic>
              </a:graphicData>
            </a:graphic>
          </wp:anchor>
        </w:drawing>
        <w:t>The Polestar Group</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Index to unaudited Condensed Consolidated Financial Statements</w:t>
      </w:r>
    </w:p>
    <w:p>
      <w:pPr>
        <w:spacing w:after="0" w:line="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except per share data and unless otherwise stated)</w:t>
      </w:r>
    </w:p>
    <w:p>
      <w:pPr>
        <w:spacing w:after="0" w:line="139" w:lineRule="exact"/>
        <w:rPr>
          <w:sz w:val="20"/>
          <w:szCs w:val="20"/>
          <w:color w:val="auto"/>
        </w:rPr>
      </w:pPr>
    </w:p>
    <w:p>
      <w:pPr>
        <w:ind w:left="1800"/>
        <w:spacing w:after="0"/>
        <w:rPr>
          <w:sz w:val="20"/>
          <w:szCs w:val="20"/>
          <w:color w:val="auto"/>
        </w:rPr>
      </w:pPr>
      <w:r>
        <w:rPr>
          <w:rFonts w:ascii="Times New Roman" w:cs="Times New Roman" w:eastAsia="Times New Roman" w:hAnsi="Times New Roman"/>
          <w:sz w:val="13"/>
          <w:szCs w:val="13"/>
          <w:b w:val="1"/>
          <w:bCs w:val="1"/>
          <w:color w:val="auto"/>
        </w:rPr>
        <w:t>INDEX TO UNAUDITED CONDENSED CONSOLIDATED FINANCIAL STATEMENTS</w:t>
      </w:r>
    </w:p>
    <w:p>
      <w:pPr>
        <w:spacing w:after="0" w:line="171" w:lineRule="exact"/>
        <w:rPr>
          <w:sz w:val="20"/>
          <w:szCs w:val="20"/>
          <w:color w:val="auto"/>
        </w:rPr>
      </w:pPr>
    </w:p>
    <w:tbl>
      <w:tblPr>
        <w:tblLayout w:type="fixed"/>
        <w:tblInd w:w="640" w:type="dxa"/>
        <w:tblCellMar>
          <w:top w:w="0" w:type="dxa"/>
          <w:left w:w="0" w:type="dxa"/>
          <w:bottom w:w="0" w:type="dxa"/>
          <w:right w:w="0" w:type="dxa"/>
        </w:tblCellMar>
      </w:tblPr>
      <w:tr>
        <w:trPr>
          <w:trHeight w:val="132"/>
        </w:trPr>
        <w:tc>
          <w:tcPr>
            <w:tcW w:w="7200" w:type="dxa"/>
            <w:vAlign w:val="bottom"/>
          </w:tcPr>
          <w:p>
            <w:pPr>
              <w:spacing w:after="0"/>
              <w:rPr>
                <w:sz w:val="11"/>
                <w:szCs w:val="11"/>
                <w:color w:val="auto"/>
              </w:rPr>
            </w:pPr>
          </w:p>
        </w:tc>
        <w:tc>
          <w:tcPr>
            <w:tcW w:w="500" w:type="dxa"/>
            <w:vAlign w:val="bottom"/>
          </w:tcPr>
          <w:p>
            <w:pPr>
              <w:jc w:val="right"/>
              <w:spacing w:after="0"/>
              <w:rPr>
                <w:sz w:val="20"/>
                <w:szCs w:val="20"/>
                <w:color w:val="auto"/>
              </w:rPr>
            </w:pPr>
            <w:r>
              <w:rPr>
                <w:rFonts w:ascii="Times New Roman" w:cs="Times New Roman" w:eastAsia="Times New Roman" w:hAnsi="Times New Roman"/>
                <w:sz w:val="10"/>
                <w:szCs w:val="10"/>
                <w:b w:val="1"/>
                <w:bCs w:val="1"/>
                <w:color w:val="auto"/>
              </w:rPr>
              <w:t>Page(s)</w:t>
            </w:r>
          </w:p>
        </w:tc>
      </w:tr>
      <w:tr>
        <w:trPr>
          <w:trHeight w:val="204"/>
        </w:trPr>
        <w:tc>
          <w:tcPr>
            <w:tcW w:w="7200" w:type="dxa"/>
            <w:vAlign w:val="bottom"/>
          </w:tcPr>
          <w:p>
            <w:pPr>
              <w:spacing w:after="0"/>
              <w:rPr>
                <w:sz w:val="20"/>
                <w:szCs w:val="20"/>
                <w:color w:val="auto"/>
              </w:rPr>
            </w:pPr>
            <w:r>
              <w:rPr>
                <w:rFonts w:ascii="Times New Roman" w:cs="Times New Roman" w:eastAsia="Times New Roman" w:hAnsi="Times New Roman"/>
                <w:sz w:val="13"/>
                <w:szCs w:val="13"/>
                <w:color w:val="auto"/>
                <w:w w:val="99"/>
              </w:rPr>
              <w:t>Unaudited Condensed Consolidated Statement of Income (Loss) and Comprehensive Income (Loss) for the Three and Nine Months Ended</w:t>
            </w:r>
          </w:p>
        </w:tc>
        <w:tc>
          <w:tcPr>
            <w:tcW w:w="500" w:type="dxa"/>
            <w:vAlign w:val="bottom"/>
          </w:tcPr>
          <w:p>
            <w:pPr>
              <w:spacing w:after="0"/>
              <w:rPr>
                <w:sz w:val="17"/>
                <w:szCs w:val="17"/>
                <w:color w:val="auto"/>
              </w:rPr>
            </w:pPr>
          </w:p>
        </w:tc>
      </w:tr>
      <w:tr>
        <w:trPr>
          <w:trHeight w:val="165"/>
        </w:trPr>
        <w:tc>
          <w:tcPr>
            <w:tcW w:w="7200" w:type="dxa"/>
            <w:vAlign w:val="bottom"/>
          </w:tcPr>
          <w:p>
            <w:pPr>
              <w:ind w:left="120"/>
              <w:spacing w:after="0"/>
              <w:rPr>
                <w:sz w:val="20"/>
                <w:szCs w:val="20"/>
                <w:color w:val="auto"/>
              </w:rPr>
            </w:pPr>
            <w:r>
              <w:rPr>
                <w:rFonts w:ascii="Times New Roman" w:cs="Times New Roman" w:eastAsia="Times New Roman" w:hAnsi="Times New Roman"/>
                <w:sz w:val="13"/>
                <w:szCs w:val="13"/>
                <w:color w:val="auto"/>
              </w:rPr>
              <w:t>September 30, 2022 and 2021</w:t>
            </w:r>
          </w:p>
        </w:tc>
        <w:tc>
          <w:tcPr>
            <w:tcW w:w="5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3</w:t>
            </w:r>
          </w:p>
        </w:tc>
      </w:tr>
      <w:tr>
        <w:trPr>
          <w:trHeight w:val="227"/>
        </w:trPr>
        <w:tc>
          <w:tcPr>
            <w:tcW w:w="7200" w:type="dxa"/>
            <w:vAlign w:val="bottom"/>
          </w:tcPr>
          <w:p>
            <w:pPr>
              <w:spacing w:after="0"/>
              <w:rPr>
                <w:sz w:val="20"/>
                <w:szCs w:val="20"/>
                <w:color w:val="auto"/>
              </w:rPr>
            </w:pPr>
            <w:r>
              <w:rPr>
                <w:rFonts w:ascii="Times New Roman" w:cs="Times New Roman" w:eastAsia="Times New Roman" w:hAnsi="Times New Roman"/>
                <w:sz w:val="13"/>
                <w:szCs w:val="13"/>
                <w:color w:val="auto"/>
              </w:rPr>
              <w:t>Unaudited Condensed Consolidated Statement of Financial Position as of September 30, 2022 and December 31, 2021</w:t>
            </w:r>
          </w:p>
        </w:tc>
        <w:tc>
          <w:tcPr>
            <w:tcW w:w="5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4-5</w:t>
            </w:r>
          </w:p>
        </w:tc>
      </w:tr>
      <w:tr>
        <w:trPr>
          <w:trHeight w:val="227"/>
        </w:trPr>
        <w:tc>
          <w:tcPr>
            <w:tcW w:w="7200" w:type="dxa"/>
            <w:vAlign w:val="bottom"/>
          </w:tcPr>
          <w:p>
            <w:pPr>
              <w:spacing w:after="0"/>
              <w:rPr>
                <w:sz w:val="20"/>
                <w:szCs w:val="20"/>
                <w:color w:val="auto"/>
              </w:rPr>
            </w:pPr>
            <w:r>
              <w:rPr>
                <w:rFonts w:ascii="Times New Roman" w:cs="Times New Roman" w:eastAsia="Times New Roman" w:hAnsi="Times New Roman"/>
                <w:sz w:val="13"/>
                <w:szCs w:val="13"/>
                <w:color w:val="auto"/>
              </w:rPr>
              <w:t>Unaudited Condensed Consolidated Statement of Cash Flows for the Nine Months Ended September 30, 2022 and 2021</w:t>
            </w:r>
          </w:p>
        </w:tc>
        <w:tc>
          <w:tcPr>
            <w:tcW w:w="5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6</w:t>
            </w:r>
          </w:p>
        </w:tc>
      </w:tr>
      <w:tr>
        <w:trPr>
          <w:trHeight w:val="227"/>
        </w:trPr>
        <w:tc>
          <w:tcPr>
            <w:tcW w:w="7200" w:type="dxa"/>
            <w:vAlign w:val="bottom"/>
          </w:tcPr>
          <w:p>
            <w:pPr>
              <w:spacing w:after="0"/>
              <w:rPr>
                <w:sz w:val="20"/>
                <w:szCs w:val="20"/>
                <w:color w:val="auto"/>
              </w:rPr>
            </w:pPr>
            <w:r>
              <w:rPr>
                <w:rFonts w:ascii="Times New Roman" w:cs="Times New Roman" w:eastAsia="Times New Roman" w:hAnsi="Times New Roman"/>
                <w:sz w:val="13"/>
                <w:szCs w:val="13"/>
                <w:color w:val="auto"/>
              </w:rPr>
              <w:t>Unaudited Condensed Consolidated Statement of Changes in Equity for the Nine Months Ended September 30, 2022</w:t>
            </w:r>
          </w:p>
        </w:tc>
        <w:tc>
          <w:tcPr>
            <w:tcW w:w="5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7</w:t>
            </w:r>
          </w:p>
        </w:tc>
      </w:tr>
      <w:tr>
        <w:trPr>
          <w:trHeight w:val="227"/>
        </w:trPr>
        <w:tc>
          <w:tcPr>
            <w:tcW w:w="7200" w:type="dxa"/>
            <w:vAlign w:val="bottom"/>
          </w:tcPr>
          <w:p>
            <w:pPr>
              <w:spacing w:after="0"/>
              <w:rPr>
                <w:sz w:val="20"/>
                <w:szCs w:val="20"/>
                <w:color w:val="auto"/>
              </w:rPr>
            </w:pPr>
            <w:r>
              <w:rPr>
                <w:rFonts w:ascii="Times New Roman" w:cs="Times New Roman" w:eastAsia="Times New Roman" w:hAnsi="Times New Roman"/>
                <w:sz w:val="13"/>
                <w:szCs w:val="13"/>
                <w:color w:val="auto"/>
              </w:rPr>
              <w:t>Notes to Unaudited Condensed Consolidated Financial Statements</w:t>
            </w:r>
          </w:p>
        </w:tc>
        <w:tc>
          <w:tcPr>
            <w:tcW w:w="5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8-41</w:t>
            </w:r>
          </w:p>
        </w:tc>
      </w:tr>
      <w:tr>
        <w:trPr>
          <w:trHeight w:val="256"/>
        </w:trPr>
        <w:tc>
          <w:tcPr>
            <w:tcW w:w="7200" w:type="dxa"/>
            <w:vAlign w:val="bottom"/>
          </w:tcPr>
          <w:p>
            <w:pPr>
              <w:ind w:left="3840"/>
              <w:spacing w:after="0"/>
              <w:rPr>
                <w:sz w:val="20"/>
                <w:szCs w:val="20"/>
                <w:color w:val="auto"/>
              </w:rPr>
            </w:pPr>
            <w:r>
              <w:rPr>
                <w:rFonts w:ascii="Times New Roman" w:cs="Times New Roman" w:eastAsia="Times New Roman" w:hAnsi="Times New Roman"/>
                <w:sz w:val="13"/>
                <w:szCs w:val="13"/>
                <w:color w:val="auto"/>
              </w:rPr>
              <w:t>2</w:t>
            </w:r>
          </w:p>
        </w:tc>
        <w:tc>
          <w:tcPr>
            <w:tcW w:w="500" w:type="dxa"/>
            <w:vAlign w:val="bottom"/>
          </w:tcPr>
          <w:p>
            <w:pPr>
              <w:spacing w:after="0"/>
              <w:rPr>
                <w:sz w:val="22"/>
                <w:szCs w:val="22"/>
                <w:color w:val="auto"/>
              </w:rPr>
            </w:pPr>
          </w:p>
        </w:tc>
      </w:tr>
    </w:tbl>
    <w:p>
      <w:pPr>
        <w:sectPr>
          <w:pgSz w:w="11900" w:h="16838" w:orient="portrait"/>
          <w:cols w:equalWidth="0" w:num="1">
            <w:col w:w="9019"/>
          </w:cols>
          <w:pgMar w:left="1440" w:top="231" w:right="1440" w:bottom="1440" w:gutter="0" w:footer="0" w:header="0"/>
        </w:sectPr>
      </w:pPr>
    </w:p>
    <w:bookmarkStart w:id="59" w:name="page60"/>
    <w:bookmarkEnd w:id="59"/>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10425" cy="30480"/>
                    </a:xfrm>
                    <a:prstGeom prst="rect">
                      <a:avLst/>
                    </a:prstGeom>
                    <a:noFill/>
                  </pic:spPr>
                </pic:pic>
              </a:graphicData>
            </a:graphic>
          </wp:anchor>
        </w:drawing>
        <w:t>The Polestar Group</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Unaudited Condensed Consolidated Statement of Income and Comprehensive Income (Loss)</w:t>
      </w:r>
    </w:p>
    <w:p>
      <w:pPr>
        <w:spacing w:after="0" w:line="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except per share data and unless otherwise stated)</w:t>
      </w:r>
    </w:p>
    <w:p>
      <w:pPr>
        <w:spacing w:after="0" w:line="145" w:lineRule="exact"/>
        <w:rPr>
          <w:sz w:val="20"/>
          <w:szCs w:val="20"/>
          <w:color w:val="auto"/>
        </w:rPr>
      </w:pPr>
    </w:p>
    <w:tbl>
      <w:tblPr>
        <w:tblLayout w:type="fixed"/>
        <w:tblInd w:w="640" w:type="dxa"/>
        <w:tblCellMar>
          <w:top w:w="0" w:type="dxa"/>
          <w:left w:w="0" w:type="dxa"/>
          <w:bottom w:w="0" w:type="dxa"/>
          <w:right w:w="0" w:type="dxa"/>
        </w:tblCellMar>
      </w:tblPr>
      <w:tr>
        <w:trPr>
          <w:trHeight w:val="115"/>
        </w:trPr>
        <w:tc>
          <w:tcPr>
            <w:tcW w:w="4720" w:type="dxa"/>
            <w:vAlign w:val="bottom"/>
            <w:vMerge w:val="restart"/>
          </w:tcPr>
          <w:p>
            <w:pPr>
              <w:spacing w:after="0"/>
              <w:rPr>
                <w:sz w:val="20"/>
                <w:szCs w:val="20"/>
                <w:color w:val="auto"/>
              </w:rPr>
            </w:pPr>
            <w:r>
              <w:rPr>
                <w:rFonts w:ascii="Times New Roman" w:cs="Times New Roman" w:eastAsia="Times New Roman" w:hAnsi="Times New Roman"/>
                <w:sz w:val="10"/>
                <w:szCs w:val="10"/>
                <w:b w:val="1"/>
                <w:bCs w:val="1"/>
                <w:color w:val="auto"/>
              </w:rPr>
              <w:t>Consolidated Statement of Income (Loss)</w:t>
            </w:r>
          </w:p>
        </w:tc>
        <w:tc>
          <w:tcPr>
            <w:tcW w:w="2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380" w:type="dxa"/>
            <w:vAlign w:val="bottom"/>
            <w:gridSpan w:val="4"/>
          </w:tcPr>
          <w:p>
            <w:pPr>
              <w:jc w:val="right"/>
              <w:ind w:right="160"/>
              <w:spacing w:after="0"/>
              <w:rPr>
                <w:sz w:val="20"/>
                <w:szCs w:val="20"/>
                <w:color w:val="auto"/>
              </w:rPr>
            </w:pPr>
            <w:r>
              <w:rPr>
                <w:rFonts w:ascii="Times New Roman" w:cs="Times New Roman" w:eastAsia="Times New Roman" w:hAnsi="Times New Roman"/>
                <w:sz w:val="10"/>
                <w:szCs w:val="10"/>
                <w:b w:val="1"/>
                <w:bCs w:val="1"/>
                <w:color w:val="auto"/>
              </w:rPr>
              <w:t>For the three months ended</w:t>
            </w:r>
          </w:p>
        </w:tc>
        <w:tc>
          <w:tcPr>
            <w:tcW w:w="1320" w:type="dxa"/>
            <w:vAlign w:val="bottom"/>
            <w:gridSpan w:val="4"/>
          </w:tcPr>
          <w:p>
            <w:pPr>
              <w:jc w:val="center"/>
              <w:ind w:right="38"/>
              <w:spacing w:after="0"/>
              <w:rPr>
                <w:sz w:val="20"/>
                <w:szCs w:val="20"/>
                <w:color w:val="auto"/>
              </w:rPr>
            </w:pPr>
            <w:r>
              <w:rPr>
                <w:rFonts w:ascii="Times New Roman" w:cs="Times New Roman" w:eastAsia="Times New Roman" w:hAnsi="Times New Roman"/>
                <w:sz w:val="10"/>
                <w:szCs w:val="10"/>
                <w:b w:val="1"/>
                <w:bCs w:val="1"/>
                <w:color w:val="auto"/>
              </w:rPr>
              <w:t>For the nine months ended</w:t>
            </w:r>
          </w:p>
        </w:tc>
        <w:tc>
          <w:tcPr>
            <w:tcW w:w="0" w:type="dxa"/>
            <w:vAlign w:val="bottom"/>
          </w:tcPr>
          <w:p>
            <w:pPr>
              <w:spacing w:after="0"/>
              <w:rPr>
                <w:sz w:val="1"/>
                <w:szCs w:val="1"/>
                <w:color w:val="auto"/>
              </w:rPr>
            </w:pPr>
          </w:p>
        </w:tc>
      </w:tr>
      <w:tr>
        <w:trPr>
          <w:trHeight w:val="121"/>
        </w:trPr>
        <w:tc>
          <w:tcPr>
            <w:tcW w:w="4720" w:type="dxa"/>
            <w:vAlign w:val="bottom"/>
            <w:vMerge w:val="continue"/>
          </w:tcPr>
          <w:p>
            <w:pPr>
              <w:spacing w:after="0"/>
              <w:rPr>
                <w:sz w:val="10"/>
                <w:szCs w:val="10"/>
                <w:color w:val="auto"/>
              </w:rPr>
            </w:pPr>
          </w:p>
        </w:tc>
        <w:tc>
          <w:tcPr>
            <w:tcW w:w="320" w:type="dxa"/>
            <w:vAlign w:val="bottom"/>
            <w:gridSpan w:val="2"/>
            <w:vMerge w:val="restart"/>
          </w:tcPr>
          <w:p>
            <w:pPr>
              <w:jc w:val="right"/>
              <w:ind w:right="120"/>
              <w:spacing w:after="0"/>
              <w:rPr>
                <w:sz w:val="20"/>
                <w:szCs w:val="20"/>
                <w:color w:val="auto"/>
              </w:rPr>
            </w:pPr>
            <w:r>
              <w:rPr>
                <w:rFonts w:ascii="Times New Roman" w:cs="Times New Roman" w:eastAsia="Times New Roman" w:hAnsi="Times New Roman"/>
                <w:sz w:val="10"/>
                <w:szCs w:val="10"/>
                <w:b w:val="1"/>
                <w:bCs w:val="1"/>
                <w:color w:val="auto"/>
                <w:w w:val="89"/>
              </w:rPr>
              <w:t>Note</w:t>
            </w:r>
          </w:p>
        </w:tc>
        <w:tc>
          <w:tcPr>
            <w:tcW w:w="1380" w:type="dxa"/>
            <w:vAlign w:val="bottom"/>
            <w:gridSpan w:val="4"/>
          </w:tcPr>
          <w:p>
            <w:pPr>
              <w:jc w:val="right"/>
              <w:ind w:right="460"/>
              <w:spacing w:after="0"/>
              <w:rPr>
                <w:sz w:val="20"/>
                <w:szCs w:val="20"/>
                <w:color w:val="auto"/>
              </w:rPr>
            </w:pPr>
            <w:r>
              <w:rPr>
                <w:rFonts w:ascii="Times New Roman" w:cs="Times New Roman" w:eastAsia="Times New Roman" w:hAnsi="Times New Roman"/>
                <w:sz w:val="10"/>
                <w:szCs w:val="10"/>
                <w:b w:val="1"/>
                <w:bCs w:val="1"/>
                <w:color w:val="auto"/>
              </w:rPr>
              <w:t>September 30,</w:t>
            </w:r>
          </w:p>
        </w:tc>
        <w:tc>
          <w:tcPr>
            <w:tcW w:w="1320" w:type="dxa"/>
            <w:vAlign w:val="bottom"/>
            <w:gridSpan w:val="4"/>
          </w:tcPr>
          <w:p>
            <w:pPr>
              <w:jc w:val="center"/>
              <w:ind w:right="38"/>
              <w:spacing w:after="0"/>
              <w:rPr>
                <w:sz w:val="20"/>
                <w:szCs w:val="20"/>
                <w:color w:val="auto"/>
              </w:rPr>
            </w:pPr>
            <w:r>
              <w:rPr>
                <w:rFonts w:ascii="Times New Roman" w:cs="Times New Roman" w:eastAsia="Times New Roman" w:hAnsi="Times New Roman"/>
                <w:sz w:val="10"/>
                <w:szCs w:val="10"/>
                <w:b w:val="1"/>
                <w:bCs w:val="1"/>
                <w:color w:val="auto"/>
                <w:w w:val="98"/>
              </w:rPr>
              <w:t>September 30,</w:t>
            </w:r>
          </w:p>
        </w:tc>
        <w:tc>
          <w:tcPr>
            <w:tcW w:w="0" w:type="dxa"/>
            <w:vAlign w:val="bottom"/>
          </w:tcPr>
          <w:p>
            <w:pPr>
              <w:spacing w:after="0"/>
              <w:rPr>
                <w:sz w:val="1"/>
                <w:szCs w:val="1"/>
                <w:color w:val="auto"/>
              </w:rPr>
            </w:pPr>
          </w:p>
        </w:tc>
      </w:tr>
      <w:tr>
        <w:trPr>
          <w:trHeight w:val="94"/>
        </w:trPr>
        <w:tc>
          <w:tcPr>
            <w:tcW w:w="4720" w:type="dxa"/>
            <w:vAlign w:val="bottom"/>
          </w:tcPr>
          <w:p>
            <w:pPr>
              <w:spacing w:after="0"/>
              <w:rPr>
                <w:sz w:val="8"/>
                <w:szCs w:val="8"/>
                <w:color w:val="auto"/>
              </w:rPr>
            </w:pPr>
          </w:p>
        </w:tc>
        <w:tc>
          <w:tcPr>
            <w:tcW w:w="320" w:type="dxa"/>
            <w:vAlign w:val="bottom"/>
            <w:gridSpan w:val="2"/>
            <w:vMerge w:val="continue"/>
          </w:tcPr>
          <w:p>
            <w:pPr>
              <w:spacing w:after="0"/>
              <w:rPr>
                <w:sz w:val="8"/>
                <w:szCs w:val="8"/>
                <w:color w:val="auto"/>
              </w:rPr>
            </w:pPr>
          </w:p>
        </w:tc>
        <w:tc>
          <w:tcPr>
            <w:tcW w:w="520" w:type="dxa"/>
            <w:vAlign w:val="bottom"/>
            <w:tcBorders>
              <w:top w:val="single" w:sz="8" w:color="auto"/>
            </w:tcBorders>
          </w:tcPr>
          <w:p>
            <w:pPr>
              <w:jc w:val="right"/>
              <w:ind w:right="98"/>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60" w:type="dxa"/>
            <w:vAlign w:val="bottom"/>
            <w:tcBorders>
              <w:top w:val="single" w:sz="8" w:color="auto"/>
            </w:tcBorders>
          </w:tcPr>
          <w:p>
            <w:pPr>
              <w:spacing w:after="0"/>
              <w:rPr>
                <w:sz w:val="8"/>
                <w:szCs w:val="8"/>
                <w:color w:val="auto"/>
              </w:rPr>
            </w:pPr>
          </w:p>
        </w:tc>
        <w:tc>
          <w:tcPr>
            <w:tcW w:w="560" w:type="dxa"/>
            <w:vAlign w:val="bottom"/>
            <w:tcBorders>
              <w:top w:val="single" w:sz="8" w:color="auto"/>
            </w:tcBorders>
          </w:tcPr>
          <w:p>
            <w:pPr>
              <w:jc w:val="right"/>
              <w:ind w:right="117"/>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140" w:type="dxa"/>
            <w:vAlign w:val="bottom"/>
          </w:tcPr>
          <w:p>
            <w:pPr>
              <w:spacing w:after="0"/>
              <w:rPr>
                <w:sz w:val="8"/>
                <w:szCs w:val="8"/>
                <w:color w:val="auto"/>
              </w:rPr>
            </w:pPr>
          </w:p>
        </w:tc>
        <w:tc>
          <w:tcPr>
            <w:tcW w:w="600" w:type="dxa"/>
            <w:vAlign w:val="bottom"/>
            <w:tcBorders>
              <w:top w:val="single" w:sz="8" w:color="auto"/>
            </w:tcBorders>
          </w:tcPr>
          <w:p>
            <w:pPr>
              <w:jc w:val="right"/>
              <w:ind w:right="138"/>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40" w:type="dxa"/>
            <w:vAlign w:val="bottom"/>
            <w:tcBorders>
              <w:top w:val="single" w:sz="8" w:color="auto"/>
            </w:tcBorders>
          </w:tcPr>
          <w:p>
            <w:pPr>
              <w:spacing w:after="0"/>
              <w:rPr>
                <w:sz w:val="8"/>
                <w:szCs w:val="8"/>
                <w:color w:val="auto"/>
              </w:rPr>
            </w:pPr>
          </w:p>
        </w:tc>
        <w:tc>
          <w:tcPr>
            <w:tcW w:w="500" w:type="dxa"/>
            <w:vAlign w:val="bottom"/>
            <w:tcBorders>
              <w:top w:val="single" w:sz="8" w:color="auto"/>
            </w:tcBorders>
          </w:tcPr>
          <w:p>
            <w:pPr>
              <w:jc w:val="right"/>
              <w:ind w:right="97"/>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41"/>
        </w:trPr>
        <w:tc>
          <w:tcPr>
            <w:tcW w:w="4720" w:type="dxa"/>
            <w:vAlign w:val="bottom"/>
            <w:tcBorders>
              <w:top w:val="single" w:sz="8" w:color="CCEEFF"/>
            </w:tcBorders>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Revenue</w:t>
            </w:r>
          </w:p>
        </w:tc>
        <w:tc>
          <w:tcPr>
            <w:tcW w:w="20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2</w:t>
            </w:r>
          </w:p>
        </w:tc>
        <w:tc>
          <w:tcPr>
            <w:tcW w:w="120" w:type="dxa"/>
            <w:vAlign w:val="bottom"/>
            <w:tcBorders>
              <w:top w:val="single" w:sz="8" w:color="CCEEFF"/>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435,449</w:t>
            </w:r>
          </w:p>
        </w:tc>
        <w:tc>
          <w:tcPr>
            <w:tcW w:w="160" w:type="dxa"/>
            <w:vAlign w:val="bottom"/>
            <w:tcBorders>
              <w:top w:val="single" w:sz="8" w:color="CCEEFF"/>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212,896</w:t>
            </w:r>
          </w:p>
        </w:tc>
        <w:tc>
          <w:tcPr>
            <w:tcW w:w="140" w:type="dxa"/>
            <w:vAlign w:val="bottom"/>
            <w:tcBorders>
              <w:top w:val="single" w:sz="8" w:color="CCEEFF"/>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1,476,746</w:t>
            </w:r>
          </w:p>
        </w:tc>
        <w:tc>
          <w:tcPr>
            <w:tcW w:w="140" w:type="dxa"/>
            <w:vAlign w:val="bottom"/>
            <w:tcBorders>
              <w:top w:val="single" w:sz="8" w:color="CCEEFF"/>
            </w:tcBorders>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747,674</w:t>
            </w:r>
          </w:p>
        </w:tc>
        <w:tc>
          <w:tcPr>
            <w:tcW w:w="8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2"/>
        </w:trPr>
        <w:tc>
          <w:tcPr>
            <w:tcW w:w="4720" w:type="dxa"/>
            <w:vAlign w:val="bottom"/>
          </w:tcPr>
          <w:p>
            <w:pPr>
              <w:spacing w:after="0"/>
              <w:rPr>
                <w:sz w:val="20"/>
                <w:szCs w:val="20"/>
                <w:color w:val="auto"/>
              </w:rPr>
            </w:pPr>
            <w:r>
              <w:rPr>
                <w:rFonts w:ascii="Times New Roman" w:cs="Times New Roman" w:eastAsia="Times New Roman" w:hAnsi="Times New Roman"/>
                <w:sz w:val="13"/>
                <w:szCs w:val="13"/>
                <w:color w:val="auto"/>
              </w:rPr>
              <w:t>Cost of sales</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8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(431,390)</w:t>
            </w:r>
          </w:p>
        </w:tc>
        <w:tc>
          <w:tcPr>
            <w:tcW w:w="70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(247,647)</w:t>
            </w:r>
          </w:p>
        </w:tc>
        <w:tc>
          <w:tcPr>
            <w:tcW w:w="740" w:type="dxa"/>
            <w:vAlign w:val="bottom"/>
            <w:gridSpan w:val="2"/>
          </w:tcPr>
          <w:p>
            <w:pPr>
              <w:jc w:val="right"/>
              <w:ind w:right="37"/>
              <w:spacing w:after="0"/>
              <w:rPr>
                <w:sz w:val="20"/>
                <w:szCs w:val="20"/>
                <w:color w:val="auto"/>
              </w:rPr>
            </w:pPr>
            <w:r>
              <w:rPr>
                <w:rFonts w:ascii="Times New Roman" w:cs="Times New Roman" w:eastAsia="Times New Roman" w:hAnsi="Times New Roman"/>
                <w:sz w:val="13"/>
                <w:szCs w:val="13"/>
                <w:color w:val="auto"/>
              </w:rPr>
              <w:t>(1,419,271)</w:t>
            </w: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(746,614)</w:t>
            </w:r>
          </w:p>
        </w:tc>
        <w:tc>
          <w:tcPr>
            <w:tcW w:w="0" w:type="dxa"/>
            <w:vAlign w:val="bottom"/>
          </w:tcPr>
          <w:p>
            <w:pPr>
              <w:spacing w:after="0"/>
              <w:rPr>
                <w:sz w:val="1"/>
                <w:szCs w:val="1"/>
                <w:color w:val="auto"/>
              </w:rPr>
            </w:pPr>
          </w:p>
        </w:tc>
      </w:tr>
      <w:tr>
        <w:trPr>
          <w:trHeight w:val="20"/>
        </w:trPr>
        <w:tc>
          <w:tcPr>
            <w:tcW w:w="47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1"/>
        </w:trPr>
        <w:tc>
          <w:tcPr>
            <w:tcW w:w="47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Gross profit (loss)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4,059</w:t>
            </w:r>
          </w:p>
        </w:tc>
        <w:tc>
          <w:tcPr>
            <w:tcW w:w="16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(34,751)</w:t>
            </w:r>
          </w:p>
        </w:tc>
        <w:tc>
          <w:tcPr>
            <w:tcW w:w="740" w:type="dxa"/>
            <w:vAlign w:val="bottom"/>
            <w:gridSpan w:val="2"/>
            <w:shd w:val="clear" w:color="auto" w:fill="CCEEFF"/>
          </w:tcPr>
          <w:p>
            <w:pPr>
              <w:jc w:val="right"/>
              <w:ind w:right="77"/>
              <w:spacing w:after="0"/>
              <w:rPr>
                <w:sz w:val="20"/>
                <w:szCs w:val="20"/>
                <w:color w:val="auto"/>
              </w:rPr>
            </w:pPr>
            <w:r>
              <w:rPr>
                <w:rFonts w:ascii="Times New Roman" w:cs="Times New Roman" w:eastAsia="Times New Roman" w:hAnsi="Times New Roman"/>
                <w:sz w:val="13"/>
                <w:szCs w:val="13"/>
                <w:b w:val="1"/>
                <w:bCs w:val="1"/>
                <w:color w:val="auto"/>
              </w:rPr>
              <w:t>57,475</w:t>
            </w:r>
          </w:p>
        </w:tc>
        <w:tc>
          <w:tcPr>
            <w:tcW w:w="580" w:type="dxa"/>
            <w:vAlign w:val="bottom"/>
            <w:gridSpan w:val="2"/>
            <w:shd w:val="clear" w:color="auto" w:fill="CCEEFF"/>
          </w:tcPr>
          <w:p>
            <w:pPr>
              <w:jc w:val="right"/>
              <w:ind w:right="38"/>
              <w:spacing w:after="0"/>
              <w:rPr>
                <w:sz w:val="20"/>
                <w:szCs w:val="20"/>
                <w:color w:val="auto"/>
              </w:rPr>
            </w:pPr>
            <w:r>
              <w:rPr>
                <w:rFonts w:ascii="Times New Roman" w:cs="Times New Roman" w:eastAsia="Times New Roman" w:hAnsi="Times New Roman"/>
                <w:sz w:val="13"/>
                <w:szCs w:val="13"/>
                <w:b w:val="1"/>
                <w:bCs w:val="1"/>
                <w:color w:val="auto"/>
              </w:rPr>
              <w:t>1,060</w:t>
            </w:r>
          </w:p>
        </w:tc>
        <w:tc>
          <w:tcPr>
            <w:tcW w:w="0" w:type="dxa"/>
            <w:vAlign w:val="bottom"/>
          </w:tcPr>
          <w:p>
            <w:pPr>
              <w:spacing w:after="0"/>
              <w:rPr>
                <w:sz w:val="1"/>
                <w:szCs w:val="1"/>
                <w:color w:val="auto"/>
              </w:rPr>
            </w:pPr>
          </w:p>
        </w:tc>
      </w:tr>
      <w:tr>
        <w:trPr>
          <w:trHeight w:val="151"/>
        </w:trPr>
        <w:tc>
          <w:tcPr>
            <w:tcW w:w="4720" w:type="dxa"/>
            <w:vAlign w:val="bottom"/>
          </w:tcPr>
          <w:p>
            <w:pPr>
              <w:spacing w:after="0"/>
              <w:rPr>
                <w:sz w:val="20"/>
                <w:szCs w:val="20"/>
                <w:color w:val="auto"/>
              </w:rPr>
            </w:pPr>
            <w:r>
              <w:rPr>
                <w:rFonts w:ascii="Times New Roman" w:cs="Times New Roman" w:eastAsia="Times New Roman" w:hAnsi="Times New Roman"/>
                <w:sz w:val="13"/>
                <w:szCs w:val="13"/>
                <w:color w:val="auto"/>
              </w:rPr>
              <w:t>Selling, general, and administrative expense</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w w:val="98"/>
              </w:rPr>
              <w:t>(178,643)</w:t>
            </w:r>
          </w:p>
        </w:tc>
        <w:tc>
          <w:tcPr>
            <w:tcW w:w="160" w:type="dxa"/>
            <w:vAlign w:val="bottom"/>
          </w:tcPr>
          <w:p>
            <w:pPr>
              <w:spacing w:after="0"/>
              <w:rPr>
                <w:sz w:val="13"/>
                <w:szCs w:val="13"/>
                <w:color w:val="auto"/>
              </w:rPr>
            </w:pPr>
          </w:p>
        </w:tc>
        <w:tc>
          <w:tcPr>
            <w:tcW w:w="5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(199,290)</w:t>
            </w:r>
          </w:p>
        </w:tc>
        <w:tc>
          <w:tcPr>
            <w:tcW w:w="140" w:type="dxa"/>
            <w:vAlign w:val="bottom"/>
          </w:tcPr>
          <w:p>
            <w:pPr>
              <w:spacing w:after="0"/>
              <w:rPr>
                <w:sz w:val="13"/>
                <w:szCs w:val="13"/>
                <w:color w:val="auto"/>
              </w:rPr>
            </w:pP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(625,424)</w:t>
            </w:r>
          </w:p>
        </w:tc>
        <w:tc>
          <w:tcPr>
            <w:tcW w:w="140" w:type="dxa"/>
            <w:vAlign w:val="bottom"/>
          </w:tcPr>
          <w:p>
            <w:pPr>
              <w:spacing w:after="0"/>
              <w:rPr>
                <w:sz w:val="13"/>
                <w:szCs w:val="13"/>
                <w:color w:val="auto"/>
              </w:rPr>
            </w:pPr>
          </w:p>
        </w:tc>
        <w:tc>
          <w:tcPr>
            <w:tcW w:w="5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w w:val="94"/>
              </w:rPr>
              <w:t>(478,144)</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7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Research and development expense</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(24,598)</w:t>
            </w:r>
          </w:p>
        </w:tc>
        <w:tc>
          <w:tcPr>
            <w:tcW w:w="70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(50,529)</w:t>
            </w:r>
          </w:p>
        </w:tc>
        <w:tc>
          <w:tcPr>
            <w:tcW w:w="740" w:type="dxa"/>
            <w:vAlign w:val="bottom"/>
            <w:gridSpan w:val="2"/>
            <w:shd w:val="clear" w:color="auto" w:fill="CCEEFF"/>
          </w:tcPr>
          <w:p>
            <w:pPr>
              <w:jc w:val="right"/>
              <w:ind w:right="37"/>
              <w:spacing w:after="0"/>
              <w:rPr>
                <w:sz w:val="20"/>
                <w:szCs w:val="20"/>
                <w:color w:val="auto"/>
              </w:rPr>
            </w:pPr>
            <w:r>
              <w:rPr>
                <w:rFonts w:ascii="Times New Roman" w:cs="Times New Roman" w:eastAsia="Times New Roman" w:hAnsi="Times New Roman"/>
                <w:sz w:val="13"/>
                <w:szCs w:val="13"/>
                <w:color w:val="auto"/>
              </w:rPr>
              <w:t>(123,353)</w:t>
            </w: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(157,400)</w:t>
            </w:r>
          </w:p>
        </w:tc>
        <w:tc>
          <w:tcPr>
            <w:tcW w:w="0" w:type="dxa"/>
            <w:vAlign w:val="bottom"/>
          </w:tcPr>
          <w:p>
            <w:pPr>
              <w:spacing w:after="0"/>
              <w:rPr>
                <w:sz w:val="1"/>
                <w:szCs w:val="1"/>
                <w:color w:val="auto"/>
              </w:rPr>
            </w:pPr>
          </w:p>
        </w:tc>
      </w:tr>
      <w:tr>
        <w:trPr>
          <w:trHeight w:val="152"/>
        </w:trPr>
        <w:tc>
          <w:tcPr>
            <w:tcW w:w="4720" w:type="dxa"/>
            <w:vAlign w:val="bottom"/>
          </w:tcPr>
          <w:p>
            <w:pPr>
              <w:spacing w:after="0"/>
              <w:rPr>
                <w:sz w:val="20"/>
                <w:szCs w:val="20"/>
                <w:color w:val="auto"/>
              </w:rPr>
            </w:pPr>
            <w:r>
              <w:rPr>
                <w:rFonts w:ascii="Times New Roman" w:cs="Times New Roman" w:eastAsia="Times New Roman" w:hAnsi="Times New Roman"/>
                <w:sz w:val="13"/>
                <w:szCs w:val="13"/>
                <w:color w:val="auto"/>
              </w:rPr>
              <w:t>Other operating income (expense), net</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2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2,781</w:t>
            </w:r>
          </w:p>
        </w:tc>
        <w:tc>
          <w:tcPr>
            <w:tcW w:w="160" w:type="dxa"/>
            <w:vAlign w:val="bottom"/>
          </w:tcPr>
          <w:p>
            <w:pPr>
              <w:spacing w:after="0"/>
              <w:rPr>
                <w:sz w:val="13"/>
                <w:szCs w:val="13"/>
                <w:color w:val="auto"/>
              </w:rPr>
            </w:pPr>
          </w:p>
        </w:tc>
        <w:tc>
          <w:tcPr>
            <w:tcW w:w="70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(8,291)</w:t>
            </w:r>
          </w:p>
        </w:tc>
        <w:tc>
          <w:tcPr>
            <w:tcW w:w="740" w:type="dxa"/>
            <w:vAlign w:val="bottom"/>
            <w:gridSpan w:val="2"/>
          </w:tcPr>
          <w:p>
            <w:pPr>
              <w:jc w:val="right"/>
              <w:ind w:right="37"/>
              <w:spacing w:after="0"/>
              <w:rPr>
                <w:sz w:val="20"/>
                <w:szCs w:val="20"/>
                <w:color w:val="auto"/>
              </w:rPr>
            </w:pPr>
            <w:r>
              <w:rPr>
                <w:rFonts w:ascii="Times New Roman" w:cs="Times New Roman" w:eastAsia="Times New Roman" w:hAnsi="Times New Roman"/>
                <w:sz w:val="13"/>
                <w:szCs w:val="13"/>
                <w:color w:val="auto"/>
              </w:rPr>
              <w:t>(17,961)</w:t>
            </w: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(23,060)</w:t>
            </w:r>
          </w:p>
        </w:tc>
        <w:tc>
          <w:tcPr>
            <w:tcW w:w="0" w:type="dxa"/>
            <w:vAlign w:val="bottom"/>
          </w:tcPr>
          <w:p>
            <w:pPr>
              <w:spacing w:after="0"/>
              <w:rPr>
                <w:sz w:val="1"/>
                <w:szCs w:val="1"/>
                <w:color w:val="auto"/>
              </w:rPr>
            </w:pPr>
          </w:p>
        </w:tc>
      </w:tr>
      <w:tr>
        <w:trPr>
          <w:trHeight w:val="152"/>
        </w:trPr>
        <w:tc>
          <w:tcPr>
            <w:tcW w:w="47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Listing expense</w:t>
            </w:r>
          </w:p>
        </w:tc>
        <w:tc>
          <w:tcPr>
            <w:tcW w:w="2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9</w:t>
            </w:r>
          </w:p>
        </w:tc>
        <w:tc>
          <w:tcPr>
            <w:tcW w:w="12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7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740" w:type="dxa"/>
            <w:vAlign w:val="bottom"/>
            <w:gridSpan w:val="2"/>
            <w:shd w:val="clear" w:color="auto" w:fill="CCEEFF"/>
          </w:tcPr>
          <w:p>
            <w:pPr>
              <w:jc w:val="right"/>
              <w:ind w:right="37"/>
              <w:spacing w:after="0"/>
              <w:rPr>
                <w:sz w:val="20"/>
                <w:szCs w:val="20"/>
                <w:color w:val="auto"/>
              </w:rPr>
            </w:pPr>
            <w:r>
              <w:rPr>
                <w:rFonts w:ascii="Times New Roman" w:cs="Times New Roman" w:eastAsia="Times New Roman" w:hAnsi="Times New Roman"/>
                <w:sz w:val="13"/>
                <w:szCs w:val="13"/>
                <w:color w:val="auto"/>
              </w:rPr>
              <w:t>(372,318)</w:t>
            </w:r>
          </w:p>
        </w:tc>
        <w:tc>
          <w:tcPr>
            <w:tcW w:w="580" w:type="dxa"/>
            <w:vAlign w:val="bottom"/>
            <w:gridSpan w:val="2"/>
            <w:shd w:val="clear" w:color="auto" w:fill="CCEEFF"/>
          </w:tcPr>
          <w:p>
            <w:pPr>
              <w:jc w:val="right"/>
              <w:ind w:right="98"/>
              <w:spacing w:after="0"/>
              <w:rPr>
                <w:sz w:val="20"/>
                <w:szCs w:val="20"/>
                <w:color w:val="auto"/>
              </w:rPr>
            </w:pPr>
            <w:r>
              <w:rPr>
                <w:rFonts w:ascii="Times New Roman" w:cs="Times New Roman" w:eastAsia="Times New Roman" w:hAnsi="Times New Roman"/>
                <w:sz w:val="13"/>
                <w:szCs w:val="13"/>
                <w:color w:val="auto"/>
              </w:rPr>
              <w:t>—</w:t>
            </w:r>
          </w:p>
        </w:tc>
        <w:tc>
          <w:tcPr>
            <w:tcW w:w="0" w:type="dxa"/>
            <w:vAlign w:val="bottom"/>
          </w:tcPr>
          <w:p>
            <w:pPr>
              <w:spacing w:after="0"/>
              <w:rPr>
                <w:sz w:val="1"/>
                <w:szCs w:val="1"/>
                <w:color w:val="auto"/>
              </w:rPr>
            </w:pPr>
          </w:p>
        </w:tc>
      </w:tr>
      <w:tr>
        <w:trPr>
          <w:trHeight w:val="151"/>
        </w:trPr>
        <w:tc>
          <w:tcPr>
            <w:tcW w:w="472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Operating loss</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w w:val="98"/>
              </w:rPr>
              <w:t>(196,401)</w:t>
            </w:r>
          </w:p>
        </w:tc>
        <w:tc>
          <w:tcPr>
            <w:tcW w:w="160" w:type="dxa"/>
            <w:vAlign w:val="bottom"/>
          </w:tcPr>
          <w:p>
            <w:pPr>
              <w:spacing w:after="0"/>
              <w:rPr>
                <w:sz w:val="13"/>
                <w:szCs w:val="13"/>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(292,861)</w:t>
            </w:r>
          </w:p>
        </w:tc>
        <w:tc>
          <w:tcPr>
            <w:tcW w:w="140" w:type="dxa"/>
            <w:vAlign w:val="bottom"/>
          </w:tcPr>
          <w:p>
            <w:pPr>
              <w:spacing w:after="0"/>
              <w:rPr>
                <w:sz w:val="13"/>
                <w:szCs w:val="13"/>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(1,081,581</w:t>
            </w:r>
          </w:p>
        </w:tc>
        <w:tc>
          <w:tcPr>
            <w:tcW w:w="140" w:type="dxa"/>
            <w:vAlign w:val="bottom"/>
          </w:tcPr>
          <w:p>
            <w:pPr>
              <w:jc w:val="center"/>
              <w:ind w:right="37"/>
              <w:spacing w:after="0"/>
              <w:rPr>
                <w:sz w:val="20"/>
                <w:szCs w:val="20"/>
                <w:color w:val="auto"/>
              </w:rPr>
            </w:pPr>
            <w:r>
              <w:rPr>
                <w:rFonts w:ascii="Times New Roman" w:cs="Times New Roman" w:eastAsia="Times New Roman" w:hAnsi="Times New Roman"/>
                <w:sz w:val="13"/>
                <w:szCs w:val="13"/>
                <w:b w:val="1"/>
                <w:bCs w:val="1"/>
                <w:color w:val="auto"/>
                <w:w w:val="91"/>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(657,544</w:t>
            </w:r>
          </w:p>
        </w:tc>
        <w:tc>
          <w:tcPr>
            <w:tcW w:w="80" w:type="dxa"/>
            <w:vAlign w:val="bottom"/>
          </w:tcPr>
          <w:p>
            <w:pPr>
              <w:jc w:val="right"/>
              <w:spacing w:after="0"/>
              <w:rPr>
                <w:sz w:val="20"/>
                <w:szCs w:val="20"/>
                <w:color w:val="auto"/>
              </w:rPr>
            </w:pPr>
            <w:r>
              <w:rPr>
                <w:rFonts w:ascii="Times New Roman" w:cs="Times New Roman" w:eastAsia="Times New Roman" w:hAnsi="Times New Roman"/>
                <w:sz w:val="8"/>
                <w:szCs w:val="8"/>
                <w:b w:val="1"/>
                <w:bCs w:val="1"/>
                <w:color w:val="auto"/>
                <w:w w:val="73"/>
              </w:rPr>
              <w:t>)</w:t>
            </w:r>
          </w:p>
        </w:tc>
        <w:tc>
          <w:tcPr>
            <w:tcW w:w="0" w:type="dxa"/>
            <w:vAlign w:val="bottom"/>
          </w:tcPr>
          <w:p>
            <w:pPr>
              <w:spacing w:after="0"/>
              <w:rPr>
                <w:sz w:val="1"/>
                <w:szCs w:val="1"/>
                <w:color w:val="auto"/>
              </w:rPr>
            </w:pPr>
          </w:p>
        </w:tc>
      </w:tr>
      <w:tr>
        <w:trPr>
          <w:trHeight w:val="151"/>
        </w:trPr>
        <w:tc>
          <w:tcPr>
            <w:tcW w:w="47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Finance income</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color w:val="auto"/>
              </w:rPr>
              <w:t>711</w:t>
            </w:r>
          </w:p>
        </w:tc>
        <w:tc>
          <w:tcPr>
            <w:tcW w:w="70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color w:val="auto"/>
              </w:rPr>
              <w:t>9,606</w:t>
            </w:r>
          </w:p>
        </w:tc>
        <w:tc>
          <w:tcPr>
            <w:tcW w:w="740" w:type="dxa"/>
            <w:vAlign w:val="bottom"/>
            <w:gridSpan w:val="2"/>
            <w:shd w:val="clear" w:color="auto" w:fill="CCEEFF"/>
          </w:tcPr>
          <w:p>
            <w:pPr>
              <w:jc w:val="right"/>
              <w:ind w:right="77"/>
              <w:spacing w:after="0"/>
              <w:rPr>
                <w:sz w:val="20"/>
                <w:szCs w:val="20"/>
                <w:color w:val="auto"/>
              </w:rPr>
            </w:pPr>
            <w:r>
              <w:rPr>
                <w:rFonts w:ascii="Times New Roman" w:cs="Times New Roman" w:eastAsia="Times New Roman" w:hAnsi="Times New Roman"/>
                <w:sz w:val="13"/>
                <w:szCs w:val="13"/>
                <w:color w:val="auto"/>
              </w:rPr>
              <w:t>1,485</w:t>
            </w:r>
          </w:p>
        </w:tc>
        <w:tc>
          <w:tcPr>
            <w:tcW w:w="580" w:type="dxa"/>
            <w:vAlign w:val="bottom"/>
            <w:gridSpan w:val="2"/>
            <w:shd w:val="clear" w:color="auto" w:fill="CCEEFF"/>
          </w:tcPr>
          <w:p>
            <w:pPr>
              <w:jc w:val="right"/>
              <w:ind w:right="38"/>
              <w:spacing w:after="0"/>
              <w:rPr>
                <w:sz w:val="20"/>
                <w:szCs w:val="20"/>
                <w:color w:val="auto"/>
              </w:rPr>
            </w:pPr>
            <w:r>
              <w:rPr>
                <w:rFonts w:ascii="Times New Roman" w:cs="Times New Roman" w:eastAsia="Times New Roman" w:hAnsi="Times New Roman"/>
                <w:sz w:val="13"/>
                <w:szCs w:val="13"/>
                <w:color w:val="auto"/>
              </w:rPr>
              <w:t>24,801</w:t>
            </w:r>
          </w:p>
        </w:tc>
        <w:tc>
          <w:tcPr>
            <w:tcW w:w="0" w:type="dxa"/>
            <w:vAlign w:val="bottom"/>
          </w:tcPr>
          <w:p>
            <w:pPr>
              <w:spacing w:after="0"/>
              <w:rPr>
                <w:sz w:val="1"/>
                <w:szCs w:val="1"/>
                <w:color w:val="auto"/>
              </w:rPr>
            </w:pPr>
          </w:p>
        </w:tc>
      </w:tr>
      <w:tr>
        <w:trPr>
          <w:trHeight w:val="152"/>
        </w:trPr>
        <w:tc>
          <w:tcPr>
            <w:tcW w:w="4720" w:type="dxa"/>
            <w:vAlign w:val="bottom"/>
          </w:tcPr>
          <w:p>
            <w:pPr>
              <w:spacing w:after="0"/>
              <w:rPr>
                <w:sz w:val="20"/>
                <w:szCs w:val="20"/>
                <w:color w:val="auto"/>
              </w:rPr>
            </w:pPr>
            <w:r>
              <w:rPr>
                <w:rFonts w:ascii="Times New Roman" w:cs="Times New Roman" w:eastAsia="Times New Roman" w:hAnsi="Times New Roman"/>
                <w:sz w:val="13"/>
                <w:szCs w:val="13"/>
                <w:color w:val="auto"/>
              </w:rPr>
              <w:t>Finance expense</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8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(60,539)</w:t>
            </w:r>
          </w:p>
        </w:tc>
        <w:tc>
          <w:tcPr>
            <w:tcW w:w="70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(16,135)</w:t>
            </w:r>
          </w:p>
        </w:tc>
        <w:tc>
          <w:tcPr>
            <w:tcW w:w="740" w:type="dxa"/>
            <w:vAlign w:val="bottom"/>
            <w:gridSpan w:val="2"/>
          </w:tcPr>
          <w:p>
            <w:pPr>
              <w:jc w:val="right"/>
              <w:ind w:right="37"/>
              <w:spacing w:after="0"/>
              <w:rPr>
                <w:sz w:val="20"/>
                <w:szCs w:val="20"/>
                <w:color w:val="auto"/>
              </w:rPr>
            </w:pPr>
            <w:r>
              <w:rPr>
                <w:rFonts w:ascii="Times New Roman" w:cs="Times New Roman" w:eastAsia="Times New Roman" w:hAnsi="Times New Roman"/>
                <w:sz w:val="13"/>
                <w:szCs w:val="13"/>
                <w:color w:val="auto"/>
              </w:rPr>
              <w:t>(111,966)</w:t>
            </w: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(28,511)</w:t>
            </w:r>
          </w:p>
        </w:tc>
        <w:tc>
          <w:tcPr>
            <w:tcW w:w="0" w:type="dxa"/>
            <w:vAlign w:val="bottom"/>
          </w:tcPr>
          <w:p>
            <w:pPr>
              <w:spacing w:after="0"/>
              <w:rPr>
                <w:sz w:val="1"/>
                <w:szCs w:val="1"/>
                <w:color w:val="auto"/>
              </w:rPr>
            </w:pPr>
          </w:p>
        </w:tc>
      </w:tr>
      <w:tr>
        <w:trPr>
          <w:trHeight w:val="152"/>
        </w:trPr>
        <w:tc>
          <w:tcPr>
            <w:tcW w:w="47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Fair value change - Earn-out rights</w:t>
            </w:r>
          </w:p>
        </w:tc>
        <w:tc>
          <w:tcPr>
            <w:tcW w:w="2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9</w:t>
            </w:r>
          </w:p>
        </w:tc>
        <w:tc>
          <w:tcPr>
            <w:tcW w:w="120" w:type="dxa"/>
            <w:vAlign w:val="bottom"/>
            <w:shd w:val="clear" w:color="auto" w:fill="CCEEFF"/>
          </w:tcPr>
          <w:p>
            <w:pPr>
              <w:spacing w:after="0"/>
              <w:rPr>
                <w:sz w:val="13"/>
                <w:szCs w:val="13"/>
                <w:color w:val="auto"/>
              </w:rPr>
            </w:pP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546,961</w:t>
            </w:r>
          </w:p>
        </w:tc>
        <w:tc>
          <w:tcPr>
            <w:tcW w:w="16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740" w:type="dxa"/>
            <w:vAlign w:val="bottom"/>
            <w:gridSpan w:val="2"/>
            <w:shd w:val="clear" w:color="auto" w:fill="CCEEFF"/>
          </w:tcPr>
          <w:p>
            <w:pPr>
              <w:jc w:val="right"/>
              <w:ind w:right="77"/>
              <w:spacing w:after="0"/>
              <w:rPr>
                <w:sz w:val="20"/>
                <w:szCs w:val="20"/>
                <w:color w:val="auto"/>
              </w:rPr>
            </w:pPr>
            <w:r>
              <w:rPr>
                <w:rFonts w:ascii="Times New Roman" w:cs="Times New Roman" w:eastAsia="Times New Roman" w:hAnsi="Times New Roman"/>
                <w:sz w:val="13"/>
                <w:szCs w:val="13"/>
                <w:color w:val="auto"/>
              </w:rPr>
              <w:t>965,668</w:t>
            </w:r>
          </w:p>
        </w:tc>
        <w:tc>
          <w:tcPr>
            <w:tcW w:w="580" w:type="dxa"/>
            <w:vAlign w:val="bottom"/>
            <w:gridSpan w:val="2"/>
            <w:shd w:val="clear" w:color="auto" w:fill="CCEEFF"/>
          </w:tcPr>
          <w:p>
            <w:pPr>
              <w:jc w:val="right"/>
              <w:ind w:right="98"/>
              <w:spacing w:after="0"/>
              <w:rPr>
                <w:sz w:val="20"/>
                <w:szCs w:val="20"/>
                <w:color w:val="auto"/>
              </w:rPr>
            </w:pPr>
            <w:r>
              <w:rPr>
                <w:rFonts w:ascii="Times New Roman" w:cs="Times New Roman" w:eastAsia="Times New Roman" w:hAnsi="Times New Roman"/>
                <w:sz w:val="13"/>
                <w:szCs w:val="13"/>
                <w:color w:val="auto"/>
              </w:rPr>
              <w:t>—</w:t>
            </w:r>
          </w:p>
        </w:tc>
        <w:tc>
          <w:tcPr>
            <w:tcW w:w="0" w:type="dxa"/>
            <w:vAlign w:val="bottom"/>
          </w:tcPr>
          <w:p>
            <w:pPr>
              <w:spacing w:after="0"/>
              <w:rPr>
                <w:sz w:val="1"/>
                <w:szCs w:val="1"/>
                <w:color w:val="auto"/>
              </w:rPr>
            </w:pPr>
          </w:p>
        </w:tc>
      </w:tr>
      <w:tr>
        <w:trPr>
          <w:trHeight w:val="152"/>
        </w:trPr>
        <w:tc>
          <w:tcPr>
            <w:tcW w:w="4720" w:type="dxa"/>
            <w:vAlign w:val="bottom"/>
          </w:tcPr>
          <w:p>
            <w:pPr>
              <w:spacing w:after="0"/>
              <w:rPr>
                <w:sz w:val="20"/>
                <w:szCs w:val="20"/>
                <w:color w:val="auto"/>
              </w:rPr>
            </w:pPr>
            <w:r>
              <w:rPr>
                <w:rFonts w:ascii="Times New Roman" w:cs="Times New Roman" w:eastAsia="Times New Roman" w:hAnsi="Times New Roman"/>
                <w:sz w:val="13"/>
                <w:szCs w:val="13"/>
                <w:color w:val="auto"/>
              </w:rPr>
              <w:t>Fair value change - Class C Shares</w:t>
            </w:r>
          </w:p>
        </w:tc>
        <w:tc>
          <w:tcPr>
            <w:tcW w:w="2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9</w:t>
            </w:r>
          </w:p>
        </w:tc>
        <w:tc>
          <w:tcPr>
            <w:tcW w:w="120" w:type="dxa"/>
            <w:vAlign w:val="bottom"/>
          </w:tcPr>
          <w:p>
            <w:pPr>
              <w:spacing w:after="0"/>
              <w:rPr>
                <w:sz w:val="13"/>
                <w:szCs w:val="13"/>
                <w:color w:val="auto"/>
              </w:rPr>
            </w:pPr>
          </w:p>
        </w:tc>
        <w:tc>
          <w:tcPr>
            <w:tcW w:w="68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color w:val="auto"/>
              </w:rPr>
              <w:t>14,059</w:t>
            </w:r>
          </w:p>
        </w:tc>
        <w:tc>
          <w:tcPr>
            <w:tcW w:w="700" w:type="dxa"/>
            <w:vAlign w:val="bottom"/>
            <w:gridSpan w:val="2"/>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740" w:type="dxa"/>
            <w:vAlign w:val="bottom"/>
            <w:gridSpan w:val="2"/>
          </w:tcPr>
          <w:p>
            <w:pPr>
              <w:jc w:val="right"/>
              <w:ind w:right="77"/>
              <w:spacing w:after="0"/>
              <w:rPr>
                <w:sz w:val="20"/>
                <w:szCs w:val="20"/>
                <w:color w:val="auto"/>
              </w:rPr>
            </w:pPr>
            <w:r>
              <w:rPr>
                <w:rFonts w:ascii="Times New Roman" w:cs="Times New Roman" w:eastAsia="Times New Roman" w:hAnsi="Times New Roman"/>
                <w:sz w:val="13"/>
                <w:szCs w:val="13"/>
                <w:color w:val="auto"/>
              </w:rPr>
              <w:t>35,590</w:t>
            </w:r>
          </w:p>
        </w:tc>
        <w:tc>
          <w:tcPr>
            <w:tcW w:w="580" w:type="dxa"/>
            <w:vAlign w:val="bottom"/>
            <w:gridSpan w:val="2"/>
          </w:tcPr>
          <w:p>
            <w:pPr>
              <w:jc w:val="right"/>
              <w:ind w:right="98"/>
              <w:spacing w:after="0"/>
              <w:rPr>
                <w:sz w:val="20"/>
                <w:szCs w:val="20"/>
                <w:color w:val="auto"/>
              </w:rPr>
            </w:pPr>
            <w:r>
              <w:rPr>
                <w:rFonts w:ascii="Times New Roman" w:cs="Times New Roman" w:eastAsia="Times New Roman" w:hAnsi="Times New Roman"/>
                <w:sz w:val="13"/>
                <w:szCs w:val="13"/>
                <w:color w:val="auto"/>
              </w:rPr>
              <w:t>—</w:t>
            </w:r>
          </w:p>
        </w:tc>
        <w:tc>
          <w:tcPr>
            <w:tcW w:w="0" w:type="dxa"/>
            <w:vAlign w:val="bottom"/>
          </w:tcPr>
          <w:p>
            <w:pPr>
              <w:spacing w:after="0"/>
              <w:rPr>
                <w:sz w:val="1"/>
                <w:szCs w:val="1"/>
                <w:color w:val="auto"/>
              </w:rPr>
            </w:pPr>
          </w:p>
        </w:tc>
      </w:tr>
      <w:tr>
        <w:trPr>
          <w:trHeight w:val="20"/>
        </w:trPr>
        <w:tc>
          <w:tcPr>
            <w:tcW w:w="47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1"/>
        </w:trPr>
        <w:tc>
          <w:tcPr>
            <w:tcW w:w="47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Income (loss) before income taxes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304,791</w:t>
            </w:r>
          </w:p>
        </w:tc>
        <w:tc>
          <w:tcPr>
            <w:tcW w:w="16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(299,390)</w:t>
            </w:r>
          </w:p>
        </w:tc>
        <w:tc>
          <w:tcPr>
            <w:tcW w:w="740" w:type="dxa"/>
            <w:vAlign w:val="bottom"/>
            <w:gridSpan w:val="2"/>
            <w:shd w:val="clear" w:color="auto" w:fill="CCEEFF"/>
          </w:tcPr>
          <w:p>
            <w:pPr>
              <w:jc w:val="right"/>
              <w:ind w:right="37"/>
              <w:spacing w:after="0"/>
              <w:rPr>
                <w:sz w:val="20"/>
                <w:szCs w:val="20"/>
                <w:color w:val="auto"/>
              </w:rPr>
            </w:pPr>
            <w:r>
              <w:rPr>
                <w:rFonts w:ascii="Times New Roman" w:cs="Times New Roman" w:eastAsia="Times New Roman" w:hAnsi="Times New Roman"/>
                <w:sz w:val="13"/>
                <w:szCs w:val="13"/>
                <w:b w:val="1"/>
                <w:bCs w:val="1"/>
                <w:color w:val="auto"/>
              </w:rPr>
              <w:t>(190,804)</w:t>
            </w: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(661,254)</w:t>
            </w:r>
          </w:p>
        </w:tc>
        <w:tc>
          <w:tcPr>
            <w:tcW w:w="0" w:type="dxa"/>
            <w:vAlign w:val="bottom"/>
          </w:tcPr>
          <w:p>
            <w:pPr>
              <w:spacing w:after="0"/>
              <w:rPr>
                <w:sz w:val="1"/>
                <w:szCs w:val="1"/>
                <w:color w:val="auto"/>
              </w:rPr>
            </w:pPr>
          </w:p>
        </w:tc>
      </w:tr>
      <w:tr>
        <w:trPr>
          <w:trHeight w:val="151"/>
        </w:trPr>
        <w:tc>
          <w:tcPr>
            <w:tcW w:w="4720" w:type="dxa"/>
            <w:vAlign w:val="bottom"/>
          </w:tcPr>
          <w:p>
            <w:pPr>
              <w:spacing w:after="0"/>
              <w:rPr>
                <w:sz w:val="20"/>
                <w:szCs w:val="20"/>
                <w:color w:val="auto"/>
              </w:rPr>
            </w:pPr>
            <w:r>
              <w:rPr>
                <w:rFonts w:ascii="Times New Roman" w:cs="Times New Roman" w:eastAsia="Times New Roman" w:hAnsi="Times New Roman"/>
                <w:sz w:val="13"/>
                <w:szCs w:val="13"/>
                <w:color w:val="auto"/>
              </w:rPr>
              <w:t>Income tax expense</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(5,404)</w:t>
            </w:r>
          </w:p>
        </w:tc>
        <w:tc>
          <w:tcPr>
            <w:tcW w:w="160" w:type="dxa"/>
            <w:vAlign w:val="bottom"/>
          </w:tcPr>
          <w:p>
            <w:pPr>
              <w:spacing w:after="0"/>
              <w:rPr>
                <w:sz w:val="13"/>
                <w:szCs w:val="13"/>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(3,058)</w:t>
            </w:r>
          </w:p>
        </w:tc>
        <w:tc>
          <w:tcPr>
            <w:tcW w:w="140" w:type="dxa"/>
            <w:vAlign w:val="bottom"/>
          </w:tcPr>
          <w:p>
            <w:pPr>
              <w:spacing w:after="0"/>
              <w:rPr>
                <w:sz w:val="13"/>
                <w:szCs w:val="13"/>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(12,543)</w:t>
            </w:r>
          </w:p>
        </w:tc>
        <w:tc>
          <w:tcPr>
            <w:tcW w:w="140" w:type="dxa"/>
            <w:vAlign w:val="bottom"/>
          </w:tcPr>
          <w:p>
            <w:pPr>
              <w:spacing w:after="0"/>
              <w:rPr>
                <w:sz w:val="13"/>
                <w:szCs w:val="13"/>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(9,414)</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47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Net income (loss)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299,387</w:t>
            </w:r>
          </w:p>
        </w:tc>
        <w:tc>
          <w:tcPr>
            <w:tcW w:w="16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(302,448)</w:t>
            </w:r>
          </w:p>
        </w:tc>
        <w:tc>
          <w:tcPr>
            <w:tcW w:w="740" w:type="dxa"/>
            <w:vAlign w:val="bottom"/>
            <w:gridSpan w:val="2"/>
            <w:shd w:val="clear" w:color="auto" w:fill="CCEEFF"/>
          </w:tcPr>
          <w:p>
            <w:pPr>
              <w:jc w:val="right"/>
              <w:ind w:right="37"/>
              <w:spacing w:after="0"/>
              <w:rPr>
                <w:sz w:val="20"/>
                <w:szCs w:val="20"/>
                <w:color w:val="auto"/>
              </w:rPr>
            </w:pPr>
            <w:r>
              <w:rPr>
                <w:rFonts w:ascii="Times New Roman" w:cs="Times New Roman" w:eastAsia="Times New Roman" w:hAnsi="Times New Roman"/>
                <w:sz w:val="13"/>
                <w:szCs w:val="13"/>
                <w:b w:val="1"/>
                <w:bCs w:val="1"/>
                <w:color w:val="auto"/>
              </w:rPr>
              <w:t>(203,347)</w:t>
            </w: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(670,668)</w:t>
            </w:r>
          </w:p>
        </w:tc>
        <w:tc>
          <w:tcPr>
            <w:tcW w:w="0" w:type="dxa"/>
            <w:vAlign w:val="bottom"/>
          </w:tcPr>
          <w:p>
            <w:pPr>
              <w:spacing w:after="0"/>
              <w:rPr>
                <w:sz w:val="1"/>
                <w:szCs w:val="1"/>
                <w:color w:val="auto"/>
              </w:rPr>
            </w:pPr>
          </w:p>
        </w:tc>
      </w:tr>
      <w:tr>
        <w:trPr>
          <w:trHeight w:val="151"/>
        </w:trPr>
        <w:tc>
          <w:tcPr>
            <w:tcW w:w="472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Net income (loss) per share (in U.S. dollars)</w:t>
            </w:r>
          </w:p>
        </w:tc>
        <w:tc>
          <w:tcPr>
            <w:tcW w:w="2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4</w:t>
            </w:r>
          </w:p>
        </w:tc>
        <w:tc>
          <w:tcPr>
            <w:tcW w:w="120" w:type="dxa"/>
            <w:vAlign w:val="bottom"/>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560" w:type="dxa"/>
            <w:vAlign w:val="bottom"/>
            <w:tcBorders>
              <w:top w:val="single" w:sz="8" w:color="auto"/>
            </w:tcBorders>
          </w:tcPr>
          <w:p>
            <w:pPr>
              <w:spacing w:after="0"/>
              <w:rPr>
                <w:sz w:val="13"/>
                <w:szCs w:val="13"/>
                <w:color w:val="auto"/>
              </w:rPr>
            </w:pPr>
          </w:p>
        </w:tc>
        <w:tc>
          <w:tcPr>
            <w:tcW w:w="140" w:type="dxa"/>
            <w:vAlign w:val="bottom"/>
          </w:tcPr>
          <w:p>
            <w:pPr>
              <w:spacing w:after="0"/>
              <w:rPr>
                <w:sz w:val="13"/>
                <w:szCs w:val="13"/>
                <w:color w:val="auto"/>
              </w:rPr>
            </w:pPr>
          </w:p>
        </w:tc>
        <w:tc>
          <w:tcPr>
            <w:tcW w:w="600" w:type="dxa"/>
            <w:vAlign w:val="bottom"/>
            <w:tcBorders>
              <w:top w:val="single" w:sz="8" w:color="auto"/>
            </w:tcBorders>
          </w:tcPr>
          <w:p>
            <w:pPr>
              <w:spacing w:after="0"/>
              <w:rPr>
                <w:sz w:val="13"/>
                <w:szCs w:val="13"/>
                <w:color w:val="auto"/>
              </w:rPr>
            </w:pPr>
          </w:p>
        </w:tc>
        <w:tc>
          <w:tcPr>
            <w:tcW w:w="140" w:type="dxa"/>
            <w:vAlign w:val="bottom"/>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72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Basic</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color w:val="auto"/>
              </w:rPr>
              <w:t>0.14</w:t>
            </w:r>
          </w:p>
        </w:tc>
        <w:tc>
          <w:tcPr>
            <w:tcW w:w="70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(1.30)</w:t>
            </w:r>
          </w:p>
        </w:tc>
        <w:tc>
          <w:tcPr>
            <w:tcW w:w="740" w:type="dxa"/>
            <w:vAlign w:val="bottom"/>
            <w:gridSpan w:val="2"/>
            <w:shd w:val="clear" w:color="auto" w:fill="CCEEFF"/>
          </w:tcPr>
          <w:p>
            <w:pPr>
              <w:jc w:val="right"/>
              <w:ind w:right="37"/>
              <w:spacing w:after="0"/>
              <w:rPr>
                <w:sz w:val="20"/>
                <w:szCs w:val="20"/>
                <w:color w:val="auto"/>
              </w:rPr>
            </w:pPr>
            <w:r>
              <w:rPr>
                <w:rFonts w:ascii="Times New Roman" w:cs="Times New Roman" w:eastAsia="Times New Roman" w:hAnsi="Times New Roman"/>
                <w:sz w:val="13"/>
                <w:szCs w:val="13"/>
                <w:color w:val="auto"/>
              </w:rPr>
              <w:t>(0.22)</w:t>
            </w: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(2.94)</w:t>
            </w:r>
          </w:p>
        </w:tc>
        <w:tc>
          <w:tcPr>
            <w:tcW w:w="0" w:type="dxa"/>
            <w:vAlign w:val="bottom"/>
          </w:tcPr>
          <w:p>
            <w:pPr>
              <w:spacing w:after="0"/>
              <w:rPr>
                <w:sz w:val="1"/>
                <w:szCs w:val="1"/>
                <w:color w:val="auto"/>
              </w:rPr>
            </w:pPr>
          </w:p>
        </w:tc>
      </w:tr>
      <w:tr>
        <w:trPr>
          <w:trHeight w:val="152"/>
        </w:trPr>
        <w:tc>
          <w:tcPr>
            <w:tcW w:w="472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Diluted</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8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color w:val="auto"/>
              </w:rPr>
              <w:t>0.14</w:t>
            </w:r>
          </w:p>
        </w:tc>
        <w:tc>
          <w:tcPr>
            <w:tcW w:w="70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(1.30)</w:t>
            </w:r>
          </w:p>
        </w:tc>
        <w:tc>
          <w:tcPr>
            <w:tcW w:w="740" w:type="dxa"/>
            <w:vAlign w:val="bottom"/>
            <w:gridSpan w:val="2"/>
          </w:tcPr>
          <w:p>
            <w:pPr>
              <w:jc w:val="right"/>
              <w:ind w:right="37"/>
              <w:spacing w:after="0"/>
              <w:rPr>
                <w:sz w:val="20"/>
                <w:szCs w:val="20"/>
                <w:color w:val="auto"/>
              </w:rPr>
            </w:pPr>
            <w:r>
              <w:rPr>
                <w:rFonts w:ascii="Times New Roman" w:cs="Times New Roman" w:eastAsia="Times New Roman" w:hAnsi="Times New Roman"/>
                <w:sz w:val="13"/>
                <w:szCs w:val="13"/>
                <w:color w:val="auto"/>
              </w:rPr>
              <w:t>(0.22)</w:t>
            </w: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(2.94)</w:t>
            </w:r>
          </w:p>
        </w:tc>
        <w:tc>
          <w:tcPr>
            <w:tcW w:w="0" w:type="dxa"/>
            <w:vAlign w:val="bottom"/>
          </w:tcPr>
          <w:p>
            <w:pPr>
              <w:spacing w:after="0"/>
              <w:rPr>
                <w:sz w:val="1"/>
                <w:szCs w:val="1"/>
                <w:color w:val="auto"/>
              </w:rPr>
            </w:pPr>
          </w:p>
        </w:tc>
      </w:tr>
      <w:tr>
        <w:trPr>
          <w:trHeight w:val="152"/>
        </w:trPr>
        <w:tc>
          <w:tcPr>
            <w:tcW w:w="47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Consolidated Statement of Comprehensive Income (Loss)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52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5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72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Net income (loss)</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20" w:type="dxa"/>
            <w:vAlign w:val="bottom"/>
          </w:tcPr>
          <w:p>
            <w:pPr>
              <w:jc w:val="right"/>
              <w:spacing w:after="0"/>
              <w:rPr>
                <w:sz w:val="20"/>
                <w:szCs w:val="20"/>
                <w:color w:val="auto"/>
              </w:rPr>
            </w:pPr>
            <w:r>
              <w:rPr>
                <w:rFonts w:ascii="Times New Roman" w:cs="Times New Roman" w:eastAsia="Times New Roman" w:hAnsi="Times New Roman"/>
                <w:sz w:val="13"/>
                <w:szCs w:val="13"/>
                <w:b w:val="1"/>
                <w:bCs w:val="1"/>
                <w:color w:val="auto"/>
              </w:rPr>
              <w:t>299,387</w:t>
            </w:r>
          </w:p>
        </w:tc>
        <w:tc>
          <w:tcPr>
            <w:tcW w:w="160" w:type="dxa"/>
            <w:vAlign w:val="bottom"/>
          </w:tcPr>
          <w:p>
            <w:pPr>
              <w:spacing w:after="0"/>
              <w:rPr>
                <w:sz w:val="13"/>
                <w:szCs w:val="13"/>
                <w:color w:val="auto"/>
              </w:rPr>
            </w:pPr>
          </w:p>
        </w:tc>
        <w:tc>
          <w:tcPr>
            <w:tcW w:w="70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(302,448)</w:t>
            </w:r>
          </w:p>
        </w:tc>
        <w:tc>
          <w:tcPr>
            <w:tcW w:w="740" w:type="dxa"/>
            <w:vAlign w:val="bottom"/>
            <w:gridSpan w:val="2"/>
          </w:tcPr>
          <w:p>
            <w:pPr>
              <w:jc w:val="right"/>
              <w:ind w:right="37"/>
              <w:spacing w:after="0"/>
              <w:rPr>
                <w:sz w:val="20"/>
                <w:szCs w:val="20"/>
                <w:color w:val="auto"/>
              </w:rPr>
            </w:pPr>
            <w:r>
              <w:rPr>
                <w:rFonts w:ascii="Times New Roman" w:cs="Times New Roman" w:eastAsia="Times New Roman" w:hAnsi="Times New Roman"/>
                <w:sz w:val="13"/>
                <w:szCs w:val="13"/>
                <w:b w:val="1"/>
                <w:bCs w:val="1"/>
                <w:color w:val="auto"/>
              </w:rPr>
              <w:t>(203,347)</w:t>
            </w: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3"/>
                <w:szCs w:val="13"/>
                <w:b w:val="1"/>
                <w:bCs w:val="1"/>
                <w:color w:val="auto"/>
              </w:rPr>
              <w:t>(670,668)</w:t>
            </w:r>
          </w:p>
        </w:tc>
        <w:tc>
          <w:tcPr>
            <w:tcW w:w="0" w:type="dxa"/>
            <w:vAlign w:val="bottom"/>
          </w:tcPr>
          <w:p>
            <w:pPr>
              <w:spacing w:after="0"/>
              <w:rPr>
                <w:sz w:val="1"/>
                <w:szCs w:val="1"/>
                <w:color w:val="auto"/>
              </w:rPr>
            </w:pPr>
          </w:p>
        </w:tc>
      </w:tr>
      <w:tr>
        <w:trPr>
          <w:trHeight w:val="152"/>
        </w:trPr>
        <w:tc>
          <w:tcPr>
            <w:tcW w:w="47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Other comprehensive income (loss):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52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5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720" w:type="dxa"/>
            <w:vAlign w:val="bottom"/>
          </w:tcPr>
          <w:p>
            <w:pPr>
              <w:spacing w:after="0"/>
              <w:rPr>
                <w:sz w:val="20"/>
                <w:szCs w:val="20"/>
                <w:color w:val="auto"/>
              </w:rPr>
            </w:pPr>
            <w:r>
              <w:rPr>
                <w:rFonts w:ascii="Times New Roman" w:cs="Times New Roman" w:eastAsia="Times New Roman" w:hAnsi="Times New Roman"/>
                <w:sz w:val="13"/>
                <w:szCs w:val="13"/>
                <w:color w:val="auto"/>
              </w:rPr>
              <w:t>Items that may be subsequently reclassified to the Consolidated Statement of Loss:</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7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Exchange rate differences from translation of foreign operations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4,688</w:t>
            </w:r>
          </w:p>
        </w:tc>
        <w:tc>
          <w:tcPr>
            <w:tcW w:w="16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(10,965)</w:t>
            </w:r>
          </w:p>
        </w:tc>
        <w:tc>
          <w:tcPr>
            <w:tcW w:w="740" w:type="dxa"/>
            <w:vAlign w:val="bottom"/>
            <w:gridSpan w:val="2"/>
            <w:shd w:val="clear" w:color="auto" w:fill="CCEEFF"/>
          </w:tcPr>
          <w:p>
            <w:pPr>
              <w:jc w:val="right"/>
              <w:ind w:right="77"/>
              <w:spacing w:after="0"/>
              <w:rPr>
                <w:sz w:val="20"/>
                <w:szCs w:val="20"/>
                <w:color w:val="auto"/>
              </w:rPr>
            </w:pPr>
            <w:r>
              <w:rPr>
                <w:rFonts w:ascii="Times New Roman" w:cs="Times New Roman" w:eastAsia="Times New Roman" w:hAnsi="Times New Roman"/>
                <w:sz w:val="13"/>
                <w:szCs w:val="13"/>
                <w:color w:val="auto"/>
              </w:rPr>
              <w:t>15,347</w:t>
            </w: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(29,257)</w:t>
            </w:r>
          </w:p>
        </w:tc>
        <w:tc>
          <w:tcPr>
            <w:tcW w:w="0" w:type="dxa"/>
            <w:vAlign w:val="bottom"/>
          </w:tcPr>
          <w:p>
            <w:pPr>
              <w:spacing w:after="0"/>
              <w:rPr>
                <w:sz w:val="1"/>
                <w:szCs w:val="1"/>
                <w:color w:val="auto"/>
              </w:rPr>
            </w:pPr>
          </w:p>
        </w:tc>
      </w:tr>
      <w:tr>
        <w:trPr>
          <w:trHeight w:val="151"/>
        </w:trPr>
        <w:tc>
          <w:tcPr>
            <w:tcW w:w="472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Total other comprehensive income (loss)</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4,688</w:t>
            </w:r>
          </w:p>
        </w:tc>
        <w:tc>
          <w:tcPr>
            <w:tcW w:w="160" w:type="dxa"/>
            <w:vAlign w:val="bottom"/>
          </w:tcPr>
          <w:p>
            <w:pPr>
              <w:spacing w:after="0"/>
              <w:rPr>
                <w:sz w:val="13"/>
                <w:szCs w:val="13"/>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(10,965)</w:t>
            </w:r>
          </w:p>
        </w:tc>
        <w:tc>
          <w:tcPr>
            <w:tcW w:w="140" w:type="dxa"/>
            <w:vAlign w:val="bottom"/>
          </w:tcPr>
          <w:p>
            <w:pPr>
              <w:spacing w:after="0"/>
              <w:rPr>
                <w:sz w:val="13"/>
                <w:szCs w:val="13"/>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15,347</w:t>
            </w:r>
          </w:p>
        </w:tc>
        <w:tc>
          <w:tcPr>
            <w:tcW w:w="140" w:type="dxa"/>
            <w:vAlign w:val="bottom"/>
          </w:tcPr>
          <w:p>
            <w:pPr>
              <w:spacing w:after="0"/>
              <w:rPr>
                <w:sz w:val="13"/>
                <w:szCs w:val="13"/>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(29,257)</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47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Total comprehensive income (loss)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304,075</w:t>
            </w:r>
          </w:p>
        </w:tc>
        <w:tc>
          <w:tcPr>
            <w:tcW w:w="16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(313,413)</w:t>
            </w:r>
          </w:p>
        </w:tc>
        <w:tc>
          <w:tcPr>
            <w:tcW w:w="740" w:type="dxa"/>
            <w:vAlign w:val="bottom"/>
            <w:gridSpan w:val="2"/>
            <w:shd w:val="clear" w:color="auto" w:fill="CCEEFF"/>
          </w:tcPr>
          <w:p>
            <w:pPr>
              <w:jc w:val="right"/>
              <w:ind w:right="37"/>
              <w:spacing w:after="0"/>
              <w:rPr>
                <w:sz w:val="20"/>
                <w:szCs w:val="20"/>
                <w:color w:val="auto"/>
              </w:rPr>
            </w:pPr>
            <w:r>
              <w:rPr>
                <w:rFonts w:ascii="Times New Roman" w:cs="Times New Roman" w:eastAsia="Times New Roman" w:hAnsi="Times New Roman"/>
                <w:sz w:val="13"/>
                <w:szCs w:val="13"/>
                <w:b w:val="1"/>
                <w:bCs w:val="1"/>
                <w:color w:val="auto"/>
              </w:rPr>
              <w:t>(188,000)</w:t>
            </w: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(699,925)</w:t>
            </w:r>
          </w:p>
        </w:tc>
        <w:tc>
          <w:tcPr>
            <w:tcW w:w="0" w:type="dxa"/>
            <w:vAlign w:val="bottom"/>
          </w:tcPr>
          <w:p>
            <w:pPr>
              <w:spacing w:after="0"/>
              <w:rPr>
                <w:sz w:val="1"/>
                <w:szCs w:val="1"/>
                <w:color w:val="auto"/>
              </w:rPr>
            </w:pPr>
          </w:p>
        </w:tc>
      </w:tr>
      <w:tr>
        <w:trPr>
          <w:trHeight w:val="20"/>
        </w:trPr>
        <w:tc>
          <w:tcPr>
            <w:tcW w:w="47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4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The accompanying notes are an integral part of these Unaudited Condensed Consolidated Financial Statements.</w:t>
      </w:r>
    </w:p>
    <w:p>
      <w:pPr>
        <w:spacing w:after="0" w:line="10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3</w:t>
      </w:r>
    </w:p>
    <w:p>
      <w:pPr>
        <w:sectPr>
          <w:pgSz w:w="11900" w:h="16838" w:orient="portrait"/>
          <w:cols w:equalWidth="0" w:num="1">
            <w:col w:w="9019"/>
          </w:cols>
          <w:pgMar w:left="1440" w:top="231" w:right="1440" w:bottom="1440" w:gutter="0" w:footer="0" w:header="0"/>
        </w:sectPr>
      </w:pPr>
    </w:p>
    <w:bookmarkStart w:id="60" w:name="page61"/>
    <w:bookmarkEnd w:id="60"/>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10425" cy="30480"/>
                    </a:xfrm>
                    <a:prstGeom prst="rect">
                      <a:avLst/>
                    </a:prstGeom>
                    <a:noFill/>
                  </pic:spPr>
                </pic:pic>
              </a:graphicData>
            </a:graphic>
          </wp:anchor>
        </w:drawing>
        <w:t>The Polestar Group</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Unaudited Condensed Consolidated Statement of Financial Position</w:t>
      </w:r>
    </w:p>
    <w:p>
      <w:pPr>
        <w:spacing w:after="0" w:line="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145" w:lineRule="exact"/>
        <w:rPr>
          <w:sz w:val="20"/>
          <w:szCs w:val="20"/>
          <w:color w:val="auto"/>
        </w:rPr>
      </w:pPr>
    </w:p>
    <w:tbl>
      <w:tblPr>
        <w:tblLayout w:type="fixed"/>
        <w:tblInd w:w="640" w:type="dxa"/>
        <w:tblCellMar>
          <w:top w:w="0" w:type="dxa"/>
          <w:left w:w="0" w:type="dxa"/>
          <w:bottom w:w="0" w:type="dxa"/>
          <w:right w:w="0" w:type="dxa"/>
        </w:tblCellMar>
      </w:tblPr>
      <w:tr>
        <w:trPr>
          <w:trHeight w:val="115"/>
        </w:trPr>
        <w:tc>
          <w:tcPr>
            <w:tcW w:w="5900" w:type="dxa"/>
            <w:vAlign w:val="bottom"/>
          </w:tcPr>
          <w:p>
            <w:pPr>
              <w:spacing w:after="0"/>
              <w:rPr>
                <w:sz w:val="10"/>
                <w:szCs w:val="10"/>
                <w:color w:val="auto"/>
              </w:rPr>
            </w:pPr>
          </w:p>
        </w:tc>
        <w:tc>
          <w:tcPr>
            <w:tcW w:w="400" w:type="dxa"/>
            <w:vAlign w:val="bottom"/>
            <w:gridSpan w:val="2"/>
            <w:vMerge w:val="restart"/>
          </w:tcPr>
          <w:p>
            <w:pPr>
              <w:spacing w:after="0"/>
              <w:rPr>
                <w:sz w:val="20"/>
                <w:szCs w:val="20"/>
                <w:color w:val="auto"/>
              </w:rPr>
            </w:pPr>
            <w:r>
              <w:rPr>
                <w:rFonts w:ascii="Times New Roman" w:cs="Times New Roman" w:eastAsia="Times New Roman" w:hAnsi="Times New Roman"/>
                <w:sz w:val="10"/>
                <w:szCs w:val="10"/>
                <w:b w:val="1"/>
                <w:bCs w:val="1"/>
                <w:color w:val="auto"/>
              </w:rPr>
              <w:t>Note</w:t>
            </w:r>
          </w:p>
        </w:tc>
        <w:tc>
          <w:tcPr>
            <w:tcW w:w="800" w:type="dxa"/>
            <w:vAlign w:val="bottom"/>
            <w:gridSpan w:val="3"/>
          </w:tcPr>
          <w:p>
            <w:pPr>
              <w:spacing w:after="0"/>
              <w:rPr>
                <w:sz w:val="20"/>
                <w:szCs w:val="20"/>
                <w:color w:val="auto"/>
              </w:rPr>
            </w:pPr>
            <w:r>
              <w:rPr>
                <w:rFonts w:ascii="Times New Roman" w:cs="Times New Roman" w:eastAsia="Times New Roman" w:hAnsi="Times New Roman"/>
                <w:sz w:val="10"/>
                <w:szCs w:val="10"/>
                <w:b w:val="1"/>
                <w:bCs w:val="1"/>
                <w:color w:val="auto"/>
              </w:rPr>
              <w:t>September 30,</w:t>
            </w:r>
          </w:p>
        </w:tc>
        <w:tc>
          <w:tcPr>
            <w:tcW w:w="640" w:type="dxa"/>
            <w:vAlign w:val="bottom"/>
            <w:gridSpan w:val="2"/>
          </w:tcPr>
          <w:p>
            <w:pPr>
              <w:spacing w:after="0"/>
              <w:rPr>
                <w:sz w:val="20"/>
                <w:szCs w:val="20"/>
                <w:color w:val="auto"/>
              </w:rPr>
            </w:pPr>
            <w:r>
              <w:rPr>
                <w:rFonts w:ascii="Times New Roman" w:cs="Times New Roman" w:eastAsia="Times New Roman" w:hAnsi="Times New Roman"/>
                <w:sz w:val="10"/>
                <w:szCs w:val="10"/>
                <w:b w:val="1"/>
                <w:bCs w:val="1"/>
                <w:color w:val="auto"/>
              </w:rPr>
              <w:t>December 31,</w:t>
            </w:r>
          </w:p>
        </w:tc>
        <w:tc>
          <w:tcPr>
            <w:tcW w:w="0" w:type="dxa"/>
            <w:vAlign w:val="bottom"/>
          </w:tcPr>
          <w:p>
            <w:pPr>
              <w:spacing w:after="0"/>
              <w:rPr>
                <w:sz w:val="1"/>
                <w:szCs w:val="1"/>
                <w:color w:val="auto"/>
              </w:rPr>
            </w:pPr>
          </w:p>
        </w:tc>
      </w:tr>
      <w:tr>
        <w:trPr>
          <w:trHeight w:val="121"/>
        </w:trPr>
        <w:tc>
          <w:tcPr>
            <w:tcW w:w="5900" w:type="dxa"/>
            <w:vAlign w:val="bottom"/>
          </w:tcPr>
          <w:p>
            <w:pPr>
              <w:spacing w:after="0"/>
              <w:rPr>
                <w:sz w:val="10"/>
                <w:szCs w:val="10"/>
                <w:color w:val="auto"/>
              </w:rPr>
            </w:pPr>
          </w:p>
        </w:tc>
        <w:tc>
          <w:tcPr>
            <w:tcW w:w="400" w:type="dxa"/>
            <w:vAlign w:val="bottom"/>
            <w:gridSpan w:val="2"/>
            <w:vMerge w:val="continue"/>
          </w:tcPr>
          <w:p>
            <w:pPr>
              <w:spacing w:after="0"/>
              <w:rPr>
                <w:sz w:val="10"/>
                <w:szCs w:val="10"/>
                <w:color w:val="auto"/>
              </w:rPr>
            </w:pPr>
          </w:p>
        </w:tc>
        <w:tc>
          <w:tcPr>
            <w:tcW w:w="620" w:type="dxa"/>
            <w:vAlign w:val="bottom"/>
          </w:tcPr>
          <w:p>
            <w:pPr>
              <w:jc w:val="right"/>
              <w:ind w:right="158"/>
              <w:spacing w:after="0"/>
              <w:rPr>
                <w:sz w:val="20"/>
                <w:szCs w:val="20"/>
                <w:color w:val="auto"/>
              </w:rPr>
            </w:pPr>
            <w:r>
              <w:rPr>
                <w:rFonts w:ascii="Times New Roman" w:cs="Times New Roman" w:eastAsia="Times New Roman" w:hAnsi="Times New Roman"/>
                <w:sz w:val="10"/>
                <w:szCs w:val="10"/>
                <w:b w:val="1"/>
                <w:bCs w:val="1"/>
                <w:color w:val="auto"/>
              </w:rPr>
              <w:t>2022</w:t>
            </w:r>
          </w:p>
        </w:tc>
        <w:tc>
          <w:tcPr>
            <w:tcW w:w="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00" w:type="dxa"/>
            <w:vAlign w:val="bottom"/>
          </w:tcPr>
          <w:p>
            <w:pPr>
              <w:jc w:val="right"/>
              <w:ind w:right="138"/>
              <w:spacing w:after="0"/>
              <w:rPr>
                <w:sz w:val="20"/>
                <w:szCs w:val="20"/>
                <w:color w:val="auto"/>
              </w:rPr>
            </w:pPr>
            <w:r>
              <w:rPr>
                <w:rFonts w:ascii="Times New Roman" w:cs="Times New Roman" w:eastAsia="Times New Roman" w:hAnsi="Times New Roman"/>
                <w:sz w:val="10"/>
                <w:szCs w:val="10"/>
                <w:b w:val="1"/>
                <w:bCs w:val="1"/>
                <w:color w:val="auto"/>
              </w:rPr>
              <w:t>2021</w:t>
            </w: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2"/>
        </w:trPr>
        <w:tc>
          <w:tcPr>
            <w:tcW w:w="5900" w:type="dxa"/>
            <w:vAlign w:val="bottom"/>
            <w:tcBorders>
              <w:top w:val="single" w:sz="8" w:color="CCEEFF"/>
            </w:tcBorders>
            <w:shd w:val="clear" w:color="auto" w:fill="CCEEFF"/>
          </w:tcPr>
          <w:p>
            <w:pPr>
              <w:spacing w:after="0" w:line="132" w:lineRule="exact"/>
              <w:rPr>
                <w:sz w:val="20"/>
                <w:szCs w:val="20"/>
                <w:color w:val="auto"/>
              </w:rPr>
            </w:pPr>
            <w:r>
              <w:rPr>
                <w:rFonts w:ascii="Times New Roman" w:cs="Times New Roman" w:eastAsia="Times New Roman" w:hAnsi="Times New Roman"/>
                <w:sz w:val="13"/>
                <w:szCs w:val="13"/>
                <w:b w:val="1"/>
                <w:bCs w:val="1"/>
                <w:color w:val="auto"/>
              </w:rPr>
              <w:t>Assets</w:t>
            </w:r>
          </w:p>
        </w:tc>
        <w:tc>
          <w:tcPr>
            <w:tcW w:w="220" w:type="dxa"/>
            <w:vAlign w:val="bottom"/>
            <w:tcBorders>
              <w:top w:val="single" w:sz="8" w:color="auto"/>
            </w:tcBorders>
            <w:shd w:val="clear" w:color="auto" w:fill="CCEEFF"/>
          </w:tcPr>
          <w:p>
            <w:pPr>
              <w:spacing w:after="0"/>
              <w:rPr>
                <w:sz w:val="11"/>
                <w:szCs w:val="11"/>
                <w:color w:val="auto"/>
              </w:rPr>
            </w:pPr>
          </w:p>
        </w:tc>
        <w:tc>
          <w:tcPr>
            <w:tcW w:w="180" w:type="dxa"/>
            <w:vAlign w:val="bottom"/>
            <w:tcBorders>
              <w:top w:val="single" w:sz="8" w:color="CCEEFF"/>
            </w:tcBorders>
            <w:shd w:val="clear" w:color="auto" w:fill="CCEEFF"/>
          </w:tcPr>
          <w:p>
            <w:pPr>
              <w:spacing w:after="0"/>
              <w:rPr>
                <w:sz w:val="11"/>
                <w:szCs w:val="11"/>
                <w:color w:val="auto"/>
              </w:rPr>
            </w:pPr>
          </w:p>
        </w:tc>
        <w:tc>
          <w:tcPr>
            <w:tcW w:w="620" w:type="dxa"/>
            <w:vAlign w:val="bottom"/>
            <w:tcBorders>
              <w:top w:val="single" w:sz="8" w:color="auto"/>
            </w:tcBorders>
            <w:shd w:val="clear" w:color="auto" w:fill="CCEEFF"/>
          </w:tcPr>
          <w:p>
            <w:pPr>
              <w:spacing w:after="0"/>
              <w:rPr>
                <w:sz w:val="11"/>
                <w:szCs w:val="11"/>
                <w:color w:val="auto"/>
              </w:rPr>
            </w:pPr>
          </w:p>
        </w:tc>
        <w:tc>
          <w:tcPr>
            <w:tcW w:w="2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CCEEFF"/>
            </w:tcBorders>
            <w:shd w:val="clear" w:color="auto" w:fill="CCEEFF"/>
          </w:tcPr>
          <w:p>
            <w:pPr>
              <w:spacing w:after="0"/>
              <w:rPr>
                <w:sz w:val="11"/>
                <w:szCs w:val="11"/>
                <w:color w:val="auto"/>
              </w:rPr>
            </w:pPr>
          </w:p>
        </w:tc>
        <w:tc>
          <w:tcPr>
            <w:tcW w:w="600" w:type="dxa"/>
            <w:vAlign w:val="bottom"/>
            <w:tcBorders>
              <w:top w:val="single" w:sz="8" w:color="auto"/>
            </w:tcBorders>
            <w:shd w:val="clear" w:color="auto" w:fill="CCEEFF"/>
          </w:tcPr>
          <w:p>
            <w:pPr>
              <w:spacing w:after="0"/>
              <w:rPr>
                <w:sz w:val="11"/>
                <w:szCs w:val="11"/>
                <w:color w:val="auto"/>
              </w:rPr>
            </w:pPr>
          </w:p>
        </w:tc>
        <w:tc>
          <w:tcPr>
            <w:tcW w:w="40" w:type="dxa"/>
            <w:vAlign w:val="bottom"/>
            <w:tcBorders>
              <w:top w:val="single" w:sz="8" w:color="CCEEFF"/>
            </w:tcBorders>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2"/>
        </w:trPr>
        <w:tc>
          <w:tcPr>
            <w:tcW w:w="5900" w:type="dxa"/>
            <w:vAlign w:val="bottom"/>
          </w:tcPr>
          <w:p>
            <w:pPr>
              <w:spacing w:after="0"/>
              <w:rPr>
                <w:sz w:val="20"/>
                <w:szCs w:val="20"/>
                <w:color w:val="auto"/>
              </w:rPr>
            </w:pPr>
            <w:r>
              <w:rPr>
                <w:rFonts w:ascii="Times New Roman" w:cs="Times New Roman" w:eastAsia="Times New Roman" w:hAnsi="Times New Roman"/>
                <w:sz w:val="13"/>
                <w:szCs w:val="13"/>
                <w:color w:val="auto"/>
              </w:rPr>
              <w:t>Non-current assets</w:t>
            </w:r>
          </w:p>
        </w:tc>
        <w:tc>
          <w:tcPr>
            <w:tcW w:w="2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Intangible assets and goodwill</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5</w:t>
            </w:r>
          </w:p>
        </w:tc>
        <w:tc>
          <w:tcPr>
            <w:tcW w:w="1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1,299,877</w:t>
            </w:r>
          </w:p>
        </w:tc>
        <w:tc>
          <w:tcPr>
            <w:tcW w:w="16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1,368,356</w:t>
            </w:r>
          </w:p>
        </w:tc>
        <w:tc>
          <w:tcPr>
            <w:tcW w:w="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59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Property, plant, and equipment</w:t>
            </w:r>
          </w:p>
        </w:tc>
        <w:tc>
          <w:tcPr>
            <w:tcW w:w="2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4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255,917</w:t>
            </w:r>
          </w:p>
        </w:tc>
        <w:tc>
          <w:tcPr>
            <w:tcW w:w="160" w:type="dxa"/>
            <w:vAlign w:val="bottom"/>
          </w:tcPr>
          <w:p>
            <w:pPr>
              <w:spacing w:after="0"/>
              <w:rPr>
                <w:sz w:val="13"/>
                <w:szCs w:val="13"/>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208,193</w:t>
            </w: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Vehicles under operating leases</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w:t>
            </w:r>
          </w:p>
        </w:tc>
        <w:tc>
          <w:tcPr>
            <w:tcW w:w="1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88,973</w:t>
            </w:r>
          </w:p>
        </w:tc>
        <w:tc>
          <w:tcPr>
            <w:tcW w:w="16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120,626</w:t>
            </w:r>
          </w:p>
        </w:tc>
        <w:tc>
          <w:tcPr>
            <w:tcW w:w="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59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Deferred tax asset</w:t>
            </w:r>
          </w:p>
        </w:tc>
        <w:tc>
          <w:tcPr>
            <w:tcW w:w="2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00" w:type="dxa"/>
            <w:vAlign w:val="bottom"/>
            <w:gridSpan w:val="3"/>
          </w:tcPr>
          <w:p>
            <w:pPr>
              <w:ind w:left="420"/>
              <w:spacing w:after="0"/>
              <w:rPr>
                <w:sz w:val="20"/>
                <w:szCs w:val="20"/>
                <w:color w:val="auto"/>
              </w:rPr>
            </w:pPr>
            <w:r>
              <w:rPr>
                <w:rFonts w:ascii="Times New Roman" w:cs="Times New Roman" w:eastAsia="Times New Roman" w:hAnsi="Times New Roman"/>
                <w:sz w:val="13"/>
                <w:szCs w:val="13"/>
                <w:color w:val="auto"/>
              </w:rPr>
              <w:t>—</w:t>
            </w:r>
          </w:p>
        </w:tc>
        <w:tc>
          <w:tcPr>
            <w:tcW w:w="6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3,850</w:t>
            </w: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Other investments</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10</w:t>
            </w:r>
          </w:p>
        </w:tc>
        <w:tc>
          <w:tcPr>
            <w:tcW w:w="1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2,185</w:t>
            </w:r>
          </w:p>
        </w:tc>
        <w:tc>
          <w:tcPr>
            <w:tcW w:w="160" w:type="dxa"/>
            <w:vAlign w:val="bottom"/>
            <w:shd w:val="clear" w:color="auto" w:fill="CCEEFF"/>
          </w:tcPr>
          <w:p>
            <w:pPr>
              <w:spacing w:after="0"/>
              <w:rPr>
                <w:sz w:val="13"/>
                <w:szCs w:val="13"/>
                <w:color w:val="auto"/>
              </w:rPr>
            </w:pPr>
          </w:p>
        </w:tc>
        <w:tc>
          <w:tcPr>
            <w:tcW w:w="640" w:type="dxa"/>
            <w:vAlign w:val="bottom"/>
            <w:gridSpan w:val="2"/>
            <w:shd w:val="clear" w:color="auto" w:fill="CCEEFF"/>
          </w:tcPr>
          <w:p>
            <w:pPr>
              <w:ind w:left="400"/>
              <w:spacing w:after="0"/>
              <w:rPr>
                <w:sz w:val="20"/>
                <w:szCs w:val="20"/>
                <w:color w:val="auto"/>
              </w:rPr>
            </w:pPr>
            <w:r>
              <w:rPr>
                <w:rFonts w:ascii="Times New Roman" w:cs="Times New Roman" w:eastAsia="Times New Roman" w:hAnsi="Times New Roman"/>
                <w:sz w:val="13"/>
                <w:szCs w:val="13"/>
                <w:color w:val="auto"/>
              </w:rPr>
              <w:t>—</w:t>
            </w:r>
          </w:p>
        </w:tc>
        <w:tc>
          <w:tcPr>
            <w:tcW w:w="0" w:type="dxa"/>
            <w:vAlign w:val="bottom"/>
          </w:tcPr>
          <w:p>
            <w:pPr>
              <w:spacing w:after="0"/>
              <w:rPr>
                <w:sz w:val="1"/>
                <w:szCs w:val="1"/>
                <w:color w:val="auto"/>
              </w:rPr>
            </w:pPr>
          </w:p>
        </w:tc>
      </w:tr>
      <w:tr>
        <w:trPr>
          <w:trHeight w:val="152"/>
        </w:trPr>
        <w:tc>
          <w:tcPr>
            <w:tcW w:w="59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Other non-current assets</w:t>
            </w:r>
          </w:p>
        </w:tc>
        <w:tc>
          <w:tcPr>
            <w:tcW w:w="2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4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2,211</w:t>
            </w:r>
          </w:p>
        </w:tc>
        <w:tc>
          <w:tcPr>
            <w:tcW w:w="160" w:type="dxa"/>
            <w:vAlign w:val="bottom"/>
          </w:tcPr>
          <w:p>
            <w:pPr>
              <w:spacing w:after="0"/>
              <w:rPr>
                <w:sz w:val="13"/>
                <w:szCs w:val="13"/>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1,682</w:t>
            </w: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Total non-current assets</w:t>
            </w:r>
          </w:p>
        </w:tc>
        <w:tc>
          <w:tcPr>
            <w:tcW w:w="2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b w:val="1"/>
                <w:bCs w:val="1"/>
                <w:color w:val="auto"/>
              </w:rPr>
              <w:t>1,649,163</w:t>
            </w:r>
          </w:p>
        </w:tc>
        <w:tc>
          <w:tcPr>
            <w:tcW w:w="16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1,702,707</w:t>
            </w:r>
          </w:p>
        </w:tc>
        <w:tc>
          <w:tcPr>
            <w:tcW w:w="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5900" w:type="dxa"/>
            <w:vAlign w:val="bottom"/>
          </w:tcPr>
          <w:p>
            <w:pPr>
              <w:spacing w:after="0"/>
              <w:rPr>
                <w:sz w:val="20"/>
                <w:szCs w:val="20"/>
                <w:color w:val="auto"/>
              </w:rPr>
            </w:pPr>
            <w:r>
              <w:rPr>
                <w:rFonts w:ascii="Times New Roman" w:cs="Times New Roman" w:eastAsia="Times New Roman" w:hAnsi="Times New Roman"/>
                <w:sz w:val="13"/>
                <w:szCs w:val="13"/>
                <w:color w:val="auto"/>
              </w:rPr>
              <w:t>Current assets</w:t>
            </w:r>
          </w:p>
        </w:tc>
        <w:tc>
          <w:tcPr>
            <w:tcW w:w="2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tcBorders>
              <w:top w:val="single" w:sz="8" w:color="auto"/>
            </w:tcBorders>
          </w:tcPr>
          <w:p>
            <w:pPr>
              <w:spacing w:after="0"/>
              <w:rPr>
                <w:sz w:val="13"/>
                <w:szCs w:val="13"/>
                <w:color w:val="auto"/>
              </w:rPr>
            </w:pPr>
          </w:p>
        </w:tc>
        <w:tc>
          <w:tcPr>
            <w:tcW w:w="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00" w:type="dxa"/>
            <w:vAlign w:val="bottom"/>
            <w:tcBorders>
              <w:top w:val="single" w:sz="8" w:color="auto"/>
            </w:tcBorders>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Cash and cash equivalents</w:t>
            </w:r>
          </w:p>
        </w:tc>
        <w:tc>
          <w:tcPr>
            <w:tcW w:w="2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988,259</w:t>
            </w:r>
          </w:p>
        </w:tc>
        <w:tc>
          <w:tcPr>
            <w:tcW w:w="16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756,677</w:t>
            </w:r>
          </w:p>
        </w:tc>
        <w:tc>
          <w:tcPr>
            <w:tcW w:w="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59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Marketable securities</w:t>
            </w:r>
          </w:p>
        </w:tc>
        <w:tc>
          <w:tcPr>
            <w:tcW w:w="2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00" w:type="dxa"/>
            <w:vAlign w:val="bottom"/>
            <w:gridSpan w:val="3"/>
          </w:tcPr>
          <w:p>
            <w:pPr>
              <w:ind w:left="420"/>
              <w:spacing w:after="0"/>
              <w:rPr>
                <w:sz w:val="20"/>
                <w:szCs w:val="20"/>
                <w:color w:val="auto"/>
              </w:rPr>
            </w:pPr>
            <w:r>
              <w:rPr>
                <w:rFonts w:ascii="Times New Roman" w:cs="Times New Roman" w:eastAsia="Times New Roman" w:hAnsi="Times New Roman"/>
                <w:sz w:val="13"/>
                <w:szCs w:val="13"/>
                <w:color w:val="auto"/>
              </w:rPr>
              <w:t>—</w:t>
            </w:r>
          </w:p>
        </w:tc>
        <w:tc>
          <w:tcPr>
            <w:tcW w:w="6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1,258</w:t>
            </w: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Trade receivables</w:t>
            </w:r>
          </w:p>
        </w:tc>
        <w:tc>
          <w:tcPr>
            <w:tcW w:w="2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102,117</w:t>
            </w:r>
          </w:p>
        </w:tc>
        <w:tc>
          <w:tcPr>
            <w:tcW w:w="16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157,753</w:t>
            </w:r>
          </w:p>
        </w:tc>
        <w:tc>
          <w:tcPr>
            <w:tcW w:w="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59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Trade receivables - related parties</w:t>
            </w:r>
          </w:p>
        </w:tc>
        <w:tc>
          <w:tcPr>
            <w:tcW w:w="22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8</w:t>
            </w:r>
          </w:p>
        </w:tc>
        <w:tc>
          <w:tcPr>
            <w:tcW w:w="180" w:type="dxa"/>
            <w:vAlign w:val="bottom"/>
          </w:tcPr>
          <w:p>
            <w:pPr>
              <w:spacing w:after="0"/>
              <w:rPr>
                <w:sz w:val="13"/>
                <w:szCs w:val="13"/>
                <w:color w:val="auto"/>
              </w:rPr>
            </w:pPr>
          </w:p>
        </w:tc>
        <w:tc>
          <w:tcPr>
            <w:tcW w:w="64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117,337</w:t>
            </w:r>
          </w:p>
        </w:tc>
        <w:tc>
          <w:tcPr>
            <w:tcW w:w="160" w:type="dxa"/>
            <w:vAlign w:val="bottom"/>
          </w:tcPr>
          <w:p>
            <w:pPr>
              <w:spacing w:after="0"/>
              <w:rPr>
                <w:sz w:val="13"/>
                <w:szCs w:val="13"/>
                <w:color w:val="auto"/>
              </w:rPr>
            </w:pPr>
          </w:p>
        </w:tc>
        <w:tc>
          <w:tcPr>
            <w:tcW w:w="64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14,688</w:t>
            </w: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Accrued income - related parties</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8</w:t>
            </w:r>
          </w:p>
        </w:tc>
        <w:tc>
          <w:tcPr>
            <w:tcW w:w="1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3,372</w:t>
            </w:r>
          </w:p>
        </w:tc>
        <w:tc>
          <w:tcPr>
            <w:tcW w:w="16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5,103</w:t>
            </w:r>
          </w:p>
        </w:tc>
        <w:tc>
          <w:tcPr>
            <w:tcW w:w="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59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Inventories</w:t>
            </w:r>
          </w:p>
        </w:tc>
        <w:tc>
          <w:tcPr>
            <w:tcW w:w="2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4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686,572</w:t>
            </w:r>
          </w:p>
        </w:tc>
        <w:tc>
          <w:tcPr>
            <w:tcW w:w="160" w:type="dxa"/>
            <w:vAlign w:val="bottom"/>
          </w:tcPr>
          <w:p>
            <w:pPr>
              <w:spacing w:after="0"/>
              <w:rPr>
                <w:sz w:val="13"/>
                <w:szCs w:val="13"/>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545,743</w:t>
            </w: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Current tax assets</w:t>
            </w:r>
          </w:p>
        </w:tc>
        <w:tc>
          <w:tcPr>
            <w:tcW w:w="2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5,962</w:t>
            </w:r>
          </w:p>
        </w:tc>
        <w:tc>
          <w:tcPr>
            <w:tcW w:w="16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5,562</w:t>
            </w:r>
          </w:p>
        </w:tc>
        <w:tc>
          <w:tcPr>
            <w:tcW w:w="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59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Other current assets</w:t>
            </w:r>
          </w:p>
        </w:tc>
        <w:tc>
          <w:tcPr>
            <w:tcW w:w="2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96,680</w:t>
            </w:r>
          </w:p>
        </w:tc>
        <w:tc>
          <w:tcPr>
            <w:tcW w:w="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120,202</w:t>
            </w: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59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Total current assets</w:t>
            </w:r>
          </w:p>
        </w:tc>
        <w:tc>
          <w:tcPr>
            <w:tcW w:w="2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b w:val="1"/>
                <w:bCs w:val="1"/>
                <w:color w:val="auto"/>
              </w:rPr>
              <w:t>2,000,299</w:t>
            </w:r>
          </w:p>
        </w:tc>
        <w:tc>
          <w:tcPr>
            <w:tcW w:w="16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1,606,986</w:t>
            </w:r>
          </w:p>
        </w:tc>
        <w:tc>
          <w:tcPr>
            <w:tcW w:w="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590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Total assets</w:t>
            </w:r>
          </w:p>
        </w:tc>
        <w:tc>
          <w:tcPr>
            <w:tcW w:w="2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3,649,462</w:t>
            </w:r>
          </w:p>
        </w:tc>
        <w:tc>
          <w:tcPr>
            <w:tcW w:w="20" w:type="dxa"/>
            <w:vAlign w:val="bottom"/>
            <w:tcBorders>
              <w:bottom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3,309,693</w:t>
            </w: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14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The accompanying notes are an integral part of these Unaudited Condensed Consolidated Financial Statements.</w:t>
      </w:r>
    </w:p>
    <w:p>
      <w:pPr>
        <w:spacing w:after="0" w:line="10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4</w:t>
      </w:r>
    </w:p>
    <w:p>
      <w:pPr>
        <w:sectPr>
          <w:pgSz w:w="11900" w:h="16838" w:orient="portrait"/>
          <w:cols w:equalWidth="0" w:num="1">
            <w:col w:w="9019"/>
          </w:cols>
          <w:pgMar w:left="1440" w:top="231" w:right="1440" w:bottom="1440" w:gutter="0" w:footer="0" w:header="0"/>
        </w:sectPr>
      </w:pPr>
    </w:p>
    <w:bookmarkStart w:id="61" w:name="page62"/>
    <w:bookmarkEnd w:id="61"/>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10425" cy="30480"/>
                    </a:xfrm>
                    <a:prstGeom prst="rect">
                      <a:avLst/>
                    </a:prstGeom>
                    <a:noFill/>
                  </pic:spPr>
                </pic:pic>
              </a:graphicData>
            </a:graphic>
          </wp:anchor>
        </w:drawing>
        <w:t>The Polestar Group</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Unaudited Condensed Consolidated Statement of Financial Position</w:t>
      </w:r>
    </w:p>
    <w:p>
      <w:pPr>
        <w:spacing w:after="0" w:line="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145" w:lineRule="exact"/>
        <w:rPr>
          <w:sz w:val="20"/>
          <w:szCs w:val="20"/>
          <w:color w:val="auto"/>
        </w:rPr>
      </w:pPr>
    </w:p>
    <w:tbl>
      <w:tblPr>
        <w:tblLayout w:type="fixed"/>
        <w:tblInd w:w="640" w:type="dxa"/>
        <w:tblCellMar>
          <w:top w:w="0" w:type="dxa"/>
          <w:left w:w="0" w:type="dxa"/>
          <w:bottom w:w="0" w:type="dxa"/>
          <w:right w:w="0" w:type="dxa"/>
        </w:tblCellMar>
      </w:tblPr>
      <w:tr>
        <w:trPr>
          <w:trHeight w:val="115"/>
        </w:trPr>
        <w:tc>
          <w:tcPr>
            <w:tcW w:w="5900" w:type="dxa"/>
            <w:vAlign w:val="bottom"/>
          </w:tcPr>
          <w:p>
            <w:pPr>
              <w:spacing w:after="0"/>
              <w:rPr>
                <w:sz w:val="10"/>
                <w:szCs w:val="10"/>
                <w:color w:val="auto"/>
              </w:rPr>
            </w:pPr>
          </w:p>
        </w:tc>
        <w:tc>
          <w:tcPr>
            <w:tcW w:w="400" w:type="dxa"/>
            <w:vAlign w:val="bottom"/>
            <w:gridSpan w:val="2"/>
            <w:vMerge w:val="restart"/>
          </w:tcPr>
          <w:p>
            <w:pPr>
              <w:ind w:left="40"/>
              <w:spacing w:after="0"/>
              <w:rPr>
                <w:sz w:val="20"/>
                <w:szCs w:val="20"/>
                <w:color w:val="auto"/>
              </w:rPr>
            </w:pPr>
            <w:r>
              <w:rPr>
                <w:rFonts w:ascii="Times New Roman" w:cs="Times New Roman" w:eastAsia="Times New Roman" w:hAnsi="Times New Roman"/>
                <w:sz w:val="10"/>
                <w:szCs w:val="10"/>
                <w:b w:val="1"/>
                <w:bCs w:val="1"/>
                <w:color w:val="auto"/>
              </w:rPr>
              <w:t>Note</w:t>
            </w:r>
          </w:p>
        </w:tc>
        <w:tc>
          <w:tcPr>
            <w:tcW w:w="760" w:type="dxa"/>
            <w:vAlign w:val="bottom"/>
            <w:gridSpan w:val="2"/>
          </w:tcPr>
          <w:p>
            <w:pPr>
              <w:jc w:val="right"/>
              <w:ind w:right="98"/>
              <w:spacing w:after="0"/>
              <w:rPr>
                <w:sz w:val="20"/>
                <w:szCs w:val="20"/>
                <w:color w:val="auto"/>
              </w:rPr>
            </w:pPr>
            <w:r>
              <w:rPr>
                <w:rFonts w:ascii="Times New Roman" w:cs="Times New Roman" w:eastAsia="Times New Roman" w:hAnsi="Times New Roman"/>
                <w:sz w:val="10"/>
                <w:szCs w:val="10"/>
                <w:b w:val="1"/>
                <w:bCs w:val="1"/>
                <w:color w:val="auto"/>
                <w:w w:val="98"/>
              </w:rPr>
              <w:t>September 30,</w:t>
            </w:r>
          </w:p>
        </w:tc>
        <w:tc>
          <w:tcPr>
            <w:tcW w:w="680" w:type="dxa"/>
            <w:vAlign w:val="bottom"/>
            <w:gridSpan w:val="2"/>
          </w:tcPr>
          <w:p>
            <w:pPr>
              <w:jc w:val="right"/>
              <w:ind w:right="38"/>
              <w:spacing w:after="0"/>
              <w:rPr>
                <w:sz w:val="20"/>
                <w:szCs w:val="20"/>
                <w:color w:val="auto"/>
              </w:rPr>
            </w:pPr>
            <w:r>
              <w:rPr>
                <w:rFonts w:ascii="Times New Roman" w:cs="Times New Roman" w:eastAsia="Times New Roman" w:hAnsi="Times New Roman"/>
                <w:sz w:val="10"/>
                <w:szCs w:val="10"/>
                <w:b w:val="1"/>
                <w:bCs w:val="1"/>
                <w:color w:val="auto"/>
                <w:w w:val="99"/>
              </w:rPr>
              <w:t>December 31,</w:t>
            </w:r>
          </w:p>
        </w:tc>
        <w:tc>
          <w:tcPr>
            <w:tcW w:w="0" w:type="dxa"/>
            <w:vAlign w:val="bottom"/>
          </w:tcPr>
          <w:p>
            <w:pPr>
              <w:spacing w:after="0"/>
              <w:rPr>
                <w:sz w:val="1"/>
                <w:szCs w:val="1"/>
                <w:color w:val="auto"/>
              </w:rPr>
            </w:pPr>
          </w:p>
        </w:tc>
      </w:tr>
      <w:tr>
        <w:trPr>
          <w:trHeight w:val="121"/>
        </w:trPr>
        <w:tc>
          <w:tcPr>
            <w:tcW w:w="5900" w:type="dxa"/>
            <w:vAlign w:val="bottom"/>
          </w:tcPr>
          <w:p>
            <w:pPr>
              <w:spacing w:after="0"/>
              <w:rPr>
                <w:sz w:val="10"/>
                <w:szCs w:val="10"/>
                <w:color w:val="auto"/>
              </w:rPr>
            </w:pPr>
          </w:p>
        </w:tc>
        <w:tc>
          <w:tcPr>
            <w:tcW w:w="400" w:type="dxa"/>
            <w:vAlign w:val="bottom"/>
            <w:gridSpan w:val="2"/>
            <w:vMerge w:val="continue"/>
          </w:tcPr>
          <w:p>
            <w:pPr>
              <w:spacing w:after="0"/>
              <w:rPr>
                <w:sz w:val="10"/>
                <w:szCs w:val="10"/>
                <w:color w:val="auto"/>
              </w:rPr>
            </w:pPr>
          </w:p>
        </w:tc>
        <w:tc>
          <w:tcPr>
            <w:tcW w:w="620" w:type="dxa"/>
            <w:vAlign w:val="bottom"/>
          </w:tcPr>
          <w:p>
            <w:pPr>
              <w:jc w:val="right"/>
              <w:ind w:right="158"/>
              <w:spacing w:after="0"/>
              <w:rPr>
                <w:sz w:val="20"/>
                <w:szCs w:val="20"/>
                <w:color w:val="auto"/>
              </w:rPr>
            </w:pPr>
            <w:r>
              <w:rPr>
                <w:rFonts w:ascii="Times New Roman" w:cs="Times New Roman" w:eastAsia="Times New Roman" w:hAnsi="Times New Roman"/>
                <w:sz w:val="10"/>
                <w:szCs w:val="10"/>
                <w:b w:val="1"/>
                <w:bCs w:val="1"/>
                <w:color w:val="auto"/>
              </w:rPr>
              <w:t>2022</w:t>
            </w:r>
          </w:p>
        </w:tc>
        <w:tc>
          <w:tcPr>
            <w:tcW w:w="140" w:type="dxa"/>
            <w:vAlign w:val="bottom"/>
          </w:tcPr>
          <w:p>
            <w:pPr>
              <w:spacing w:after="0"/>
              <w:rPr>
                <w:sz w:val="10"/>
                <w:szCs w:val="10"/>
                <w:color w:val="auto"/>
              </w:rPr>
            </w:pPr>
          </w:p>
        </w:tc>
        <w:tc>
          <w:tcPr>
            <w:tcW w:w="600" w:type="dxa"/>
            <w:vAlign w:val="bottom"/>
          </w:tcPr>
          <w:p>
            <w:pPr>
              <w:jc w:val="right"/>
              <w:ind w:right="138"/>
              <w:spacing w:after="0"/>
              <w:rPr>
                <w:sz w:val="20"/>
                <w:szCs w:val="20"/>
                <w:color w:val="auto"/>
              </w:rPr>
            </w:pPr>
            <w:r>
              <w:rPr>
                <w:rFonts w:ascii="Times New Roman" w:cs="Times New Roman" w:eastAsia="Times New Roman" w:hAnsi="Times New Roman"/>
                <w:sz w:val="10"/>
                <w:szCs w:val="10"/>
                <w:b w:val="1"/>
                <w:bCs w:val="1"/>
                <w:color w:val="auto"/>
              </w:rPr>
              <w:t>2021</w:t>
            </w: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1"/>
        </w:trPr>
        <w:tc>
          <w:tcPr>
            <w:tcW w:w="5900" w:type="dxa"/>
            <w:vAlign w:val="bottom"/>
            <w:tcBorders>
              <w:top w:val="single" w:sz="8" w:color="CCEEFF"/>
            </w:tcBorders>
            <w:shd w:val="clear" w:color="auto" w:fill="CCEEFF"/>
          </w:tcPr>
          <w:p>
            <w:pPr>
              <w:spacing w:after="0" w:line="141" w:lineRule="exact"/>
              <w:rPr>
                <w:sz w:val="20"/>
                <w:szCs w:val="20"/>
                <w:color w:val="auto"/>
              </w:rPr>
            </w:pPr>
            <w:r>
              <w:rPr>
                <w:rFonts w:ascii="Times New Roman" w:cs="Times New Roman" w:eastAsia="Times New Roman" w:hAnsi="Times New Roman"/>
                <w:sz w:val="13"/>
                <w:szCs w:val="13"/>
                <w:b w:val="1"/>
                <w:bCs w:val="1"/>
                <w:color w:val="auto"/>
              </w:rPr>
              <w:t>Equity</w:t>
            </w:r>
          </w:p>
        </w:tc>
        <w:tc>
          <w:tcPr>
            <w:tcW w:w="280" w:type="dxa"/>
            <w:vAlign w:val="bottom"/>
            <w:tcBorders>
              <w:top w:val="single" w:sz="8" w:color="auto"/>
            </w:tcBorders>
            <w:shd w:val="clear" w:color="auto" w:fill="CCEEFF"/>
          </w:tcPr>
          <w:p>
            <w:pPr>
              <w:ind w:left="220"/>
              <w:spacing w:after="0"/>
              <w:rPr>
                <w:sz w:val="20"/>
                <w:szCs w:val="20"/>
                <w:color w:val="auto"/>
              </w:rPr>
            </w:pPr>
            <w:r>
              <w:rPr>
                <w:rFonts w:ascii="Times New Roman" w:cs="Times New Roman" w:eastAsia="Times New Roman" w:hAnsi="Times New Roman"/>
                <w:sz w:val="11"/>
                <w:szCs w:val="11"/>
                <w:color w:val="auto"/>
                <w:w w:val="71"/>
              </w:rPr>
              <w:t>6</w:t>
            </w:r>
          </w:p>
        </w:tc>
        <w:tc>
          <w:tcPr>
            <w:tcW w:w="120" w:type="dxa"/>
            <w:vAlign w:val="bottom"/>
            <w:tcBorders>
              <w:top w:val="single" w:sz="8" w:color="CCEEFF"/>
            </w:tcBorders>
            <w:shd w:val="clear" w:color="auto" w:fill="CCEEFF"/>
          </w:tcPr>
          <w:p>
            <w:pPr>
              <w:spacing w:after="0"/>
              <w:rPr>
                <w:sz w:val="12"/>
                <w:szCs w:val="12"/>
                <w:color w:val="auto"/>
              </w:rPr>
            </w:pPr>
          </w:p>
        </w:tc>
        <w:tc>
          <w:tcPr>
            <w:tcW w:w="620" w:type="dxa"/>
            <w:vAlign w:val="bottom"/>
            <w:tcBorders>
              <w:top w:val="single" w:sz="8" w:color="auto"/>
            </w:tcBorders>
            <w:shd w:val="clear" w:color="auto" w:fill="CCEEFF"/>
          </w:tcPr>
          <w:p>
            <w:pPr>
              <w:spacing w:after="0"/>
              <w:rPr>
                <w:sz w:val="12"/>
                <w:szCs w:val="12"/>
                <w:color w:val="auto"/>
              </w:rPr>
            </w:pPr>
          </w:p>
        </w:tc>
        <w:tc>
          <w:tcPr>
            <w:tcW w:w="140" w:type="dxa"/>
            <w:vAlign w:val="bottom"/>
            <w:tcBorders>
              <w:top w:val="single" w:sz="8" w:color="CCEEFF"/>
              <w:left w:val="single" w:sz="8" w:color="CCEEFF"/>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spacing w:after="0"/>
              <w:rPr>
                <w:sz w:val="12"/>
                <w:szCs w:val="12"/>
                <w:color w:val="auto"/>
              </w:rPr>
            </w:pPr>
          </w:p>
        </w:tc>
        <w:tc>
          <w:tcPr>
            <w:tcW w:w="8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2"/>
        </w:trPr>
        <w:tc>
          <w:tcPr>
            <w:tcW w:w="5900" w:type="dxa"/>
            <w:vAlign w:val="bottom"/>
          </w:tcPr>
          <w:p>
            <w:pPr>
              <w:spacing w:after="0"/>
              <w:rPr>
                <w:sz w:val="20"/>
                <w:szCs w:val="20"/>
                <w:color w:val="auto"/>
              </w:rPr>
            </w:pPr>
            <w:r>
              <w:rPr>
                <w:rFonts w:ascii="Times New Roman" w:cs="Times New Roman" w:eastAsia="Times New Roman" w:hAnsi="Times New Roman"/>
                <w:sz w:val="13"/>
                <w:szCs w:val="13"/>
                <w:color w:val="auto"/>
              </w:rPr>
              <w:t>Share capital</w:t>
            </w:r>
          </w:p>
        </w:tc>
        <w:tc>
          <w:tcPr>
            <w:tcW w:w="2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6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(21,090)</w:t>
            </w: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(1,865,909)</w:t>
            </w: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Other contributed capital</w:t>
            </w:r>
          </w:p>
        </w:tc>
        <w:tc>
          <w:tcPr>
            <w:tcW w:w="2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6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color w:val="auto"/>
              </w:rPr>
              <w:t>(3,581,360)</w:t>
            </w:r>
          </w:p>
        </w:tc>
        <w:tc>
          <w:tcPr>
            <w:tcW w:w="6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(35,231)</w:t>
            </w:r>
          </w:p>
        </w:tc>
        <w:tc>
          <w:tcPr>
            <w:tcW w:w="0" w:type="dxa"/>
            <w:vAlign w:val="bottom"/>
          </w:tcPr>
          <w:p>
            <w:pPr>
              <w:spacing w:after="0"/>
              <w:rPr>
                <w:sz w:val="1"/>
                <w:szCs w:val="1"/>
                <w:color w:val="auto"/>
              </w:rPr>
            </w:pPr>
          </w:p>
        </w:tc>
      </w:tr>
      <w:tr>
        <w:trPr>
          <w:trHeight w:val="152"/>
        </w:trPr>
        <w:tc>
          <w:tcPr>
            <w:tcW w:w="5900" w:type="dxa"/>
            <w:vAlign w:val="bottom"/>
          </w:tcPr>
          <w:p>
            <w:pPr>
              <w:spacing w:after="0"/>
              <w:rPr>
                <w:sz w:val="20"/>
                <w:szCs w:val="20"/>
                <w:color w:val="auto"/>
              </w:rPr>
            </w:pPr>
            <w:r>
              <w:rPr>
                <w:rFonts w:ascii="Times New Roman" w:cs="Times New Roman" w:eastAsia="Times New Roman" w:hAnsi="Times New Roman"/>
                <w:sz w:val="13"/>
                <w:szCs w:val="13"/>
                <w:color w:val="auto"/>
              </w:rPr>
              <w:t>Foreign currency translation reserve</w:t>
            </w:r>
          </w:p>
        </w:tc>
        <w:tc>
          <w:tcPr>
            <w:tcW w:w="2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60" w:type="dxa"/>
            <w:vAlign w:val="bottom"/>
            <w:gridSpan w:val="2"/>
          </w:tcPr>
          <w:p>
            <w:pPr>
              <w:jc w:val="right"/>
              <w:ind w:right="98"/>
              <w:spacing w:after="0"/>
              <w:rPr>
                <w:sz w:val="20"/>
                <w:szCs w:val="20"/>
                <w:color w:val="auto"/>
              </w:rPr>
            </w:pPr>
            <w:r>
              <w:rPr>
                <w:rFonts w:ascii="Times New Roman" w:cs="Times New Roman" w:eastAsia="Times New Roman" w:hAnsi="Times New Roman"/>
                <w:sz w:val="13"/>
                <w:szCs w:val="13"/>
                <w:color w:val="auto"/>
              </w:rPr>
              <w:t>1,437</w:t>
            </w:r>
          </w:p>
        </w:tc>
        <w:tc>
          <w:tcPr>
            <w:tcW w:w="680" w:type="dxa"/>
            <w:vAlign w:val="bottom"/>
            <w:gridSpan w:val="2"/>
          </w:tcPr>
          <w:p>
            <w:pPr>
              <w:jc w:val="right"/>
              <w:ind w:right="38"/>
              <w:spacing w:after="0"/>
              <w:rPr>
                <w:sz w:val="20"/>
                <w:szCs w:val="20"/>
                <w:color w:val="auto"/>
              </w:rPr>
            </w:pPr>
            <w:r>
              <w:rPr>
                <w:rFonts w:ascii="Times New Roman" w:cs="Times New Roman" w:eastAsia="Times New Roman" w:hAnsi="Times New Roman"/>
                <w:sz w:val="13"/>
                <w:szCs w:val="13"/>
                <w:color w:val="auto"/>
              </w:rPr>
              <w:t>16,784</w:t>
            </w: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Accumulated deficit</w:t>
            </w:r>
          </w:p>
        </w:tc>
        <w:tc>
          <w:tcPr>
            <w:tcW w:w="2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60" w:type="dxa"/>
            <w:vAlign w:val="bottom"/>
            <w:gridSpan w:val="2"/>
            <w:shd w:val="clear" w:color="auto" w:fill="CCEEFF"/>
          </w:tcPr>
          <w:p>
            <w:pPr>
              <w:jc w:val="right"/>
              <w:ind w:right="98"/>
              <w:spacing w:after="0"/>
              <w:rPr>
                <w:sz w:val="20"/>
                <w:szCs w:val="20"/>
                <w:color w:val="auto"/>
              </w:rPr>
            </w:pPr>
            <w:r>
              <w:rPr>
                <w:rFonts w:ascii="Times New Roman" w:cs="Times New Roman" w:eastAsia="Times New Roman" w:hAnsi="Times New Roman"/>
                <w:sz w:val="13"/>
                <w:szCs w:val="13"/>
                <w:color w:val="auto"/>
              </w:rPr>
              <w:t>3,464,333</w:t>
            </w:r>
          </w:p>
        </w:tc>
        <w:tc>
          <w:tcPr>
            <w:tcW w:w="680" w:type="dxa"/>
            <w:vAlign w:val="bottom"/>
            <w:gridSpan w:val="2"/>
            <w:shd w:val="clear" w:color="auto" w:fill="CCEEFF"/>
          </w:tcPr>
          <w:p>
            <w:pPr>
              <w:jc w:val="right"/>
              <w:ind w:right="38"/>
              <w:spacing w:after="0"/>
              <w:rPr>
                <w:sz w:val="20"/>
                <w:szCs w:val="20"/>
                <w:color w:val="auto"/>
              </w:rPr>
            </w:pPr>
            <w:r>
              <w:rPr>
                <w:rFonts w:ascii="Times New Roman" w:cs="Times New Roman" w:eastAsia="Times New Roman" w:hAnsi="Times New Roman"/>
                <w:sz w:val="13"/>
                <w:szCs w:val="13"/>
                <w:color w:val="auto"/>
              </w:rPr>
              <w:t>1,761,860</w:t>
            </w:r>
          </w:p>
        </w:tc>
        <w:tc>
          <w:tcPr>
            <w:tcW w:w="0" w:type="dxa"/>
            <w:vAlign w:val="bottom"/>
          </w:tcPr>
          <w:p>
            <w:pPr>
              <w:spacing w:after="0"/>
              <w:rPr>
                <w:sz w:val="1"/>
                <w:szCs w:val="1"/>
                <w:color w:val="auto"/>
              </w:rPr>
            </w:pPr>
          </w:p>
        </w:tc>
      </w:tr>
      <w:tr>
        <w:trPr>
          <w:trHeight w:val="151"/>
        </w:trPr>
        <w:tc>
          <w:tcPr>
            <w:tcW w:w="590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Total equity</w:t>
            </w:r>
          </w:p>
        </w:tc>
        <w:tc>
          <w:tcPr>
            <w:tcW w:w="2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(136,680)</w:t>
            </w:r>
          </w:p>
        </w:tc>
        <w:tc>
          <w:tcPr>
            <w:tcW w:w="140" w:type="dxa"/>
            <w:vAlign w:val="bottom"/>
          </w:tcPr>
          <w:p>
            <w:pPr>
              <w:spacing w:after="0"/>
              <w:rPr>
                <w:sz w:val="13"/>
                <w:szCs w:val="13"/>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(122,496)</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59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Liabilities</w:t>
            </w:r>
          </w:p>
        </w:tc>
        <w:tc>
          <w:tcPr>
            <w:tcW w:w="2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140" w:type="dxa"/>
            <w:vAlign w:val="bottom"/>
            <w:tcBorders>
              <w:left w:val="single" w:sz="8" w:color="CCEEFF"/>
            </w:tcBorders>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5900" w:type="dxa"/>
            <w:vAlign w:val="bottom"/>
          </w:tcPr>
          <w:p>
            <w:pPr>
              <w:spacing w:after="0"/>
              <w:rPr>
                <w:sz w:val="20"/>
                <w:szCs w:val="20"/>
                <w:color w:val="auto"/>
              </w:rPr>
            </w:pPr>
            <w:r>
              <w:rPr>
                <w:rFonts w:ascii="Times New Roman" w:cs="Times New Roman" w:eastAsia="Times New Roman" w:hAnsi="Times New Roman"/>
                <w:sz w:val="13"/>
                <w:szCs w:val="13"/>
                <w:color w:val="auto"/>
              </w:rPr>
              <w:t>Non-current liabilities</w:t>
            </w:r>
          </w:p>
        </w:tc>
        <w:tc>
          <w:tcPr>
            <w:tcW w:w="2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Contract liabilities</w:t>
            </w:r>
          </w:p>
        </w:tc>
        <w:tc>
          <w:tcPr>
            <w:tcW w:w="400" w:type="dxa"/>
            <w:vAlign w:val="bottom"/>
            <w:gridSpan w:val="2"/>
            <w:shd w:val="clear" w:color="auto" w:fill="CCEEFF"/>
          </w:tcPr>
          <w:p>
            <w:pPr>
              <w:ind w:left="220"/>
              <w:spacing w:after="0"/>
              <w:rPr>
                <w:sz w:val="20"/>
                <w:szCs w:val="20"/>
                <w:color w:val="auto"/>
              </w:rPr>
            </w:pPr>
            <w:r>
              <w:rPr>
                <w:rFonts w:ascii="Times New Roman" w:cs="Times New Roman" w:eastAsia="Times New Roman" w:hAnsi="Times New Roman"/>
                <w:sz w:val="13"/>
                <w:szCs w:val="13"/>
                <w:color w:val="auto"/>
              </w:rPr>
              <w:t>2</w:t>
            </w:r>
          </w:p>
        </w:tc>
        <w:tc>
          <w:tcPr>
            <w:tcW w:w="76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color w:val="auto"/>
              </w:rPr>
              <w:t>(36,283)</w:t>
            </w:r>
          </w:p>
        </w:tc>
        <w:tc>
          <w:tcPr>
            <w:tcW w:w="6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(28,922)</w:t>
            </w:r>
          </w:p>
        </w:tc>
        <w:tc>
          <w:tcPr>
            <w:tcW w:w="0" w:type="dxa"/>
            <w:vAlign w:val="bottom"/>
          </w:tcPr>
          <w:p>
            <w:pPr>
              <w:spacing w:after="0"/>
              <w:rPr>
                <w:sz w:val="1"/>
                <w:szCs w:val="1"/>
                <w:color w:val="auto"/>
              </w:rPr>
            </w:pPr>
          </w:p>
        </w:tc>
      </w:tr>
      <w:tr>
        <w:trPr>
          <w:trHeight w:val="152"/>
        </w:trPr>
        <w:tc>
          <w:tcPr>
            <w:tcW w:w="59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Deferred tax liabilities</w:t>
            </w:r>
          </w:p>
        </w:tc>
        <w:tc>
          <w:tcPr>
            <w:tcW w:w="2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6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(463)</w:t>
            </w: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(509)</w:t>
            </w: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Other non-current provisions</w:t>
            </w:r>
          </w:p>
        </w:tc>
        <w:tc>
          <w:tcPr>
            <w:tcW w:w="2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6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color w:val="auto"/>
              </w:rPr>
              <w:t>(66,738)</w:t>
            </w:r>
          </w:p>
        </w:tc>
        <w:tc>
          <w:tcPr>
            <w:tcW w:w="6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(38,711)</w:t>
            </w:r>
          </w:p>
        </w:tc>
        <w:tc>
          <w:tcPr>
            <w:tcW w:w="0" w:type="dxa"/>
            <w:vAlign w:val="bottom"/>
          </w:tcPr>
          <w:p>
            <w:pPr>
              <w:spacing w:after="0"/>
              <w:rPr>
                <w:sz w:val="1"/>
                <w:szCs w:val="1"/>
                <w:color w:val="auto"/>
              </w:rPr>
            </w:pPr>
          </w:p>
        </w:tc>
      </w:tr>
      <w:tr>
        <w:trPr>
          <w:trHeight w:val="152"/>
        </w:trPr>
        <w:tc>
          <w:tcPr>
            <w:tcW w:w="59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Other non-current liabilities</w:t>
            </w:r>
          </w:p>
        </w:tc>
        <w:tc>
          <w:tcPr>
            <w:tcW w:w="2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60" w:type="dxa"/>
            <w:vAlign w:val="bottom"/>
            <w:gridSpan w:val="2"/>
          </w:tcPr>
          <w:p>
            <w:pPr>
              <w:jc w:val="right"/>
              <w:ind w:right="158"/>
              <w:spacing w:after="0"/>
              <w:rPr>
                <w:sz w:val="20"/>
                <w:szCs w:val="20"/>
                <w:color w:val="auto"/>
              </w:rPr>
            </w:pPr>
            <w:r>
              <w:rPr>
                <w:rFonts w:ascii="Times New Roman" w:cs="Times New Roman" w:eastAsia="Times New Roman" w:hAnsi="Times New Roman"/>
                <w:sz w:val="13"/>
                <w:szCs w:val="13"/>
                <w:color w:val="auto"/>
              </w:rPr>
              <w:t>—</w:t>
            </w: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(11,764)</w:t>
            </w: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Earn-out liability</w:t>
            </w:r>
          </w:p>
        </w:tc>
        <w:tc>
          <w:tcPr>
            <w:tcW w:w="280" w:type="dxa"/>
            <w:vAlign w:val="bottom"/>
            <w:shd w:val="clear" w:color="auto" w:fill="CCEEFF"/>
          </w:tcPr>
          <w:p>
            <w:pPr>
              <w:ind w:left="40"/>
              <w:spacing w:after="0"/>
              <w:rPr>
                <w:sz w:val="20"/>
                <w:szCs w:val="20"/>
                <w:color w:val="auto"/>
              </w:rPr>
            </w:pPr>
            <w:r>
              <w:rPr>
                <w:rFonts w:ascii="Times New Roman" w:cs="Times New Roman" w:eastAsia="Times New Roman" w:hAnsi="Times New Roman"/>
                <w:sz w:val="13"/>
                <w:szCs w:val="13"/>
                <w:color w:val="auto"/>
                <w:w w:val="84"/>
              </w:rPr>
              <w:t>9, 10</w:t>
            </w:r>
          </w:p>
        </w:tc>
        <w:tc>
          <w:tcPr>
            <w:tcW w:w="120" w:type="dxa"/>
            <w:vAlign w:val="bottom"/>
            <w:shd w:val="clear" w:color="auto" w:fill="CCEEFF"/>
          </w:tcPr>
          <w:p>
            <w:pPr>
              <w:spacing w:after="0"/>
              <w:rPr>
                <w:sz w:val="13"/>
                <w:szCs w:val="13"/>
                <w:color w:val="auto"/>
              </w:rPr>
            </w:pPr>
          </w:p>
        </w:tc>
        <w:tc>
          <w:tcPr>
            <w:tcW w:w="76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color w:val="auto"/>
              </w:rPr>
              <w:t>(534,970)</w:t>
            </w:r>
          </w:p>
        </w:tc>
        <w:tc>
          <w:tcPr>
            <w:tcW w:w="680" w:type="dxa"/>
            <w:vAlign w:val="bottom"/>
            <w:gridSpan w:val="2"/>
            <w:shd w:val="clear" w:color="auto" w:fill="CCEEFF"/>
          </w:tcPr>
          <w:p>
            <w:pPr>
              <w:jc w:val="right"/>
              <w:ind w:right="98"/>
              <w:spacing w:after="0"/>
              <w:rPr>
                <w:sz w:val="20"/>
                <w:szCs w:val="20"/>
                <w:color w:val="auto"/>
              </w:rPr>
            </w:pPr>
            <w:r>
              <w:rPr>
                <w:rFonts w:ascii="Times New Roman" w:cs="Times New Roman" w:eastAsia="Times New Roman" w:hAnsi="Times New Roman"/>
                <w:sz w:val="13"/>
                <w:szCs w:val="13"/>
                <w:color w:val="auto"/>
              </w:rPr>
              <w:t>—</w:t>
            </w:r>
          </w:p>
        </w:tc>
        <w:tc>
          <w:tcPr>
            <w:tcW w:w="0" w:type="dxa"/>
            <w:vAlign w:val="bottom"/>
          </w:tcPr>
          <w:p>
            <w:pPr>
              <w:spacing w:after="0"/>
              <w:rPr>
                <w:sz w:val="1"/>
                <w:szCs w:val="1"/>
                <w:color w:val="auto"/>
              </w:rPr>
            </w:pPr>
          </w:p>
        </w:tc>
      </w:tr>
      <w:tr>
        <w:trPr>
          <w:trHeight w:val="152"/>
        </w:trPr>
        <w:tc>
          <w:tcPr>
            <w:tcW w:w="59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Other non-current interest-bearing liabilities</w:t>
            </w:r>
          </w:p>
        </w:tc>
        <w:tc>
          <w:tcPr>
            <w:tcW w:w="400" w:type="dxa"/>
            <w:vAlign w:val="bottom"/>
            <w:gridSpan w:val="2"/>
          </w:tcPr>
          <w:p>
            <w:pPr>
              <w:ind w:left="220"/>
              <w:spacing w:after="0"/>
              <w:rPr>
                <w:sz w:val="20"/>
                <w:szCs w:val="20"/>
                <w:color w:val="auto"/>
              </w:rPr>
            </w:pPr>
            <w:r>
              <w:rPr>
                <w:rFonts w:ascii="Times New Roman" w:cs="Times New Roman" w:eastAsia="Times New Roman" w:hAnsi="Times New Roman"/>
                <w:sz w:val="13"/>
                <w:szCs w:val="13"/>
                <w:color w:val="auto"/>
              </w:rPr>
              <w:t>3</w:t>
            </w:r>
          </w:p>
        </w:tc>
        <w:tc>
          <w:tcPr>
            <w:tcW w:w="76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(61,992)</w:t>
            </w: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(66,575)</w:t>
            </w:r>
          </w:p>
        </w:tc>
        <w:tc>
          <w:tcPr>
            <w:tcW w:w="0" w:type="dxa"/>
            <w:vAlign w:val="bottom"/>
          </w:tcPr>
          <w:p>
            <w:pPr>
              <w:spacing w:after="0"/>
              <w:rPr>
                <w:sz w:val="1"/>
                <w:szCs w:val="1"/>
                <w:color w:val="auto"/>
              </w:rPr>
            </w:pPr>
          </w:p>
        </w:tc>
      </w:tr>
      <w:tr>
        <w:trPr>
          <w:trHeight w:val="20"/>
        </w:trPr>
        <w:tc>
          <w:tcPr>
            <w:tcW w:w="59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1"/>
        </w:trPr>
        <w:tc>
          <w:tcPr>
            <w:tcW w:w="59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Total non-current liabilities</w:t>
            </w:r>
          </w:p>
        </w:tc>
        <w:tc>
          <w:tcPr>
            <w:tcW w:w="2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6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b w:val="1"/>
                <w:bCs w:val="1"/>
                <w:color w:val="auto"/>
              </w:rPr>
              <w:t>(700,446)</w:t>
            </w:r>
          </w:p>
        </w:tc>
        <w:tc>
          <w:tcPr>
            <w:tcW w:w="6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(146,481)</w:t>
            </w:r>
          </w:p>
        </w:tc>
        <w:tc>
          <w:tcPr>
            <w:tcW w:w="0" w:type="dxa"/>
            <w:vAlign w:val="bottom"/>
          </w:tcPr>
          <w:p>
            <w:pPr>
              <w:spacing w:after="0"/>
              <w:rPr>
                <w:sz w:val="1"/>
                <w:szCs w:val="1"/>
                <w:color w:val="auto"/>
              </w:rPr>
            </w:pPr>
          </w:p>
        </w:tc>
      </w:tr>
      <w:tr>
        <w:trPr>
          <w:trHeight w:val="151"/>
        </w:trPr>
        <w:tc>
          <w:tcPr>
            <w:tcW w:w="5900" w:type="dxa"/>
            <w:vAlign w:val="bottom"/>
          </w:tcPr>
          <w:p>
            <w:pPr>
              <w:spacing w:after="0"/>
              <w:rPr>
                <w:sz w:val="20"/>
                <w:szCs w:val="20"/>
                <w:color w:val="auto"/>
              </w:rPr>
            </w:pPr>
            <w:r>
              <w:rPr>
                <w:rFonts w:ascii="Times New Roman" w:cs="Times New Roman" w:eastAsia="Times New Roman" w:hAnsi="Times New Roman"/>
                <w:sz w:val="13"/>
                <w:szCs w:val="13"/>
                <w:color w:val="auto"/>
              </w:rPr>
              <w:t>Current liabilities</w:t>
            </w:r>
          </w:p>
        </w:tc>
        <w:tc>
          <w:tcPr>
            <w:tcW w:w="2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20" w:type="dxa"/>
            <w:vAlign w:val="bottom"/>
            <w:tcBorders>
              <w:top w:val="single" w:sz="8" w:color="auto"/>
            </w:tcBorders>
          </w:tcPr>
          <w:p>
            <w:pPr>
              <w:spacing w:after="0"/>
              <w:rPr>
                <w:sz w:val="13"/>
                <w:szCs w:val="13"/>
                <w:color w:val="auto"/>
              </w:rPr>
            </w:pPr>
          </w:p>
        </w:tc>
        <w:tc>
          <w:tcPr>
            <w:tcW w:w="140" w:type="dxa"/>
            <w:vAlign w:val="bottom"/>
          </w:tcPr>
          <w:p>
            <w:pPr>
              <w:spacing w:after="0"/>
              <w:rPr>
                <w:sz w:val="13"/>
                <w:szCs w:val="13"/>
                <w:color w:val="auto"/>
              </w:rPr>
            </w:pPr>
          </w:p>
        </w:tc>
        <w:tc>
          <w:tcPr>
            <w:tcW w:w="60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Trade payables</w:t>
            </w:r>
          </w:p>
        </w:tc>
        <w:tc>
          <w:tcPr>
            <w:tcW w:w="2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6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color w:val="auto"/>
              </w:rPr>
              <w:t>(65,235)</w:t>
            </w:r>
          </w:p>
        </w:tc>
        <w:tc>
          <w:tcPr>
            <w:tcW w:w="6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(114,296)</w:t>
            </w:r>
          </w:p>
        </w:tc>
        <w:tc>
          <w:tcPr>
            <w:tcW w:w="0" w:type="dxa"/>
            <w:vAlign w:val="bottom"/>
          </w:tcPr>
          <w:p>
            <w:pPr>
              <w:spacing w:after="0"/>
              <w:rPr>
                <w:sz w:val="1"/>
                <w:szCs w:val="1"/>
                <w:color w:val="auto"/>
              </w:rPr>
            </w:pPr>
          </w:p>
        </w:tc>
      </w:tr>
      <w:tr>
        <w:trPr>
          <w:trHeight w:val="152"/>
        </w:trPr>
        <w:tc>
          <w:tcPr>
            <w:tcW w:w="59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Trade payables - related parties</w:t>
            </w:r>
          </w:p>
        </w:tc>
        <w:tc>
          <w:tcPr>
            <w:tcW w:w="400" w:type="dxa"/>
            <w:vAlign w:val="bottom"/>
            <w:gridSpan w:val="2"/>
          </w:tcPr>
          <w:p>
            <w:pPr>
              <w:ind w:left="220"/>
              <w:spacing w:after="0"/>
              <w:rPr>
                <w:sz w:val="20"/>
                <w:szCs w:val="20"/>
                <w:color w:val="auto"/>
              </w:rPr>
            </w:pPr>
            <w:r>
              <w:rPr>
                <w:rFonts w:ascii="Times New Roman" w:cs="Times New Roman" w:eastAsia="Times New Roman" w:hAnsi="Times New Roman"/>
                <w:sz w:val="13"/>
                <w:szCs w:val="13"/>
                <w:color w:val="auto"/>
              </w:rPr>
              <w:t>8</w:t>
            </w:r>
          </w:p>
        </w:tc>
        <w:tc>
          <w:tcPr>
            <w:tcW w:w="76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(817,780)</w:t>
            </w: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(1,427,678)</w:t>
            </w: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Accrued expenses - related parties</w:t>
            </w:r>
          </w:p>
        </w:tc>
        <w:tc>
          <w:tcPr>
            <w:tcW w:w="400" w:type="dxa"/>
            <w:vAlign w:val="bottom"/>
            <w:gridSpan w:val="2"/>
            <w:shd w:val="clear" w:color="auto" w:fill="CCEEFF"/>
          </w:tcPr>
          <w:p>
            <w:pPr>
              <w:ind w:left="220"/>
              <w:spacing w:after="0"/>
              <w:rPr>
                <w:sz w:val="20"/>
                <w:szCs w:val="20"/>
                <w:color w:val="auto"/>
              </w:rPr>
            </w:pPr>
            <w:r>
              <w:rPr>
                <w:rFonts w:ascii="Times New Roman" w:cs="Times New Roman" w:eastAsia="Times New Roman" w:hAnsi="Times New Roman"/>
                <w:sz w:val="13"/>
                <w:szCs w:val="13"/>
                <w:color w:val="auto"/>
              </w:rPr>
              <w:t>8</w:t>
            </w:r>
          </w:p>
        </w:tc>
        <w:tc>
          <w:tcPr>
            <w:tcW w:w="76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color w:val="auto"/>
              </w:rPr>
              <w:t>(171,540)</w:t>
            </w:r>
          </w:p>
        </w:tc>
        <w:tc>
          <w:tcPr>
            <w:tcW w:w="6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(315,756)</w:t>
            </w:r>
          </w:p>
        </w:tc>
        <w:tc>
          <w:tcPr>
            <w:tcW w:w="0" w:type="dxa"/>
            <w:vAlign w:val="bottom"/>
          </w:tcPr>
          <w:p>
            <w:pPr>
              <w:spacing w:after="0"/>
              <w:rPr>
                <w:sz w:val="1"/>
                <w:szCs w:val="1"/>
                <w:color w:val="auto"/>
              </w:rPr>
            </w:pPr>
          </w:p>
        </w:tc>
      </w:tr>
      <w:tr>
        <w:trPr>
          <w:trHeight w:val="152"/>
        </w:trPr>
        <w:tc>
          <w:tcPr>
            <w:tcW w:w="59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Advance payments from customers</w:t>
            </w:r>
          </w:p>
        </w:tc>
        <w:tc>
          <w:tcPr>
            <w:tcW w:w="2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6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(47,082)</w:t>
            </w: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(36,415)</w:t>
            </w: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Current provisions</w:t>
            </w:r>
          </w:p>
        </w:tc>
        <w:tc>
          <w:tcPr>
            <w:tcW w:w="2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6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color w:val="auto"/>
              </w:rPr>
              <w:t>(47,781)</w:t>
            </w:r>
          </w:p>
        </w:tc>
        <w:tc>
          <w:tcPr>
            <w:tcW w:w="6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(44,042)</w:t>
            </w:r>
          </w:p>
        </w:tc>
        <w:tc>
          <w:tcPr>
            <w:tcW w:w="0" w:type="dxa"/>
            <w:vAlign w:val="bottom"/>
          </w:tcPr>
          <w:p>
            <w:pPr>
              <w:spacing w:after="0"/>
              <w:rPr>
                <w:sz w:val="1"/>
                <w:szCs w:val="1"/>
                <w:color w:val="auto"/>
              </w:rPr>
            </w:pPr>
          </w:p>
        </w:tc>
      </w:tr>
      <w:tr>
        <w:trPr>
          <w:trHeight w:val="152"/>
        </w:trPr>
        <w:tc>
          <w:tcPr>
            <w:tcW w:w="59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Liabilities to credit institutions</w:t>
            </w:r>
          </w:p>
        </w:tc>
        <w:tc>
          <w:tcPr>
            <w:tcW w:w="400" w:type="dxa"/>
            <w:vAlign w:val="bottom"/>
            <w:gridSpan w:val="2"/>
          </w:tcPr>
          <w:p>
            <w:pPr>
              <w:ind w:left="220"/>
              <w:spacing w:after="0"/>
              <w:rPr>
                <w:sz w:val="20"/>
                <w:szCs w:val="20"/>
                <w:color w:val="auto"/>
              </w:rPr>
            </w:pPr>
            <w:r>
              <w:rPr>
                <w:rFonts w:ascii="Times New Roman" w:cs="Times New Roman" w:eastAsia="Times New Roman" w:hAnsi="Times New Roman"/>
                <w:sz w:val="13"/>
                <w:szCs w:val="13"/>
                <w:color w:val="auto"/>
              </w:rPr>
              <w:t>7</w:t>
            </w:r>
          </w:p>
        </w:tc>
        <w:tc>
          <w:tcPr>
            <w:tcW w:w="76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(1,176,582)</w:t>
            </w: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(642,338)</w:t>
            </w: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Current tax liabilities</w:t>
            </w:r>
          </w:p>
        </w:tc>
        <w:tc>
          <w:tcPr>
            <w:tcW w:w="2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6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color w:val="auto"/>
              </w:rPr>
              <w:t>(5,222)</w:t>
            </w:r>
          </w:p>
        </w:tc>
        <w:tc>
          <w:tcPr>
            <w:tcW w:w="6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(13,089)</w:t>
            </w:r>
          </w:p>
        </w:tc>
        <w:tc>
          <w:tcPr>
            <w:tcW w:w="0" w:type="dxa"/>
            <w:vAlign w:val="bottom"/>
          </w:tcPr>
          <w:p>
            <w:pPr>
              <w:spacing w:after="0"/>
              <w:rPr>
                <w:sz w:val="1"/>
                <w:szCs w:val="1"/>
                <w:color w:val="auto"/>
              </w:rPr>
            </w:pPr>
          </w:p>
        </w:tc>
      </w:tr>
      <w:tr>
        <w:trPr>
          <w:trHeight w:val="152"/>
        </w:trPr>
        <w:tc>
          <w:tcPr>
            <w:tcW w:w="59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Interest-bearing current liabilities</w:t>
            </w:r>
          </w:p>
        </w:tc>
        <w:tc>
          <w:tcPr>
            <w:tcW w:w="400" w:type="dxa"/>
            <w:vAlign w:val="bottom"/>
            <w:gridSpan w:val="2"/>
          </w:tcPr>
          <w:p>
            <w:pPr>
              <w:ind w:left="220"/>
              <w:spacing w:after="0"/>
              <w:rPr>
                <w:sz w:val="20"/>
                <w:szCs w:val="20"/>
                <w:color w:val="auto"/>
              </w:rPr>
            </w:pPr>
            <w:r>
              <w:rPr>
                <w:rFonts w:ascii="Times New Roman" w:cs="Times New Roman" w:eastAsia="Times New Roman" w:hAnsi="Times New Roman"/>
                <w:sz w:val="13"/>
                <w:szCs w:val="13"/>
                <w:color w:val="auto"/>
              </w:rPr>
              <w:t>3</w:t>
            </w:r>
          </w:p>
        </w:tc>
        <w:tc>
          <w:tcPr>
            <w:tcW w:w="76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(16,936)</w:t>
            </w: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(10,283)</w:t>
            </w: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Interest-bearing current liabilities - related parties</w:t>
            </w:r>
          </w:p>
        </w:tc>
        <w:tc>
          <w:tcPr>
            <w:tcW w:w="400" w:type="dxa"/>
            <w:vAlign w:val="bottom"/>
            <w:gridSpan w:val="2"/>
            <w:shd w:val="clear" w:color="auto" w:fill="CCEEFF"/>
          </w:tcPr>
          <w:p>
            <w:pPr>
              <w:ind w:left="220"/>
              <w:spacing w:after="0"/>
              <w:rPr>
                <w:sz w:val="20"/>
                <w:szCs w:val="20"/>
                <w:color w:val="auto"/>
              </w:rPr>
            </w:pPr>
            <w:r>
              <w:rPr>
                <w:rFonts w:ascii="Times New Roman" w:cs="Times New Roman" w:eastAsia="Times New Roman" w:hAnsi="Times New Roman"/>
                <w:sz w:val="13"/>
                <w:szCs w:val="13"/>
                <w:color w:val="auto"/>
              </w:rPr>
              <w:t>8</w:t>
            </w:r>
          </w:p>
        </w:tc>
        <w:tc>
          <w:tcPr>
            <w:tcW w:w="76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color w:val="auto"/>
              </w:rPr>
              <w:t>(8,986)</w:t>
            </w:r>
          </w:p>
        </w:tc>
        <w:tc>
          <w:tcPr>
            <w:tcW w:w="6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(13,789)</w:t>
            </w:r>
          </w:p>
        </w:tc>
        <w:tc>
          <w:tcPr>
            <w:tcW w:w="0" w:type="dxa"/>
            <w:vAlign w:val="bottom"/>
          </w:tcPr>
          <w:p>
            <w:pPr>
              <w:spacing w:after="0"/>
              <w:rPr>
                <w:sz w:val="1"/>
                <w:szCs w:val="1"/>
                <w:color w:val="auto"/>
              </w:rPr>
            </w:pPr>
          </w:p>
        </w:tc>
      </w:tr>
      <w:tr>
        <w:trPr>
          <w:trHeight w:val="152"/>
        </w:trPr>
        <w:tc>
          <w:tcPr>
            <w:tcW w:w="59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Contract liabilities</w:t>
            </w:r>
          </w:p>
        </w:tc>
        <w:tc>
          <w:tcPr>
            <w:tcW w:w="400" w:type="dxa"/>
            <w:vAlign w:val="bottom"/>
            <w:gridSpan w:val="2"/>
          </w:tcPr>
          <w:p>
            <w:pPr>
              <w:ind w:left="220"/>
              <w:spacing w:after="0"/>
              <w:rPr>
                <w:sz w:val="20"/>
                <w:szCs w:val="20"/>
                <w:color w:val="auto"/>
              </w:rPr>
            </w:pPr>
            <w:r>
              <w:rPr>
                <w:rFonts w:ascii="Times New Roman" w:cs="Times New Roman" w:eastAsia="Times New Roman" w:hAnsi="Times New Roman"/>
                <w:sz w:val="13"/>
                <w:szCs w:val="13"/>
                <w:color w:val="auto"/>
              </w:rPr>
              <w:t>2</w:t>
            </w:r>
          </w:p>
        </w:tc>
        <w:tc>
          <w:tcPr>
            <w:tcW w:w="76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(45,621)</w:t>
            </w: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(58,368)</w:t>
            </w: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Class C Shares liability</w:t>
            </w:r>
          </w:p>
        </w:tc>
        <w:tc>
          <w:tcPr>
            <w:tcW w:w="280" w:type="dxa"/>
            <w:vAlign w:val="bottom"/>
            <w:shd w:val="clear" w:color="auto" w:fill="CCEEFF"/>
          </w:tcPr>
          <w:p>
            <w:pPr>
              <w:ind w:left="40"/>
              <w:spacing w:after="0"/>
              <w:rPr>
                <w:sz w:val="20"/>
                <w:szCs w:val="20"/>
                <w:color w:val="auto"/>
              </w:rPr>
            </w:pPr>
            <w:r>
              <w:rPr>
                <w:rFonts w:ascii="Times New Roman" w:cs="Times New Roman" w:eastAsia="Times New Roman" w:hAnsi="Times New Roman"/>
                <w:sz w:val="13"/>
                <w:szCs w:val="13"/>
                <w:color w:val="auto"/>
                <w:w w:val="84"/>
              </w:rPr>
              <w:t>9, 10</w:t>
            </w:r>
          </w:p>
        </w:tc>
        <w:tc>
          <w:tcPr>
            <w:tcW w:w="120" w:type="dxa"/>
            <w:vAlign w:val="bottom"/>
            <w:shd w:val="clear" w:color="auto" w:fill="CCEEFF"/>
          </w:tcPr>
          <w:p>
            <w:pPr>
              <w:spacing w:after="0"/>
              <w:rPr>
                <w:sz w:val="13"/>
                <w:szCs w:val="13"/>
                <w:color w:val="auto"/>
              </w:rPr>
            </w:pPr>
          </w:p>
        </w:tc>
        <w:tc>
          <w:tcPr>
            <w:tcW w:w="76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color w:val="auto"/>
              </w:rPr>
              <w:t>(27,500)</w:t>
            </w:r>
          </w:p>
        </w:tc>
        <w:tc>
          <w:tcPr>
            <w:tcW w:w="680" w:type="dxa"/>
            <w:vAlign w:val="bottom"/>
            <w:gridSpan w:val="2"/>
            <w:shd w:val="clear" w:color="auto" w:fill="CCEEFF"/>
          </w:tcPr>
          <w:p>
            <w:pPr>
              <w:jc w:val="right"/>
              <w:ind w:right="98"/>
              <w:spacing w:after="0"/>
              <w:rPr>
                <w:sz w:val="20"/>
                <w:szCs w:val="20"/>
                <w:color w:val="auto"/>
              </w:rPr>
            </w:pPr>
            <w:r>
              <w:rPr>
                <w:rFonts w:ascii="Times New Roman" w:cs="Times New Roman" w:eastAsia="Times New Roman" w:hAnsi="Times New Roman"/>
                <w:sz w:val="13"/>
                <w:szCs w:val="13"/>
                <w:color w:val="auto"/>
              </w:rPr>
              <w:t>—</w:t>
            </w:r>
          </w:p>
        </w:tc>
        <w:tc>
          <w:tcPr>
            <w:tcW w:w="0" w:type="dxa"/>
            <w:vAlign w:val="bottom"/>
          </w:tcPr>
          <w:p>
            <w:pPr>
              <w:spacing w:after="0"/>
              <w:rPr>
                <w:sz w:val="1"/>
                <w:szCs w:val="1"/>
                <w:color w:val="auto"/>
              </w:rPr>
            </w:pPr>
          </w:p>
        </w:tc>
      </w:tr>
      <w:tr>
        <w:trPr>
          <w:trHeight w:val="152"/>
        </w:trPr>
        <w:tc>
          <w:tcPr>
            <w:tcW w:w="59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Other current liabilities</w:t>
            </w:r>
          </w:p>
        </w:tc>
        <w:tc>
          <w:tcPr>
            <w:tcW w:w="2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60" w:type="dxa"/>
            <w:vAlign w:val="bottom"/>
            <w:gridSpan w:val="2"/>
          </w:tcPr>
          <w:p>
            <w:pPr>
              <w:jc w:val="right"/>
              <w:ind w:right="58"/>
              <w:spacing w:after="0"/>
              <w:rPr>
                <w:sz w:val="20"/>
                <w:szCs w:val="20"/>
                <w:color w:val="auto"/>
              </w:rPr>
            </w:pPr>
            <w:r>
              <w:rPr>
                <w:rFonts w:ascii="Times New Roman" w:cs="Times New Roman" w:eastAsia="Times New Roman" w:hAnsi="Times New Roman"/>
                <w:sz w:val="13"/>
                <w:szCs w:val="13"/>
                <w:color w:val="auto"/>
              </w:rPr>
              <w:t>(314,604)</w:t>
            </w: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(364,662)</w:t>
            </w:r>
          </w:p>
        </w:tc>
        <w:tc>
          <w:tcPr>
            <w:tcW w:w="0" w:type="dxa"/>
            <w:vAlign w:val="bottom"/>
          </w:tcPr>
          <w:p>
            <w:pPr>
              <w:spacing w:after="0"/>
              <w:rPr>
                <w:sz w:val="1"/>
                <w:szCs w:val="1"/>
                <w:color w:val="auto"/>
              </w:rPr>
            </w:pPr>
          </w:p>
        </w:tc>
      </w:tr>
      <w:tr>
        <w:trPr>
          <w:trHeight w:val="152"/>
        </w:trPr>
        <w:tc>
          <w:tcPr>
            <w:tcW w:w="59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Other current liabilities - related parties</w:t>
            </w:r>
          </w:p>
        </w:tc>
        <w:tc>
          <w:tcPr>
            <w:tcW w:w="400" w:type="dxa"/>
            <w:vAlign w:val="bottom"/>
            <w:gridSpan w:val="2"/>
            <w:shd w:val="clear" w:color="auto" w:fill="CCEEFF"/>
          </w:tcPr>
          <w:p>
            <w:pPr>
              <w:ind w:left="220"/>
              <w:spacing w:after="0"/>
              <w:rPr>
                <w:sz w:val="20"/>
                <w:szCs w:val="20"/>
                <w:color w:val="auto"/>
              </w:rPr>
            </w:pPr>
            <w:r>
              <w:rPr>
                <w:rFonts w:ascii="Times New Roman" w:cs="Times New Roman" w:eastAsia="Times New Roman" w:hAnsi="Times New Roman"/>
                <w:sz w:val="13"/>
                <w:szCs w:val="13"/>
                <w:color w:val="auto"/>
              </w:rPr>
              <w:t>8</w:t>
            </w:r>
          </w:p>
        </w:tc>
        <w:tc>
          <w:tcPr>
            <w:tcW w:w="76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color w:val="auto"/>
              </w:rPr>
              <w:t>(67,467)</w:t>
            </w:r>
          </w:p>
        </w:tc>
        <w:tc>
          <w:tcPr>
            <w:tcW w:w="680" w:type="dxa"/>
            <w:vAlign w:val="bottom"/>
            <w:gridSpan w:val="2"/>
            <w:shd w:val="clear" w:color="auto" w:fill="CCEEFF"/>
          </w:tcPr>
          <w:p>
            <w:pPr>
              <w:jc w:val="right"/>
              <w:ind w:right="98"/>
              <w:spacing w:after="0"/>
              <w:rPr>
                <w:sz w:val="20"/>
                <w:szCs w:val="20"/>
                <w:color w:val="auto"/>
              </w:rPr>
            </w:pPr>
            <w:r>
              <w:rPr>
                <w:rFonts w:ascii="Times New Roman" w:cs="Times New Roman" w:eastAsia="Times New Roman" w:hAnsi="Times New Roman"/>
                <w:sz w:val="13"/>
                <w:szCs w:val="13"/>
                <w:color w:val="auto"/>
              </w:rPr>
              <w:t>—</w:t>
            </w:r>
          </w:p>
        </w:tc>
        <w:tc>
          <w:tcPr>
            <w:tcW w:w="0" w:type="dxa"/>
            <w:vAlign w:val="bottom"/>
          </w:tcPr>
          <w:p>
            <w:pPr>
              <w:spacing w:after="0"/>
              <w:rPr>
                <w:sz w:val="1"/>
                <w:szCs w:val="1"/>
                <w:color w:val="auto"/>
              </w:rPr>
            </w:pPr>
          </w:p>
        </w:tc>
      </w:tr>
      <w:tr>
        <w:trPr>
          <w:trHeight w:val="151"/>
        </w:trPr>
        <w:tc>
          <w:tcPr>
            <w:tcW w:w="590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Total current liabilities</w:t>
            </w:r>
          </w:p>
        </w:tc>
        <w:tc>
          <w:tcPr>
            <w:tcW w:w="2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(2,812,336</w:t>
            </w:r>
          </w:p>
        </w:tc>
        <w:tc>
          <w:tcPr>
            <w:tcW w:w="140" w:type="dxa"/>
            <w:vAlign w:val="bottom"/>
          </w:tcPr>
          <w:p>
            <w:pPr>
              <w:jc w:val="right"/>
              <w:ind w:right="58"/>
              <w:spacing w:after="0"/>
              <w:rPr>
                <w:sz w:val="20"/>
                <w:szCs w:val="20"/>
                <w:color w:val="auto"/>
              </w:rPr>
            </w:pPr>
            <w:r>
              <w:rPr>
                <w:rFonts w:ascii="Times New Roman" w:cs="Times New Roman" w:eastAsia="Times New Roman" w:hAnsi="Times New Roman"/>
                <w:sz w:val="8"/>
                <w:szCs w:val="8"/>
                <w:b w:val="1"/>
                <w:bCs w:val="1"/>
                <w:color w:val="auto"/>
                <w:w w:val="73"/>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(3,040,716</w:t>
            </w:r>
          </w:p>
        </w:tc>
        <w:tc>
          <w:tcPr>
            <w:tcW w:w="80" w:type="dxa"/>
            <w:vAlign w:val="bottom"/>
          </w:tcPr>
          <w:p>
            <w:pPr>
              <w:jc w:val="right"/>
              <w:spacing w:after="0"/>
              <w:rPr>
                <w:sz w:val="20"/>
                <w:szCs w:val="20"/>
                <w:color w:val="auto"/>
              </w:rPr>
            </w:pPr>
            <w:r>
              <w:rPr>
                <w:rFonts w:ascii="Times New Roman" w:cs="Times New Roman" w:eastAsia="Times New Roman" w:hAnsi="Times New Roman"/>
                <w:sz w:val="8"/>
                <w:szCs w:val="8"/>
                <w:b w:val="1"/>
                <w:bCs w:val="1"/>
                <w:color w:val="auto"/>
                <w:w w:val="73"/>
              </w:rPr>
              <w:t>)</w:t>
            </w:r>
          </w:p>
        </w:tc>
        <w:tc>
          <w:tcPr>
            <w:tcW w:w="0" w:type="dxa"/>
            <w:vAlign w:val="bottom"/>
          </w:tcPr>
          <w:p>
            <w:pPr>
              <w:spacing w:after="0"/>
              <w:rPr>
                <w:sz w:val="1"/>
                <w:szCs w:val="1"/>
                <w:color w:val="auto"/>
              </w:rPr>
            </w:pPr>
          </w:p>
        </w:tc>
      </w:tr>
      <w:tr>
        <w:trPr>
          <w:trHeight w:val="151"/>
        </w:trPr>
        <w:tc>
          <w:tcPr>
            <w:tcW w:w="59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Total liabilities</w:t>
            </w:r>
          </w:p>
        </w:tc>
        <w:tc>
          <w:tcPr>
            <w:tcW w:w="2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6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3"/>
                <w:szCs w:val="13"/>
                <w:b w:val="1"/>
                <w:bCs w:val="1"/>
                <w:color w:val="auto"/>
              </w:rPr>
              <w:t>(3,512,782)</w:t>
            </w:r>
          </w:p>
        </w:tc>
        <w:tc>
          <w:tcPr>
            <w:tcW w:w="6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(3,187,197)</w:t>
            </w:r>
          </w:p>
        </w:tc>
        <w:tc>
          <w:tcPr>
            <w:tcW w:w="0" w:type="dxa"/>
            <w:vAlign w:val="bottom"/>
          </w:tcPr>
          <w:p>
            <w:pPr>
              <w:spacing w:after="0"/>
              <w:rPr>
                <w:sz w:val="1"/>
                <w:szCs w:val="1"/>
                <w:color w:val="auto"/>
              </w:rPr>
            </w:pPr>
          </w:p>
        </w:tc>
      </w:tr>
      <w:tr>
        <w:trPr>
          <w:trHeight w:val="151"/>
        </w:trPr>
        <w:tc>
          <w:tcPr>
            <w:tcW w:w="590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Total equity and liabilities</w:t>
            </w:r>
          </w:p>
        </w:tc>
        <w:tc>
          <w:tcPr>
            <w:tcW w:w="2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(3,649,462</w:t>
            </w:r>
          </w:p>
        </w:tc>
        <w:tc>
          <w:tcPr>
            <w:tcW w:w="140" w:type="dxa"/>
            <w:vAlign w:val="bottom"/>
          </w:tcPr>
          <w:p>
            <w:pPr>
              <w:jc w:val="right"/>
              <w:ind w:right="58"/>
              <w:spacing w:after="0"/>
              <w:rPr>
                <w:sz w:val="20"/>
                <w:szCs w:val="20"/>
                <w:color w:val="auto"/>
              </w:rPr>
            </w:pPr>
            <w:r>
              <w:rPr>
                <w:rFonts w:ascii="Times New Roman" w:cs="Times New Roman" w:eastAsia="Times New Roman" w:hAnsi="Times New Roman"/>
                <w:sz w:val="8"/>
                <w:szCs w:val="8"/>
                <w:b w:val="1"/>
                <w:bCs w:val="1"/>
                <w:color w:val="auto"/>
                <w:w w:val="73"/>
              </w:rPr>
              <w:t>)</w:t>
            </w: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(3,309,693</w:t>
            </w:r>
          </w:p>
        </w:tc>
        <w:tc>
          <w:tcPr>
            <w:tcW w:w="80" w:type="dxa"/>
            <w:vAlign w:val="bottom"/>
          </w:tcPr>
          <w:p>
            <w:pPr>
              <w:jc w:val="right"/>
              <w:spacing w:after="0"/>
              <w:rPr>
                <w:sz w:val="20"/>
                <w:szCs w:val="20"/>
                <w:color w:val="auto"/>
              </w:rPr>
            </w:pPr>
            <w:r>
              <w:rPr>
                <w:rFonts w:ascii="Times New Roman" w:cs="Times New Roman" w:eastAsia="Times New Roman" w:hAnsi="Times New Roman"/>
                <w:sz w:val="8"/>
                <w:szCs w:val="8"/>
                <w:b w:val="1"/>
                <w:bCs w:val="1"/>
                <w:color w:val="auto"/>
                <w:w w:val="73"/>
              </w:rPr>
              <w:t>)</w:t>
            </w:r>
          </w:p>
        </w:tc>
        <w:tc>
          <w:tcPr>
            <w:tcW w:w="0" w:type="dxa"/>
            <w:vAlign w:val="bottom"/>
          </w:tcPr>
          <w:p>
            <w:pPr>
              <w:spacing w:after="0"/>
              <w:rPr>
                <w:sz w:val="1"/>
                <w:szCs w:val="1"/>
                <w:color w:val="auto"/>
              </w:rPr>
            </w:pPr>
          </w:p>
        </w:tc>
      </w:tr>
      <w:tr>
        <w:trPr>
          <w:trHeight w:val="20"/>
        </w:trPr>
        <w:tc>
          <w:tcPr>
            <w:tcW w:w="59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40" w:type="dxa"/>
            <w:vAlign w:val="bottom"/>
            <w:tcBorders>
              <w:left w:val="single" w:sz="8" w:color="auto"/>
            </w:tcBorders>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4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The accompanying notes are an integral part of these Unaudited Condensed Consolidated Financial Statements.</w:t>
      </w:r>
    </w:p>
    <w:p>
      <w:pPr>
        <w:spacing w:after="0" w:line="10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5</w:t>
      </w:r>
    </w:p>
    <w:p>
      <w:pPr>
        <w:sectPr>
          <w:pgSz w:w="11900" w:h="16838" w:orient="portrait"/>
          <w:cols w:equalWidth="0" w:num="1">
            <w:col w:w="9019"/>
          </w:cols>
          <w:pgMar w:left="1440" w:top="231" w:right="1440" w:bottom="1440" w:gutter="0" w:footer="0" w:header="0"/>
        </w:sectPr>
      </w:pPr>
    </w:p>
    <w:bookmarkStart w:id="62" w:name="page63"/>
    <w:bookmarkEnd w:id="62"/>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10425" cy="30480"/>
                    </a:xfrm>
                    <a:prstGeom prst="rect">
                      <a:avLst/>
                    </a:prstGeom>
                    <a:noFill/>
                  </pic:spPr>
                </pic:pic>
              </a:graphicData>
            </a:graphic>
          </wp:anchor>
        </w:drawing>
        <w:t>The Polestar Group</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Unaudited Condensed Consolidated Statement of Cash Flows</w:t>
      </w:r>
    </w:p>
    <w:p>
      <w:pPr>
        <w:spacing w:after="0" w:line="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145" w:lineRule="exact"/>
        <w:rPr>
          <w:sz w:val="20"/>
          <w:szCs w:val="20"/>
          <w:color w:val="auto"/>
        </w:rPr>
      </w:pPr>
    </w:p>
    <w:tbl>
      <w:tblPr>
        <w:tblLayout w:type="fixed"/>
        <w:tblInd w:w="640" w:type="dxa"/>
        <w:tblCellMar>
          <w:top w:w="0" w:type="dxa"/>
          <w:left w:w="0" w:type="dxa"/>
          <w:bottom w:w="0" w:type="dxa"/>
          <w:right w:w="0" w:type="dxa"/>
        </w:tblCellMar>
      </w:tblPr>
      <w:tr>
        <w:trPr>
          <w:trHeight w:val="115"/>
        </w:trPr>
        <w:tc>
          <w:tcPr>
            <w:tcW w:w="61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320" w:type="dxa"/>
            <w:vAlign w:val="bottom"/>
            <w:gridSpan w:val="5"/>
          </w:tcPr>
          <w:p>
            <w:pPr>
              <w:jc w:val="right"/>
              <w:ind w:right="120"/>
              <w:spacing w:after="0"/>
              <w:rPr>
                <w:sz w:val="20"/>
                <w:szCs w:val="20"/>
                <w:color w:val="auto"/>
              </w:rPr>
            </w:pPr>
            <w:r>
              <w:rPr>
                <w:rFonts w:ascii="Times New Roman" w:cs="Times New Roman" w:eastAsia="Times New Roman" w:hAnsi="Times New Roman"/>
                <w:sz w:val="10"/>
                <w:szCs w:val="10"/>
                <w:b w:val="1"/>
                <w:bCs w:val="1"/>
                <w:color w:val="auto"/>
              </w:rPr>
              <w:t>For the nine months ended</w:t>
            </w:r>
          </w:p>
        </w:tc>
        <w:tc>
          <w:tcPr>
            <w:tcW w:w="0" w:type="dxa"/>
            <w:vAlign w:val="bottom"/>
          </w:tcPr>
          <w:p>
            <w:pPr>
              <w:spacing w:after="0"/>
              <w:rPr>
                <w:sz w:val="1"/>
                <w:szCs w:val="1"/>
                <w:color w:val="auto"/>
              </w:rPr>
            </w:pPr>
          </w:p>
        </w:tc>
      </w:tr>
      <w:tr>
        <w:trPr>
          <w:trHeight w:val="104"/>
        </w:trPr>
        <w:tc>
          <w:tcPr>
            <w:tcW w:w="6100" w:type="dxa"/>
            <w:vAlign w:val="bottom"/>
          </w:tcPr>
          <w:p>
            <w:pPr>
              <w:spacing w:after="0"/>
              <w:rPr>
                <w:sz w:val="9"/>
                <w:szCs w:val="9"/>
                <w:color w:val="auto"/>
              </w:rPr>
            </w:pPr>
          </w:p>
        </w:tc>
        <w:tc>
          <w:tcPr>
            <w:tcW w:w="320" w:type="dxa"/>
            <w:vAlign w:val="bottom"/>
            <w:gridSpan w:val="2"/>
            <w:vMerge w:val="restart"/>
          </w:tcPr>
          <w:p>
            <w:pPr>
              <w:jc w:val="right"/>
              <w:ind w:right="120"/>
              <w:spacing w:after="0"/>
              <w:rPr>
                <w:sz w:val="20"/>
                <w:szCs w:val="20"/>
                <w:color w:val="auto"/>
              </w:rPr>
            </w:pPr>
            <w:r>
              <w:rPr>
                <w:rFonts w:ascii="Times New Roman" w:cs="Times New Roman" w:eastAsia="Times New Roman" w:hAnsi="Times New Roman"/>
                <w:sz w:val="10"/>
                <w:szCs w:val="10"/>
                <w:b w:val="1"/>
                <w:bCs w:val="1"/>
                <w:color w:val="auto"/>
                <w:w w:val="89"/>
              </w:rPr>
              <w:t>Note</w:t>
            </w:r>
          </w:p>
        </w:tc>
        <w:tc>
          <w:tcPr>
            <w:tcW w:w="1320" w:type="dxa"/>
            <w:vAlign w:val="bottom"/>
            <w:gridSpan w:val="5"/>
          </w:tcPr>
          <w:p>
            <w:pPr>
              <w:jc w:val="right"/>
              <w:ind w:right="400"/>
              <w:spacing w:after="0" w:line="104" w:lineRule="exact"/>
              <w:rPr>
                <w:sz w:val="20"/>
                <w:szCs w:val="20"/>
                <w:color w:val="auto"/>
              </w:rPr>
            </w:pPr>
            <w:r>
              <w:rPr>
                <w:rFonts w:ascii="Times New Roman" w:cs="Times New Roman" w:eastAsia="Times New Roman" w:hAnsi="Times New Roman"/>
                <w:sz w:val="10"/>
                <w:szCs w:val="10"/>
                <w:b w:val="1"/>
                <w:bCs w:val="1"/>
                <w:color w:val="auto"/>
              </w:rPr>
              <w:t>September 30,</w:t>
            </w:r>
          </w:p>
        </w:tc>
        <w:tc>
          <w:tcPr>
            <w:tcW w:w="0" w:type="dxa"/>
            <w:vAlign w:val="bottom"/>
          </w:tcPr>
          <w:p>
            <w:pPr>
              <w:spacing w:after="0"/>
              <w:rPr>
                <w:sz w:val="1"/>
                <w:szCs w:val="1"/>
                <w:color w:val="auto"/>
              </w:rPr>
            </w:pPr>
          </w:p>
        </w:tc>
      </w:tr>
      <w:tr>
        <w:trPr>
          <w:trHeight w:val="121"/>
        </w:trPr>
        <w:tc>
          <w:tcPr>
            <w:tcW w:w="6100" w:type="dxa"/>
            <w:vAlign w:val="bottom"/>
          </w:tcPr>
          <w:p>
            <w:pPr>
              <w:spacing w:after="0"/>
              <w:rPr>
                <w:sz w:val="10"/>
                <w:szCs w:val="10"/>
                <w:color w:val="auto"/>
              </w:rPr>
            </w:pPr>
          </w:p>
        </w:tc>
        <w:tc>
          <w:tcPr>
            <w:tcW w:w="320" w:type="dxa"/>
            <w:vAlign w:val="bottom"/>
            <w:gridSpan w:val="2"/>
            <w:vMerge w:val="continue"/>
          </w:tcPr>
          <w:p>
            <w:pPr>
              <w:spacing w:after="0"/>
              <w:rPr>
                <w:sz w:val="10"/>
                <w:szCs w:val="10"/>
                <w:color w:val="auto"/>
              </w:rPr>
            </w:pPr>
          </w:p>
        </w:tc>
        <w:tc>
          <w:tcPr>
            <w:tcW w:w="600" w:type="dxa"/>
            <w:vAlign w:val="bottom"/>
          </w:tcPr>
          <w:p>
            <w:pPr>
              <w:jc w:val="right"/>
              <w:ind w:right="138"/>
              <w:spacing w:after="0"/>
              <w:rPr>
                <w:sz w:val="20"/>
                <w:szCs w:val="20"/>
                <w:color w:val="auto"/>
              </w:rPr>
            </w:pPr>
            <w:r>
              <w:rPr>
                <w:rFonts w:ascii="Times New Roman" w:cs="Times New Roman" w:eastAsia="Times New Roman" w:hAnsi="Times New Roman"/>
                <w:sz w:val="10"/>
                <w:szCs w:val="10"/>
                <w:b w:val="1"/>
                <w:bCs w:val="1"/>
                <w:color w:val="auto"/>
              </w:rPr>
              <w:t>2022</w:t>
            </w:r>
          </w:p>
        </w:tc>
        <w:tc>
          <w:tcPr>
            <w:tcW w:w="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00" w:type="dxa"/>
            <w:vAlign w:val="bottom"/>
          </w:tcPr>
          <w:p>
            <w:pPr>
              <w:jc w:val="right"/>
              <w:ind w:right="97"/>
              <w:spacing w:after="0"/>
              <w:rPr>
                <w:sz w:val="20"/>
                <w:szCs w:val="20"/>
                <w:color w:val="auto"/>
              </w:rPr>
            </w:pPr>
            <w:r>
              <w:rPr>
                <w:rFonts w:ascii="Times New Roman" w:cs="Times New Roman" w:eastAsia="Times New Roman" w:hAnsi="Times New Roman"/>
                <w:sz w:val="10"/>
                <w:szCs w:val="10"/>
                <w:b w:val="1"/>
                <w:bCs w:val="1"/>
                <w:color w:val="auto"/>
              </w:rPr>
              <w:t>2021</w:t>
            </w: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2"/>
        </w:trPr>
        <w:tc>
          <w:tcPr>
            <w:tcW w:w="6100" w:type="dxa"/>
            <w:vAlign w:val="bottom"/>
            <w:tcBorders>
              <w:top w:val="single" w:sz="8" w:color="CCEEFF"/>
            </w:tcBorders>
            <w:shd w:val="clear" w:color="auto" w:fill="CCEEFF"/>
          </w:tcPr>
          <w:p>
            <w:pPr>
              <w:spacing w:after="0" w:line="132" w:lineRule="exact"/>
              <w:rPr>
                <w:sz w:val="20"/>
                <w:szCs w:val="20"/>
                <w:color w:val="auto"/>
              </w:rPr>
            </w:pPr>
            <w:r>
              <w:rPr>
                <w:rFonts w:ascii="Times New Roman" w:cs="Times New Roman" w:eastAsia="Times New Roman" w:hAnsi="Times New Roman"/>
                <w:sz w:val="13"/>
                <w:szCs w:val="13"/>
                <w:b w:val="1"/>
                <w:bCs w:val="1"/>
                <w:color w:val="auto"/>
              </w:rPr>
              <w:t>Cash flows from operating activities</w:t>
            </w:r>
          </w:p>
        </w:tc>
        <w:tc>
          <w:tcPr>
            <w:tcW w:w="200" w:type="dxa"/>
            <w:vAlign w:val="bottom"/>
            <w:tcBorders>
              <w:top w:val="single" w:sz="8" w:color="auto"/>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600" w:type="dxa"/>
            <w:vAlign w:val="bottom"/>
            <w:tcBorders>
              <w:top w:val="single" w:sz="8" w:color="auto"/>
            </w:tcBorders>
            <w:shd w:val="clear" w:color="auto" w:fill="CCEEFF"/>
          </w:tcPr>
          <w:p>
            <w:pPr>
              <w:spacing w:after="0"/>
              <w:rPr>
                <w:sz w:val="11"/>
                <w:szCs w:val="11"/>
                <w:color w:val="auto"/>
              </w:rPr>
            </w:pPr>
          </w:p>
        </w:tc>
        <w:tc>
          <w:tcPr>
            <w:tcW w:w="2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50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2"/>
        </w:trPr>
        <w:tc>
          <w:tcPr>
            <w:tcW w:w="6100" w:type="dxa"/>
            <w:vAlign w:val="bottom"/>
          </w:tcPr>
          <w:p>
            <w:pPr>
              <w:spacing w:after="0"/>
              <w:rPr>
                <w:sz w:val="20"/>
                <w:szCs w:val="20"/>
                <w:color w:val="auto"/>
              </w:rPr>
            </w:pPr>
            <w:r>
              <w:rPr>
                <w:rFonts w:ascii="Times New Roman" w:cs="Times New Roman" w:eastAsia="Times New Roman" w:hAnsi="Times New Roman"/>
                <w:sz w:val="13"/>
                <w:szCs w:val="13"/>
                <w:color w:val="auto"/>
              </w:rPr>
              <w:t>Net loss</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40" w:type="dxa"/>
            <w:vAlign w:val="bottom"/>
            <w:gridSpan w:val="3"/>
          </w:tcPr>
          <w:p>
            <w:pPr>
              <w:jc w:val="right"/>
              <w:ind w:right="100"/>
              <w:spacing w:after="0"/>
              <w:rPr>
                <w:sz w:val="20"/>
                <w:szCs w:val="20"/>
                <w:color w:val="auto"/>
              </w:rPr>
            </w:pPr>
            <w:r>
              <w:rPr>
                <w:rFonts w:ascii="Times New Roman" w:cs="Times New Roman" w:eastAsia="Times New Roman" w:hAnsi="Times New Roman"/>
                <w:sz w:val="13"/>
                <w:szCs w:val="13"/>
                <w:color w:val="auto"/>
              </w:rPr>
              <w:t>(203,347)</w:t>
            </w:r>
          </w:p>
        </w:tc>
        <w:tc>
          <w:tcPr>
            <w:tcW w:w="58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(670,668)</w:t>
            </w:r>
          </w:p>
        </w:tc>
        <w:tc>
          <w:tcPr>
            <w:tcW w:w="0" w:type="dxa"/>
            <w:vAlign w:val="bottom"/>
          </w:tcPr>
          <w:p>
            <w:pPr>
              <w:spacing w:after="0"/>
              <w:rPr>
                <w:sz w:val="1"/>
                <w:szCs w:val="1"/>
                <w:color w:val="auto"/>
              </w:rPr>
            </w:pPr>
          </w:p>
        </w:tc>
      </w:tr>
      <w:tr>
        <w:trPr>
          <w:trHeight w:val="152"/>
        </w:trPr>
        <w:tc>
          <w:tcPr>
            <w:tcW w:w="61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Adjustments to reconcile Net loss to net cash flows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5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61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Depreciation and amortization</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2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140,063</w:t>
            </w:r>
          </w:p>
        </w:tc>
        <w:tc>
          <w:tcPr>
            <w:tcW w:w="120" w:type="dxa"/>
            <w:vAlign w:val="bottom"/>
          </w:tcPr>
          <w:p>
            <w:pPr>
              <w:spacing w:after="0"/>
              <w:rPr>
                <w:sz w:val="13"/>
                <w:szCs w:val="13"/>
                <w:color w:val="auto"/>
              </w:rPr>
            </w:pPr>
          </w:p>
        </w:tc>
        <w:tc>
          <w:tcPr>
            <w:tcW w:w="58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rPr>
              <w:t>184,431</w:t>
            </w:r>
          </w:p>
        </w:tc>
        <w:tc>
          <w:tcPr>
            <w:tcW w:w="0" w:type="dxa"/>
            <w:vAlign w:val="bottom"/>
          </w:tcPr>
          <w:p>
            <w:pPr>
              <w:spacing w:after="0"/>
              <w:rPr>
                <w:sz w:val="1"/>
                <w:szCs w:val="1"/>
                <w:color w:val="auto"/>
              </w:rPr>
            </w:pPr>
          </w:p>
        </w:tc>
      </w:tr>
      <w:tr>
        <w:trPr>
          <w:trHeight w:val="152"/>
        </w:trPr>
        <w:tc>
          <w:tcPr>
            <w:tcW w:w="61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Finance income</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4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(1,485)</w:t>
            </w:r>
          </w:p>
        </w:tc>
        <w:tc>
          <w:tcPr>
            <w:tcW w:w="5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(24,801)</w:t>
            </w:r>
          </w:p>
        </w:tc>
        <w:tc>
          <w:tcPr>
            <w:tcW w:w="0" w:type="dxa"/>
            <w:vAlign w:val="bottom"/>
          </w:tcPr>
          <w:p>
            <w:pPr>
              <w:spacing w:after="0"/>
              <w:rPr>
                <w:sz w:val="1"/>
                <w:szCs w:val="1"/>
                <w:color w:val="auto"/>
              </w:rPr>
            </w:pPr>
          </w:p>
        </w:tc>
      </w:tr>
      <w:tr>
        <w:trPr>
          <w:trHeight w:val="152"/>
        </w:trPr>
        <w:tc>
          <w:tcPr>
            <w:tcW w:w="61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Finance expense</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2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111,966</w:t>
            </w:r>
          </w:p>
        </w:tc>
        <w:tc>
          <w:tcPr>
            <w:tcW w:w="120" w:type="dxa"/>
            <w:vAlign w:val="bottom"/>
          </w:tcPr>
          <w:p>
            <w:pPr>
              <w:spacing w:after="0"/>
              <w:rPr>
                <w:sz w:val="13"/>
                <w:szCs w:val="13"/>
                <w:color w:val="auto"/>
              </w:rPr>
            </w:pPr>
          </w:p>
        </w:tc>
        <w:tc>
          <w:tcPr>
            <w:tcW w:w="58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rPr>
              <w:t>28,511</w:t>
            </w:r>
          </w:p>
        </w:tc>
        <w:tc>
          <w:tcPr>
            <w:tcW w:w="0" w:type="dxa"/>
            <w:vAlign w:val="bottom"/>
          </w:tcPr>
          <w:p>
            <w:pPr>
              <w:spacing w:after="0"/>
              <w:rPr>
                <w:sz w:val="1"/>
                <w:szCs w:val="1"/>
                <w:color w:val="auto"/>
              </w:rPr>
            </w:pPr>
          </w:p>
        </w:tc>
      </w:tr>
      <w:tr>
        <w:trPr>
          <w:trHeight w:val="152"/>
        </w:trPr>
        <w:tc>
          <w:tcPr>
            <w:tcW w:w="61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Fair value change - Earn-out rights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4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(965,668)</w:t>
            </w:r>
          </w:p>
        </w:tc>
        <w:tc>
          <w:tcPr>
            <w:tcW w:w="5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color w:val="auto"/>
              </w:rPr>
              <w:t>—</w:t>
            </w:r>
          </w:p>
        </w:tc>
        <w:tc>
          <w:tcPr>
            <w:tcW w:w="0" w:type="dxa"/>
            <w:vAlign w:val="bottom"/>
          </w:tcPr>
          <w:p>
            <w:pPr>
              <w:spacing w:after="0"/>
              <w:rPr>
                <w:sz w:val="1"/>
                <w:szCs w:val="1"/>
                <w:color w:val="auto"/>
              </w:rPr>
            </w:pPr>
          </w:p>
        </w:tc>
      </w:tr>
      <w:tr>
        <w:trPr>
          <w:trHeight w:val="152"/>
        </w:trPr>
        <w:tc>
          <w:tcPr>
            <w:tcW w:w="61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Fair value change - Class C Shares</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40" w:type="dxa"/>
            <w:vAlign w:val="bottom"/>
            <w:gridSpan w:val="3"/>
          </w:tcPr>
          <w:p>
            <w:pPr>
              <w:jc w:val="right"/>
              <w:ind w:right="100"/>
              <w:spacing w:after="0"/>
              <w:rPr>
                <w:sz w:val="20"/>
                <w:szCs w:val="20"/>
                <w:color w:val="auto"/>
              </w:rPr>
            </w:pPr>
            <w:r>
              <w:rPr>
                <w:rFonts w:ascii="Times New Roman" w:cs="Times New Roman" w:eastAsia="Times New Roman" w:hAnsi="Times New Roman"/>
                <w:sz w:val="13"/>
                <w:szCs w:val="13"/>
                <w:color w:val="auto"/>
              </w:rPr>
              <w:t>(35,590)</w:t>
            </w:r>
          </w:p>
        </w:tc>
        <w:tc>
          <w:tcPr>
            <w:tcW w:w="58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color w:val="auto"/>
              </w:rPr>
              <w:t>—</w:t>
            </w:r>
          </w:p>
        </w:tc>
        <w:tc>
          <w:tcPr>
            <w:tcW w:w="0" w:type="dxa"/>
            <w:vAlign w:val="bottom"/>
          </w:tcPr>
          <w:p>
            <w:pPr>
              <w:spacing w:after="0"/>
              <w:rPr>
                <w:sz w:val="1"/>
                <w:szCs w:val="1"/>
                <w:color w:val="auto"/>
              </w:rPr>
            </w:pPr>
          </w:p>
        </w:tc>
      </w:tr>
      <w:tr>
        <w:trPr>
          <w:trHeight w:val="152"/>
        </w:trPr>
        <w:tc>
          <w:tcPr>
            <w:tcW w:w="61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Listing expense</w:t>
            </w:r>
          </w:p>
        </w:tc>
        <w:tc>
          <w:tcPr>
            <w:tcW w:w="3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9</w:t>
            </w:r>
          </w:p>
        </w:tc>
        <w:tc>
          <w:tcPr>
            <w:tcW w:w="62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372,318</w:t>
            </w:r>
          </w:p>
        </w:tc>
        <w:tc>
          <w:tcPr>
            <w:tcW w:w="120" w:type="dxa"/>
            <w:vAlign w:val="bottom"/>
            <w:shd w:val="clear" w:color="auto" w:fill="CCEEFF"/>
          </w:tcPr>
          <w:p>
            <w:pPr>
              <w:spacing w:after="0"/>
              <w:rPr>
                <w:sz w:val="13"/>
                <w:szCs w:val="13"/>
                <w:color w:val="auto"/>
              </w:rPr>
            </w:pPr>
          </w:p>
        </w:tc>
        <w:tc>
          <w:tcPr>
            <w:tcW w:w="5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color w:val="auto"/>
              </w:rPr>
              <w:t>—</w:t>
            </w:r>
          </w:p>
        </w:tc>
        <w:tc>
          <w:tcPr>
            <w:tcW w:w="0" w:type="dxa"/>
            <w:vAlign w:val="bottom"/>
          </w:tcPr>
          <w:p>
            <w:pPr>
              <w:spacing w:after="0"/>
              <w:rPr>
                <w:sz w:val="1"/>
                <w:szCs w:val="1"/>
                <w:color w:val="auto"/>
              </w:rPr>
            </w:pPr>
          </w:p>
        </w:tc>
      </w:tr>
      <w:tr>
        <w:trPr>
          <w:trHeight w:val="152"/>
        </w:trPr>
        <w:tc>
          <w:tcPr>
            <w:tcW w:w="61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Income tax expense</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2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12,543</w:t>
            </w:r>
          </w:p>
        </w:tc>
        <w:tc>
          <w:tcPr>
            <w:tcW w:w="120" w:type="dxa"/>
            <w:vAlign w:val="bottom"/>
          </w:tcPr>
          <w:p>
            <w:pPr>
              <w:spacing w:after="0"/>
              <w:rPr>
                <w:sz w:val="13"/>
                <w:szCs w:val="13"/>
                <w:color w:val="auto"/>
              </w:rPr>
            </w:pPr>
          </w:p>
        </w:tc>
        <w:tc>
          <w:tcPr>
            <w:tcW w:w="58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rPr>
              <w:t>9,414</w:t>
            </w:r>
          </w:p>
        </w:tc>
        <w:tc>
          <w:tcPr>
            <w:tcW w:w="0" w:type="dxa"/>
            <w:vAlign w:val="bottom"/>
          </w:tcPr>
          <w:p>
            <w:pPr>
              <w:spacing w:after="0"/>
              <w:rPr>
                <w:sz w:val="1"/>
                <w:szCs w:val="1"/>
                <w:color w:val="auto"/>
              </w:rPr>
            </w:pPr>
          </w:p>
        </w:tc>
      </w:tr>
      <w:tr>
        <w:trPr>
          <w:trHeight w:val="152"/>
        </w:trPr>
        <w:tc>
          <w:tcPr>
            <w:tcW w:w="61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Other non-cash expense and income, net</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2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12,497</w:t>
            </w:r>
          </w:p>
        </w:tc>
        <w:tc>
          <w:tcPr>
            <w:tcW w:w="120" w:type="dxa"/>
            <w:vAlign w:val="bottom"/>
            <w:shd w:val="clear" w:color="auto" w:fill="CCEEFF"/>
          </w:tcPr>
          <w:p>
            <w:pPr>
              <w:spacing w:after="0"/>
              <w:rPr>
                <w:sz w:val="13"/>
                <w:szCs w:val="13"/>
                <w:color w:val="auto"/>
              </w:rPr>
            </w:pPr>
          </w:p>
        </w:tc>
        <w:tc>
          <w:tcPr>
            <w:tcW w:w="58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3"/>
                <w:szCs w:val="13"/>
                <w:color w:val="auto"/>
              </w:rPr>
              <w:t>43,243</w:t>
            </w:r>
          </w:p>
        </w:tc>
        <w:tc>
          <w:tcPr>
            <w:tcW w:w="0" w:type="dxa"/>
            <w:vAlign w:val="bottom"/>
          </w:tcPr>
          <w:p>
            <w:pPr>
              <w:spacing w:after="0"/>
              <w:rPr>
                <w:sz w:val="1"/>
                <w:szCs w:val="1"/>
                <w:color w:val="auto"/>
              </w:rPr>
            </w:pPr>
          </w:p>
        </w:tc>
      </w:tr>
      <w:tr>
        <w:trPr>
          <w:trHeight w:val="152"/>
        </w:trPr>
        <w:tc>
          <w:tcPr>
            <w:tcW w:w="6100" w:type="dxa"/>
            <w:vAlign w:val="bottom"/>
          </w:tcPr>
          <w:p>
            <w:pPr>
              <w:spacing w:after="0"/>
              <w:rPr>
                <w:sz w:val="20"/>
                <w:szCs w:val="20"/>
                <w:color w:val="auto"/>
              </w:rPr>
            </w:pPr>
            <w:r>
              <w:rPr>
                <w:rFonts w:ascii="Times New Roman" w:cs="Times New Roman" w:eastAsia="Times New Roman" w:hAnsi="Times New Roman"/>
                <w:sz w:val="13"/>
                <w:szCs w:val="13"/>
                <w:color w:val="auto"/>
              </w:rPr>
              <w:t>Change in operating assets and liabilities</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61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Inventories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4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(311,154)</w:t>
            </w:r>
          </w:p>
        </w:tc>
        <w:tc>
          <w:tcPr>
            <w:tcW w:w="5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(145,378)</w:t>
            </w:r>
          </w:p>
        </w:tc>
        <w:tc>
          <w:tcPr>
            <w:tcW w:w="0" w:type="dxa"/>
            <w:vAlign w:val="bottom"/>
          </w:tcPr>
          <w:p>
            <w:pPr>
              <w:spacing w:after="0"/>
              <w:rPr>
                <w:sz w:val="1"/>
                <w:szCs w:val="1"/>
                <w:color w:val="auto"/>
              </w:rPr>
            </w:pPr>
          </w:p>
        </w:tc>
      </w:tr>
      <w:tr>
        <w:trPr>
          <w:trHeight w:val="152"/>
        </w:trPr>
        <w:tc>
          <w:tcPr>
            <w:tcW w:w="61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Vehicles under operating leases</w:t>
            </w:r>
          </w:p>
        </w:tc>
        <w:tc>
          <w:tcPr>
            <w:tcW w:w="32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3</w:t>
            </w:r>
          </w:p>
        </w:tc>
        <w:tc>
          <w:tcPr>
            <w:tcW w:w="62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17,722</w:t>
            </w:r>
          </w:p>
        </w:tc>
        <w:tc>
          <w:tcPr>
            <w:tcW w:w="120" w:type="dxa"/>
            <w:vAlign w:val="bottom"/>
          </w:tcPr>
          <w:p>
            <w:pPr>
              <w:spacing w:after="0"/>
              <w:rPr>
                <w:sz w:val="13"/>
                <w:szCs w:val="13"/>
                <w:color w:val="auto"/>
              </w:rPr>
            </w:pPr>
          </w:p>
        </w:tc>
        <w:tc>
          <w:tcPr>
            <w:tcW w:w="58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(59,552)</w:t>
            </w:r>
          </w:p>
        </w:tc>
        <w:tc>
          <w:tcPr>
            <w:tcW w:w="0" w:type="dxa"/>
            <w:vAlign w:val="bottom"/>
          </w:tcPr>
          <w:p>
            <w:pPr>
              <w:spacing w:after="0"/>
              <w:rPr>
                <w:sz w:val="1"/>
                <w:szCs w:val="1"/>
                <w:color w:val="auto"/>
              </w:rPr>
            </w:pPr>
          </w:p>
        </w:tc>
      </w:tr>
      <w:tr>
        <w:trPr>
          <w:trHeight w:val="152"/>
        </w:trPr>
        <w:tc>
          <w:tcPr>
            <w:tcW w:w="61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Contract liabilities</w:t>
            </w:r>
          </w:p>
        </w:tc>
        <w:tc>
          <w:tcPr>
            <w:tcW w:w="3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2</w:t>
            </w:r>
          </w:p>
        </w:tc>
        <w:tc>
          <w:tcPr>
            <w:tcW w:w="74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(16,390)</w:t>
            </w:r>
          </w:p>
        </w:tc>
        <w:tc>
          <w:tcPr>
            <w:tcW w:w="58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3"/>
                <w:szCs w:val="13"/>
                <w:color w:val="auto"/>
              </w:rPr>
              <w:t>34,218</w:t>
            </w:r>
          </w:p>
        </w:tc>
        <w:tc>
          <w:tcPr>
            <w:tcW w:w="0" w:type="dxa"/>
            <w:vAlign w:val="bottom"/>
          </w:tcPr>
          <w:p>
            <w:pPr>
              <w:spacing w:after="0"/>
              <w:rPr>
                <w:sz w:val="1"/>
                <w:szCs w:val="1"/>
                <w:color w:val="auto"/>
              </w:rPr>
            </w:pPr>
          </w:p>
        </w:tc>
      </w:tr>
      <w:tr>
        <w:trPr>
          <w:trHeight w:val="152"/>
        </w:trPr>
        <w:tc>
          <w:tcPr>
            <w:tcW w:w="610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Trade receivables, prepaid expenses and other assets</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40" w:type="dxa"/>
            <w:vAlign w:val="bottom"/>
            <w:gridSpan w:val="3"/>
          </w:tcPr>
          <w:p>
            <w:pPr>
              <w:jc w:val="right"/>
              <w:ind w:right="100"/>
              <w:spacing w:after="0"/>
              <w:rPr>
                <w:sz w:val="20"/>
                <w:szCs w:val="20"/>
                <w:color w:val="auto"/>
              </w:rPr>
            </w:pPr>
            <w:r>
              <w:rPr>
                <w:rFonts w:ascii="Times New Roman" w:cs="Times New Roman" w:eastAsia="Times New Roman" w:hAnsi="Times New Roman"/>
                <w:sz w:val="13"/>
                <w:szCs w:val="13"/>
                <w:color w:val="auto"/>
              </w:rPr>
              <w:t>(43,458)</w:t>
            </w:r>
          </w:p>
        </w:tc>
        <w:tc>
          <w:tcPr>
            <w:tcW w:w="58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rPr>
              <w:t>210,426</w:t>
            </w:r>
          </w:p>
        </w:tc>
        <w:tc>
          <w:tcPr>
            <w:tcW w:w="0" w:type="dxa"/>
            <w:vAlign w:val="bottom"/>
          </w:tcPr>
          <w:p>
            <w:pPr>
              <w:spacing w:after="0"/>
              <w:rPr>
                <w:sz w:val="1"/>
                <w:szCs w:val="1"/>
                <w:color w:val="auto"/>
              </w:rPr>
            </w:pPr>
          </w:p>
        </w:tc>
      </w:tr>
      <w:tr>
        <w:trPr>
          <w:trHeight w:val="152"/>
        </w:trPr>
        <w:tc>
          <w:tcPr>
            <w:tcW w:w="61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Trade payables, accrued expenses and other liabilities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4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(60,645)</w:t>
            </w:r>
          </w:p>
        </w:tc>
        <w:tc>
          <w:tcPr>
            <w:tcW w:w="58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3"/>
                <w:szCs w:val="13"/>
                <w:color w:val="auto"/>
              </w:rPr>
              <w:t>244,442</w:t>
            </w:r>
          </w:p>
        </w:tc>
        <w:tc>
          <w:tcPr>
            <w:tcW w:w="0" w:type="dxa"/>
            <w:vAlign w:val="bottom"/>
          </w:tcPr>
          <w:p>
            <w:pPr>
              <w:spacing w:after="0"/>
              <w:rPr>
                <w:sz w:val="1"/>
                <w:szCs w:val="1"/>
                <w:color w:val="auto"/>
              </w:rPr>
            </w:pPr>
          </w:p>
        </w:tc>
      </w:tr>
      <w:tr>
        <w:trPr>
          <w:trHeight w:val="152"/>
        </w:trPr>
        <w:tc>
          <w:tcPr>
            <w:tcW w:w="6100" w:type="dxa"/>
            <w:vAlign w:val="bottom"/>
          </w:tcPr>
          <w:p>
            <w:pPr>
              <w:spacing w:after="0"/>
              <w:rPr>
                <w:sz w:val="20"/>
                <w:szCs w:val="20"/>
                <w:color w:val="auto"/>
              </w:rPr>
            </w:pPr>
            <w:r>
              <w:rPr>
                <w:rFonts w:ascii="Times New Roman" w:cs="Times New Roman" w:eastAsia="Times New Roman" w:hAnsi="Times New Roman"/>
                <w:sz w:val="13"/>
                <w:szCs w:val="13"/>
                <w:color w:val="auto"/>
              </w:rPr>
              <w:t>Interest received</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2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1,485</w:t>
            </w:r>
          </w:p>
        </w:tc>
        <w:tc>
          <w:tcPr>
            <w:tcW w:w="120" w:type="dxa"/>
            <w:vAlign w:val="bottom"/>
          </w:tcPr>
          <w:p>
            <w:pPr>
              <w:spacing w:after="0"/>
              <w:rPr>
                <w:sz w:val="13"/>
                <w:szCs w:val="13"/>
                <w:color w:val="auto"/>
              </w:rPr>
            </w:pPr>
          </w:p>
        </w:tc>
        <w:tc>
          <w:tcPr>
            <w:tcW w:w="58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rPr>
              <w:t>1,082</w:t>
            </w:r>
          </w:p>
        </w:tc>
        <w:tc>
          <w:tcPr>
            <w:tcW w:w="0" w:type="dxa"/>
            <w:vAlign w:val="bottom"/>
          </w:tcPr>
          <w:p>
            <w:pPr>
              <w:spacing w:after="0"/>
              <w:rPr>
                <w:sz w:val="1"/>
                <w:szCs w:val="1"/>
                <w:color w:val="auto"/>
              </w:rPr>
            </w:pPr>
          </w:p>
        </w:tc>
      </w:tr>
      <w:tr>
        <w:trPr>
          <w:trHeight w:val="152"/>
        </w:trPr>
        <w:tc>
          <w:tcPr>
            <w:tcW w:w="61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Interest paid</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4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(37,075)</w:t>
            </w:r>
          </w:p>
        </w:tc>
        <w:tc>
          <w:tcPr>
            <w:tcW w:w="5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(6,367)</w:t>
            </w:r>
          </w:p>
        </w:tc>
        <w:tc>
          <w:tcPr>
            <w:tcW w:w="0" w:type="dxa"/>
            <w:vAlign w:val="bottom"/>
          </w:tcPr>
          <w:p>
            <w:pPr>
              <w:spacing w:after="0"/>
              <w:rPr>
                <w:sz w:val="1"/>
                <w:szCs w:val="1"/>
                <w:color w:val="auto"/>
              </w:rPr>
            </w:pPr>
          </w:p>
        </w:tc>
      </w:tr>
      <w:tr>
        <w:trPr>
          <w:trHeight w:val="152"/>
        </w:trPr>
        <w:tc>
          <w:tcPr>
            <w:tcW w:w="6100" w:type="dxa"/>
            <w:vAlign w:val="bottom"/>
          </w:tcPr>
          <w:p>
            <w:pPr>
              <w:spacing w:after="0"/>
              <w:rPr>
                <w:sz w:val="20"/>
                <w:szCs w:val="20"/>
                <w:color w:val="auto"/>
              </w:rPr>
            </w:pPr>
            <w:r>
              <w:rPr>
                <w:rFonts w:ascii="Times New Roman" w:cs="Times New Roman" w:eastAsia="Times New Roman" w:hAnsi="Times New Roman"/>
                <w:sz w:val="13"/>
                <w:szCs w:val="13"/>
                <w:color w:val="auto"/>
              </w:rPr>
              <w:t>Taxes paid</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40" w:type="dxa"/>
            <w:vAlign w:val="bottom"/>
            <w:gridSpan w:val="3"/>
          </w:tcPr>
          <w:p>
            <w:pPr>
              <w:jc w:val="right"/>
              <w:ind w:right="100"/>
              <w:spacing w:after="0"/>
              <w:rPr>
                <w:sz w:val="20"/>
                <w:szCs w:val="20"/>
                <w:color w:val="auto"/>
              </w:rPr>
            </w:pPr>
            <w:r>
              <w:rPr>
                <w:rFonts w:ascii="Times New Roman" w:cs="Times New Roman" w:eastAsia="Times New Roman" w:hAnsi="Times New Roman"/>
                <w:sz w:val="13"/>
                <w:szCs w:val="13"/>
                <w:color w:val="auto"/>
              </w:rPr>
              <w:t>(17,207)</w:t>
            </w:r>
          </w:p>
        </w:tc>
        <w:tc>
          <w:tcPr>
            <w:tcW w:w="58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(4,079)</w:t>
            </w:r>
          </w:p>
        </w:tc>
        <w:tc>
          <w:tcPr>
            <w:tcW w:w="0" w:type="dxa"/>
            <w:vAlign w:val="bottom"/>
          </w:tcPr>
          <w:p>
            <w:pPr>
              <w:spacing w:after="0"/>
              <w:rPr>
                <w:sz w:val="1"/>
                <w:szCs w:val="1"/>
                <w:color w:val="auto"/>
              </w:rPr>
            </w:pPr>
          </w:p>
        </w:tc>
      </w:tr>
      <w:tr>
        <w:trPr>
          <w:trHeight w:val="20"/>
        </w:trPr>
        <w:tc>
          <w:tcPr>
            <w:tcW w:w="6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1"/>
        </w:trPr>
        <w:tc>
          <w:tcPr>
            <w:tcW w:w="61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Cash used for operating activities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4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(1,023,425)</w:t>
            </w:r>
          </w:p>
        </w:tc>
        <w:tc>
          <w:tcPr>
            <w:tcW w:w="5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b w:val="1"/>
                <w:bCs w:val="1"/>
                <w:color w:val="auto"/>
              </w:rPr>
              <w:t>(155,078)</w:t>
            </w:r>
          </w:p>
        </w:tc>
        <w:tc>
          <w:tcPr>
            <w:tcW w:w="0" w:type="dxa"/>
            <w:vAlign w:val="bottom"/>
          </w:tcPr>
          <w:p>
            <w:pPr>
              <w:spacing w:after="0"/>
              <w:rPr>
                <w:sz w:val="1"/>
                <w:szCs w:val="1"/>
                <w:color w:val="auto"/>
              </w:rPr>
            </w:pPr>
          </w:p>
        </w:tc>
      </w:tr>
      <w:tr>
        <w:trPr>
          <w:trHeight w:val="151"/>
        </w:trPr>
        <w:tc>
          <w:tcPr>
            <w:tcW w:w="610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Cash flows from investing activities</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0" w:type="dxa"/>
            <w:vAlign w:val="bottom"/>
            <w:tcBorders>
              <w:top w:val="single" w:sz="8" w:color="auto"/>
            </w:tcBorders>
          </w:tcPr>
          <w:p>
            <w:pPr>
              <w:spacing w:after="0"/>
              <w:rPr>
                <w:sz w:val="13"/>
                <w:szCs w:val="13"/>
                <w:color w:val="auto"/>
              </w:rPr>
            </w:pPr>
          </w:p>
        </w:tc>
        <w:tc>
          <w:tcPr>
            <w:tcW w:w="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61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Additions to property, plant and equipment</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4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(7,452)</w:t>
            </w:r>
          </w:p>
        </w:tc>
        <w:tc>
          <w:tcPr>
            <w:tcW w:w="5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(24,807)</w:t>
            </w:r>
          </w:p>
        </w:tc>
        <w:tc>
          <w:tcPr>
            <w:tcW w:w="0" w:type="dxa"/>
            <w:vAlign w:val="bottom"/>
          </w:tcPr>
          <w:p>
            <w:pPr>
              <w:spacing w:after="0"/>
              <w:rPr>
                <w:sz w:val="1"/>
                <w:szCs w:val="1"/>
                <w:color w:val="auto"/>
              </w:rPr>
            </w:pPr>
          </w:p>
        </w:tc>
      </w:tr>
      <w:tr>
        <w:trPr>
          <w:trHeight w:val="152"/>
        </w:trPr>
        <w:tc>
          <w:tcPr>
            <w:tcW w:w="6100" w:type="dxa"/>
            <w:vAlign w:val="bottom"/>
          </w:tcPr>
          <w:p>
            <w:pPr>
              <w:spacing w:after="0"/>
              <w:rPr>
                <w:sz w:val="20"/>
                <w:szCs w:val="20"/>
                <w:color w:val="auto"/>
              </w:rPr>
            </w:pPr>
            <w:r>
              <w:rPr>
                <w:rFonts w:ascii="Times New Roman" w:cs="Times New Roman" w:eastAsia="Times New Roman" w:hAnsi="Times New Roman"/>
                <w:sz w:val="13"/>
                <w:szCs w:val="13"/>
                <w:color w:val="auto"/>
              </w:rPr>
              <w:t>Additions to intangible assets</w:t>
            </w:r>
          </w:p>
        </w:tc>
        <w:tc>
          <w:tcPr>
            <w:tcW w:w="32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5</w:t>
            </w:r>
          </w:p>
        </w:tc>
        <w:tc>
          <w:tcPr>
            <w:tcW w:w="740" w:type="dxa"/>
            <w:vAlign w:val="bottom"/>
            <w:gridSpan w:val="3"/>
          </w:tcPr>
          <w:p>
            <w:pPr>
              <w:jc w:val="right"/>
              <w:ind w:right="100"/>
              <w:spacing w:after="0"/>
              <w:rPr>
                <w:sz w:val="20"/>
                <w:szCs w:val="20"/>
                <w:color w:val="auto"/>
              </w:rPr>
            </w:pPr>
            <w:r>
              <w:rPr>
                <w:rFonts w:ascii="Times New Roman" w:cs="Times New Roman" w:eastAsia="Times New Roman" w:hAnsi="Times New Roman"/>
                <w:sz w:val="13"/>
                <w:szCs w:val="13"/>
                <w:color w:val="auto"/>
              </w:rPr>
              <w:t>(642,846)</w:t>
            </w:r>
          </w:p>
        </w:tc>
        <w:tc>
          <w:tcPr>
            <w:tcW w:w="58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(47,364)</w:t>
            </w:r>
          </w:p>
        </w:tc>
        <w:tc>
          <w:tcPr>
            <w:tcW w:w="0" w:type="dxa"/>
            <w:vAlign w:val="bottom"/>
          </w:tcPr>
          <w:p>
            <w:pPr>
              <w:spacing w:after="0"/>
              <w:rPr>
                <w:sz w:val="1"/>
                <w:szCs w:val="1"/>
                <w:color w:val="auto"/>
              </w:rPr>
            </w:pPr>
          </w:p>
        </w:tc>
      </w:tr>
      <w:tr>
        <w:trPr>
          <w:trHeight w:val="152"/>
        </w:trPr>
        <w:tc>
          <w:tcPr>
            <w:tcW w:w="61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Additions to other investments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4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(2,480)</w:t>
            </w:r>
          </w:p>
        </w:tc>
        <w:tc>
          <w:tcPr>
            <w:tcW w:w="5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b w:val="1"/>
                <w:bCs w:val="1"/>
                <w:color w:val="auto"/>
              </w:rPr>
              <w:t>—</w:t>
            </w:r>
          </w:p>
        </w:tc>
        <w:tc>
          <w:tcPr>
            <w:tcW w:w="0" w:type="dxa"/>
            <w:vAlign w:val="bottom"/>
          </w:tcPr>
          <w:p>
            <w:pPr>
              <w:spacing w:after="0"/>
              <w:rPr>
                <w:sz w:val="1"/>
                <w:szCs w:val="1"/>
                <w:color w:val="auto"/>
              </w:rPr>
            </w:pPr>
          </w:p>
        </w:tc>
      </w:tr>
      <w:tr>
        <w:trPr>
          <w:trHeight w:val="151"/>
        </w:trPr>
        <w:tc>
          <w:tcPr>
            <w:tcW w:w="610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Cash used for investing activities</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(652,778)</w:t>
            </w:r>
          </w:p>
        </w:tc>
        <w:tc>
          <w:tcPr>
            <w:tcW w:w="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(72,171)</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61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Cash flows from financing activities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5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6100" w:type="dxa"/>
            <w:vAlign w:val="bottom"/>
          </w:tcPr>
          <w:p>
            <w:pPr>
              <w:spacing w:after="0"/>
              <w:rPr>
                <w:sz w:val="20"/>
                <w:szCs w:val="20"/>
                <w:color w:val="auto"/>
              </w:rPr>
            </w:pPr>
            <w:r>
              <w:rPr>
                <w:rFonts w:ascii="Times New Roman" w:cs="Times New Roman" w:eastAsia="Times New Roman" w:hAnsi="Times New Roman"/>
                <w:sz w:val="13"/>
                <w:szCs w:val="13"/>
                <w:color w:val="auto"/>
              </w:rPr>
              <w:t>Change in restricted cash</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40" w:type="dxa"/>
            <w:vAlign w:val="bottom"/>
            <w:gridSpan w:val="3"/>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58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rPr>
              <w:t>50,225</w:t>
            </w:r>
          </w:p>
        </w:tc>
        <w:tc>
          <w:tcPr>
            <w:tcW w:w="0" w:type="dxa"/>
            <w:vAlign w:val="bottom"/>
          </w:tcPr>
          <w:p>
            <w:pPr>
              <w:spacing w:after="0"/>
              <w:rPr>
                <w:sz w:val="1"/>
                <w:szCs w:val="1"/>
                <w:color w:val="auto"/>
              </w:rPr>
            </w:pPr>
          </w:p>
        </w:tc>
      </w:tr>
      <w:tr>
        <w:trPr>
          <w:trHeight w:val="152"/>
        </w:trPr>
        <w:tc>
          <w:tcPr>
            <w:tcW w:w="61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Proceeds from short-term borrowings</w:t>
            </w:r>
          </w:p>
        </w:tc>
        <w:tc>
          <w:tcPr>
            <w:tcW w:w="3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7</w:t>
            </w:r>
          </w:p>
        </w:tc>
        <w:tc>
          <w:tcPr>
            <w:tcW w:w="62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1,555,201</w:t>
            </w:r>
          </w:p>
        </w:tc>
        <w:tc>
          <w:tcPr>
            <w:tcW w:w="120" w:type="dxa"/>
            <w:vAlign w:val="bottom"/>
            <w:shd w:val="clear" w:color="auto" w:fill="CCEEFF"/>
          </w:tcPr>
          <w:p>
            <w:pPr>
              <w:spacing w:after="0"/>
              <w:rPr>
                <w:sz w:val="13"/>
                <w:szCs w:val="13"/>
                <w:color w:val="auto"/>
              </w:rPr>
            </w:pPr>
          </w:p>
        </w:tc>
        <w:tc>
          <w:tcPr>
            <w:tcW w:w="58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3"/>
                <w:szCs w:val="13"/>
                <w:color w:val="auto"/>
              </w:rPr>
              <w:t>250,313</w:t>
            </w:r>
          </w:p>
        </w:tc>
        <w:tc>
          <w:tcPr>
            <w:tcW w:w="0" w:type="dxa"/>
            <w:vAlign w:val="bottom"/>
          </w:tcPr>
          <w:p>
            <w:pPr>
              <w:spacing w:after="0"/>
              <w:rPr>
                <w:sz w:val="1"/>
                <w:szCs w:val="1"/>
                <w:color w:val="auto"/>
              </w:rPr>
            </w:pPr>
          </w:p>
        </w:tc>
      </w:tr>
      <w:tr>
        <w:trPr>
          <w:trHeight w:val="152"/>
        </w:trPr>
        <w:tc>
          <w:tcPr>
            <w:tcW w:w="6100" w:type="dxa"/>
            <w:vAlign w:val="bottom"/>
          </w:tcPr>
          <w:p>
            <w:pPr>
              <w:spacing w:after="0"/>
              <w:rPr>
                <w:sz w:val="20"/>
                <w:szCs w:val="20"/>
                <w:color w:val="auto"/>
              </w:rPr>
            </w:pPr>
            <w:r>
              <w:rPr>
                <w:rFonts w:ascii="Times New Roman" w:cs="Times New Roman" w:eastAsia="Times New Roman" w:hAnsi="Times New Roman"/>
                <w:sz w:val="13"/>
                <w:szCs w:val="13"/>
                <w:color w:val="auto"/>
              </w:rPr>
              <w:t>Principal repayments of short-term borrowings</w:t>
            </w:r>
          </w:p>
        </w:tc>
        <w:tc>
          <w:tcPr>
            <w:tcW w:w="32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7</w:t>
            </w:r>
          </w:p>
        </w:tc>
        <w:tc>
          <w:tcPr>
            <w:tcW w:w="740" w:type="dxa"/>
            <w:vAlign w:val="bottom"/>
            <w:gridSpan w:val="3"/>
          </w:tcPr>
          <w:p>
            <w:pPr>
              <w:jc w:val="right"/>
              <w:ind w:right="100"/>
              <w:spacing w:after="0"/>
              <w:rPr>
                <w:sz w:val="20"/>
                <w:szCs w:val="20"/>
                <w:color w:val="auto"/>
              </w:rPr>
            </w:pPr>
            <w:r>
              <w:rPr>
                <w:rFonts w:ascii="Times New Roman" w:cs="Times New Roman" w:eastAsia="Times New Roman" w:hAnsi="Times New Roman"/>
                <w:sz w:val="13"/>
                <w:szCs w:val="13"/>
                <w:color w:val="auto"/>
              </w:rPr>
              <w:t>(957,186)</w:t>
            </w:r>
          </w:p>
        </w:tc>
        <w:tc>
          <w:tcPr>
            <w:tcW w:w="58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(341,863)</w:t>
            </w:r>
          </w:p>
        </w:tc>
        <w:tc>
          <w:tcPr>
            <w:tcW w:w="0" w:type="dxa"/>
            <w:vAlign w:val="bottom"/>
          </w:tcPr>
          <w:p>
            <w:pPr>
              <w:spacing w:after="0"/>
              <w:rPr>
                <w:sz w:val="1"/>
                <w:szCs w:val="1"/>
                <w:color w:val="auto"/>
              </w:rPr>
            </w:pPr>
          </w:p>
        </w:tc>
      </w:tr>
      <w:tr>
        <w:trPr>
          <w:trHeight w:val="152"/>
        </w:trPr>
        <w:tc>
          <w:tcPr>
            <w:tcW w:w="61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Principal repayments of lease liabilities</w:t>
            </w:r>
          </w:p>
        </w:tc>
        <w:tc>
          <w:tcPr>
            <w:tcW w:w="3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3</w:t>
            </w:r>
          </w:p>
        </w:tc>
        <w:tc>
          <w:tcPr>
            <w:tcW w:w="74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(11,332)</w:t>
            </w:r>
          </w:p>
        </w:tc>
        <w:tc>
          <w:tcPr>
            <w:tcW w:w="5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(4,460)</w:t>
            </w:r>
          </w:p>
        </w:tc>
        <w:tc>
          <w:tcPr>
            <w:tcW w:w="0" w:type="dxa"/>
            <w:vAlign w:val="bottom"/>
          </w:tcPr>
          <w:p>
            <w:pPr>
              <w:spacing w:after="0"/>
              <w:rPr>
                <w:sz w:val="1"/>
                <w:szCs w:val="1"/>
                <w:color w:val="auto"/>
              </w:rPr>
            </w:pPr>
          </w:p>
        </w:tc>
      </w:tr>
      <w:tr>
        <w:trPr>
          <w:trHeight w:val="152"/>
        </w:trPr>
        <w:tc>
          <w:tcPr>
            <w:tcW w:w="6100" w:type="dxa"/>
            <w:vAlign w:val="bottom"/>
          </w:tcPr>
          <w:p>
            <w:pPr>
              <w:spacing w:after="0"/>
              <w:rPr>
                <w:sz w:val="20"/>
                <w:szCs w:val="20"/>
                <w:color w:val="auto"/>
              </w:rPr>
            </w:pPr>
            <w:r>
              <w:rPr>
                <w:rFonts w:ascii="Times New Roman" w:cs="Times New Roman" w:eastAsia="Times New Roman" w:hAnsi="Times New Roman"/>
                <w:sz w:val="13"/>
                <w:szCs w:val="13"/>
                <w:color w:val="auto"/>
              </w:rPr>
              <w:t>Proceeds from the issuance of share capital and other contributed capital</w:t>
            </w:r>
          </w:p>
        </w:tc>
        <w:tc>
          <w:tcPr>
            <w:tcW w:w="32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1</w:t>
            </w:r>
          </w:p>
        </w:tc>
        <w:tc>
          <w:tcPr>
            <w:tcW w:w="62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1,417,973</w:t>
            </w:r>
          </w:p>
        </w:tc>
        <w:tc>
          <w:tcPr>
            <w:tcW w:w="120" w:type="dxa"/>
            <w:vAlign w:val="bottom"/>
          </w:tcPr>
          <w:p>
            <w:pPr>
              <w:spacing w:after="0"/>
              <w:rPr>
                <w:sz w:val="13"/>
                <w:szCs w:val="13"/>
                <w:color w:val="auto"/>
              </w:rPr>
            </w:pPr>
          </w:p>
        </w:tc>
        <w:tc>
          <w:tcPr>
            <w:tcW w:w="58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rPr>
              <w:t>585,231</w:t>
            </w:r>
          </w:p>
        </w:tc>
        <w:tc>
          <w:tcPr>
            <w:tcW w:w="0" w:type="dxa"/>
            <w:vAlign w:val="bottom"/>
          </w:tcPr>
          <w:p>
            <w:pPr>
              <w:spacing w:after="0"/>
              <w:rPr>
                <w:sz w:val="1"/>
                <w:szCs w:val="1"/>
                <w:color w:val="auto"/>
              </w:rPr>
            </w:pPr>
          </w:p>
        </w:tc>
      </w:tr>
      <w:tr>
        <w:trPr>
          <w:trHeight w:val="152"/>
        </w:trPr>
        <w:tc>
          <w:tcPr>
            <w:tcW w:w="61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Transaction costs</w:t>
            </w:r>
          </w:p>
        </w:tc>
        <w:tc>
          <w:tcPr>
            <w:tcW w:w="3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1</w:t>
            </w:r>
          </w:p>
        </w:tc>
        <w:tc>
          <w:tcPr>
            <w:tcW w:w="74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(38,903)</w:t>
            </w:r>
          </w:p>
        </w:tc>
        <w:tc>
          <w:tcPr>
            <w:tcW w:w="5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(2,843)</w:t>
            </w:r>
          </w:p>
        </w:tc>
        <w:tc>
          <w:tcPr>
            <w:tcW w:w="0" w:type="dxa"/>
            <w:vAlign w:val="bottom"/>
          </w:tcPr>
          <w:p>
            <w:pPr>
              <w:spacing w:after="0"/>
              <w:rPr>
                <w:sz w:val="1"/>
                <w:szCs w:val="1"/>
                <w:color w:val="auto"/>
              </w:rPr>
            </w:pPr>
          </w:p>
        </w:tc>
      </w:tr>
      <w:tr>
        <w:trPr>
          <w:trHeight w:val="151"/>
        </w:trPr>
        <w:tc>
          <w:tcPr>
            <w:tcW w:w="610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Cash provided by financing activities</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1,965,753</w:t>
            </w:r>
          </w:p>
        </w:tc>
        <w:tc>
          <w:tcPr>
            <w:tcW w:w="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536,603</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61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Effect of foreign exchange rate changes on cash and cash equivalents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4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(57,968)</w:t>
            </w:r>
          </w:p>
        </w:tc>
        <w:tc>
          <w:tcPr>
            <w:tcW w:w="5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(18,706)</w:t>
            </w:r>
          </w:p>
        </w:tc>
        <w:tc>
          <w:tcPr>
            <w:tcW w:w="0" w:type="dxa"/>
            <w:vAlign w:val="bottom"/>
          </w:tcPr>
          <w:p>
            <w:pPr>
              <w:spacing w:after="0"/>
              <w:rPr>
                <w:sz w:val="1"/>
                <w:szCs w:val="1"/>
                <w:color w:val="auto"/>
              </w:rPr>
            </w:pPr>
          </w:p>
        </w:tc>
      </w:tr>
      <w:tr>
        <w:trPr>
          <w:trHeight w:val="151"/>
        </w:trPr>
        <w:tc>
          <w:tcPr>
            <w:tcW w:w="610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Net increase in cash and cash equivalents</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231,582</w:t>
            </w:r>
          </w:p>
        </w:tc>
        <w:tc>
          <w:tcPr>
            <w:tcW w:w="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290,648</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610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b w:val="1"/>
                <w:bCs w:val="1"/>
                <w:color w:val="auto"/>
              </w:rPr>
              <w:t>Cash and cash equivalents at beginning of period</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2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b w:val="1"/>
                <w:bCs w:val="1"/>
                <w:color w:val="auto"/>
              </w:rPr>
              <w:t>756,677</w:t>
            </w:r>
          </w:p>
        </w:tc>
        <w:tc>
          <w:tcPr>
            <w:tcW w:w="120" w:type="dxa"/>
            <w:vAlign w:val="bottom"/>
            <w:shd w:val="clear" w:color="auto" w:fill="CCEEFF"/>
          </w:tcPr>
          <w:p>
            <w:pPr>
              <w:spacing w:after="0"/>
              <w:rPr>
                <w:sz w:val="13"/>
                <w:szCs w:val="13"/>
                <w:color w:val="auto"/>
              </w:rPr>
            </w:pPr>
          </w:p>
        </w:tc>
        <w:tc>
          <w:tcPr>
            <w:tcW w:w="58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3"/>
                <w:szCs w:val="13"/>
                <w:b w:val="1"/>
                <w:bCs w:val="1"/>
                <w:color w:val="auto"/>
              </w:rPr>
              <w:t>316,424</w:t>
            </w:r>
          </w:p>
        </w:tc>
        <w:tc>
          <w:tcPr>
            <w:tcW w:w="0" w:type="dxa"/>
            <w:vAlign w:val="bottom"/>
          </w:tcPr>
          <w:p>
            <w:pPr>
              <w:spacing w:after="0"/>
              <w:rPr>
                <w:sz w:val="1"/>
                <w:szCs w:val="1"/>
                <w:color w:val="auto"/>
              </w:rPr>
            </w:pPr>
          </w:p>
        </w:tc>
      </w:tr>
      <w:tr>
        <w:trPr>
          <w:trHeight w:val="151"/>
        </w:trPr>
        <w:tc>
          <w:tcPr>
            <w:tcW w:w="6100" w:type="dxa"/>
            <w:vAlign w:val="bottom"/>
          </w:tcPr>
          <w:p>
            <w:pPr>
              <w:ind w:left="260"/>
              <w:spacing w:after="0"/>
              <w:rPr>
                <w:sz w:val="20"/>
                <w:szCs w:val="20"/>
                <w:color w:val="auto"/>
              </w:rPr>
            </w:pPr>
            <w:r>
              <w:rPr>
                <w:rFonts w:ascii="Times New Roman" w:cs="Times New Roman" w:eastAsia="Times New Roman" w:hAnsi="Times New Roman"/>
                <w:sz w:val="13"/>
                <w:szCs w:val="13"/>
                <w:b w:val="1"/>
                <w:bCs w:val="1"/>
                <w:color w:val="auto"/>
              </w:rPr>
              <w:t>Cash and cash equivalents at end of period</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988,259</w:t>
            </w:r>
          </w:p>
        </w:tc>
        <w:tc>
          <w:tcPr>
            <w:tcW w:w="20" w:type="dxa"/>
            <w:vAlign w:val="bottom"/>
            <w:tcBorders>
              <w:bottom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607,072</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14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The accompanying notes are an integral part of these Unaudited Condensed Consolidated Financial Statements.</w:t>
      </w:r>
    </w:p>
    <w:p>
      <w:pPr>
        <w:spacing w:after="0" w:line="10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6</w:t>
      </w:r>
    </w:p>
    <w:p>
      <w:pPr>
        <w:sectPr>
          <w:pgSz w:w="11900" w:h="16838" w:orient="portrait"/>
          <w:cols w:equalWidth="0" w:num="1">
            <w:col w:w="9019"/>
          </w:cols>
          <w:pgMar w:left="1440" w:top="231" w:right="1440" w:bottom="1440" w:gutter="0" w:footer="0" w:header="0"/>
        </w:sectPr>
      </w:pPr>
    </w:p>
    <w:bookmarkStart w:id="63" w:name="page64"/>
    <w:bookmarkEnd w:id="63"/>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10425" cy="30480"/>
                    </a:xfrm>
                    <a:prstGeom prst="rect">
                      <a:avLst/>
                    </a:prstGeom>
                    <a:noFill/>
                  </pic:spPr>
                </pic:pic>
              </a:graphicData>
            </a:graphic>
          </wp:anchor>
        </w:drawing>
        <w:t>The Polestar Group</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Unaudited Condensed Consolidated Statement of Changes in Equity</w:t>
      </w:r>
    </w:p>
    <w:p>
      <w:pPr>
        <w:spacing w:after="0" w:line="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145" w:lineRule="exact"/>
        <w:rPr>
          <w:sz w:val="20"/>
          <w:szCs w:val="20"/>
          <w:color w:val="auto"/>
        </w:rPr>
      </w:pPr>
    </w:p>
    <w:tbl>
      <w:tblPr>
        <w:tblLayout w:type="fixed"/>
        <w:tblInd w:w="640" w:type="dxa"/>
        <w:tblCellMar>
          <w:top w:w="0" w:type="dxa"/>
          <w:left w:w="0" w:type="dxa"/>
          <w:bottom w:w="0" w:type="dxa"/>
          <w:right w:w="0" w:type="dxa"/>
        </w:tblCellMar>
      </w:tblPr>
      <w:tr>
        <w:trPr>
          <w:trHeight w:val="115"/>
        </w:trPr>
        <w:tc>
          <w:tcPr>
            <w:tcW w:w="40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40" w:type="dxa"/>
            <w:vAlign w:val="bottom"/>
            <w:gridSpan w:val="2"/>
            <w:vMerge w:val="restart"/>
          </w:tcPr>
          <w:p>
            <w:pPr>
              <w:jc w:val="right"/>
              <w:ind w:right="320"/>
              <w:spacing w:after="0"/>
              <w:rPr>
                <w:sz w:val="20"/>
                <w:szCs w:val="20"/>
                <w:color w:val="auto"/>
              </w:rPr>
            </w:pPr>
            <w:r>
              <w:rPr>
                <w:rFonts w:ascii="Times New Roman" w:cs="Times New Roman" w:eastAsia="Times New Roman" w:hAnsi="Times New Roman"/>
                <w:sz w:val="10"/>
                <w:szCs w:val="10"/>
                <w:b w:val="1"/>
                <w:bCs w:val="1"/>
                <w:color w:val="auto"/>
              </w:rPr>
              <w:t>Share</w:t>
            </w:r>
          </w:p>
        </w:tc>
        <w:tc>
          <w:tcPr>
            <w:tcW w:w="660" w:type="dxa"/>
            <w:vAlign w:val="bottom"/>
            <w:gridSpan w:val="2"/>
          </w:tcPr>
          <w:p>
            <w:pPr>
              <w:jc w:val="center"/>
              <w:ind w:right="120"/>
              <w:spacing w:after="0"/>
              <w:rPr>
                <w:sz w:val="20"/>
                <w:szCs w:val="20"/>
                <w:color w:val="auto"/>
              </w:rPr>
            </w:pPr>
            <w:r>
              <w:rPr>
                <w:rFonts w:ascii="Times New Roman" w:cs="Times New Roman" w:eastAsia="Times New Roman" w:hAnsi="Times New Roman"/>
                <w:sz w:val="10"/>
                <w:szCs w:val="10"/>
                <w:b w:val="1"/>
                <w:bCs w:val="1"/>
                <w:color w:val="auto"/>
              </w:rPr>
              <w:t>Other</w:t>
            </w:r>
          </w:p>
        </w:tc>
        <w:tc>
          <w:tcPr>
            <w:tcW w:w="620" w:type="dxa"/>
            <w:vAlign w:val="bottom"/>
            <w:gridSpan w:val="2"/>
          </w:tcPr>
          <w:p>
            <w:pPr>
              <w:jc w:val="center"/>
              <w:ind w:right="160"/>
              <w:spacing w:after="0"/>
              <w:rPr>
                <w:sz w:val="20"/>
                <w:szCs w:val="20"/>
                <w:color w:val="auto"/>
              </w:rPr>
            </w:pPr>
            <w:r>
              <w:rPr>
                <w:rFonts w:ascii="Times New Roman" w:cs="Times New Roman" w:eastAsia="Times New Roman" w:hAnsi="Times New Roman"/>
                <w:sz w:val="10"/>
                <w:szCs w:val="10"/>
                <w:b w:val="1"/>
                <w:bCs w:val="1"/>
                <w:color w:val="auto"/>
              </w:rPr>
              <w:t>Currency</w:t>
            </w:r>
          </w:p>
        </w:tc>
        <w:tc>
          <w:tcPr>
            <w:tcW w:w="740" w:type="dxa"/>
            <w:vAlign w:val="bottom"/>
            <w:gridSpan w:val="2"/>
            <w:vMerge w:val="restart"/>
          </w:tcPr>
          <w:p>
            <w:pPr>
              <w:jc w:val="right"/>
              <w:ind w:right="160"/>
              <w:spacing w:after="0"/>
              <w:rPr>
                <w:sz w:val="20"/>
                <w:szCs w:val="20"/>
                <w:color w:val="auto"/>
              </w:rPr>
            </w:pPr>
            <w:r>
              <w:rPr>
                <w:rFonts w:ascii="Times New Roman" w:cs="Times New Roman" w:eastAsia="Times New Roman" w:hAnsi="Times New Roman"/>
                <w:sz w:val="10"/>
                <w:szCs w:val="10"/>
                <w:b w:val="1"/>
                <w:bCs w:val="1"/>
                <w:color w:val="auto"/>
                <w:w w:val="98"/>
              </w:rPr>
              <w:t>Accumulated</w:t>
            </w:r>
          </w:p>
        </w:tc>
        <w:tc>
          <w:tcPr>
            <w:tcW w:w="5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4"/>
        </w:trPr>
        <w:tc>
          <w:tcPr>
            <w:tcW w:w="4080" w:type="dxa"/>
            <w:vAlign w:val="bottom"/>
          </w:tcPr>
          <w:p>
            <w:pPr>
              <w:spacing w:after="0"/>
              <w:rPr>
                <w:sz w:val="9"/>
                <w:szCs w:val="9"/>
                <w:color w:val="auto"/>
              </w:rPr>
            </w:pPr>
          </w:p>
        </w:tc>
        <w:tc>
          <w:tcPr>
            <w:tcW w:w="320" w:type="dxa"/>
            <w:vAlign w:val="bottom"/>
            <w:gridSpan w:val="2"/>
            <w:vMerge w:val="restart"/>
          </w:tcPr>
          <w:p>
            <w:pPr>
              <w:jc w:val="right"/>
              <w:ind w:right="120"/>
              <w:spacing w:after="0"/>
              <w:rPr>
                <w:sz w:val="20"/>
                <w:szCs w:val="20"/>
                <w:color w:val="auto"/>
              </w:rPr>
            </w:pPr>
            <w:r>
              <w:rPr>
                <w:rFonts w:ascii="Times New Roman" w:cs="Times New Roman" w:eastAsia="Times New Roman" w:hAnsi="Times New Roman"/>
                <w:sz w:val="10"/>
                <w:szCs w:val="10"/>
                <w:b w:val="1"/>
                <w:bCs w:val="1"/>
                <w:color w:val="auto"/>
                <w:w w:val="89"/>
              </w:rPr>
              <w:t>Note</w:t>
            </w:r>
          </w:p>
        </w:tc>
        <w:tc>
          <w:tcPr>
            <w:tcW w:w="740" w:type="dxa"/>
            <w:vAlign w:val="bottom"/>
            <w:gridSpan w:val="2"/>
            <w:vMerge w:val="continue"/>
          </w:tcPr>
          <w:p>
            <w:pPr>
              <w:spacing w:after="0"/>
              <w:rPr>
                <w:sz w:val="9"/>
                <w:szCs w:val="9"/>
                <w:color w:val="auto"/>
              </w:rPr>
            </w:pPr>
          </w:p>
        </w:tc>
        <w:tc>
          <w:tcPr>
            <w:tcW w:w="660" w:type="dxa"/>
            <w:vAlign w:val="bottom"/>
            <w:gridSpan w:val="2"/>
          </w:tcPr>
          <w:p>
            <w:pPr>
              <w:jc w:val="center"/>
              <w:ind w:right="120"/>
              <w:spacing w:after="0" w:line="104" w:lineRule="exact"/>
              <w:rPr>
                <w:sz w:val="20"/>
                <w:szCs w:val="20"/>
                <w:color w:val="auto"/>
              </w:rPr>
            </w:pPr>
            <w:r>
              <w:rPr>
                <w:rFonts w:ascii="Times New Roman" w:cs="Times New Roman" w:eastAsia="Times New Roman" w:hAnsi="Times New Roman"/>
                <w:sz w:val="10"/>
                <w:szCs w:val="10"/>
                <w:b w:val="1"/>
                <w:bCs w:val="1"/>
                <w:color w:val="auto"/>
                <w:w w:val="99"/>
              </w:rPr>
              <w:t>contributed</w:t>
            </w:r>
          </w:p>
        </w:tc>
        <w:tc>
          <w:tcPr>
            <w:tcW w:w="620" w:type="dxa"/>
            <w:vAlign w:val="bottom"/>
            <w:gridSpan w:val="2"/>
          </w:tcPr>
          <w:p>
            <w:pPr>
              <w:jc w:val="center"/>
              <w:ind w:right="140"/>
              <w:spacing w:after="0" w:line="104" w:lineRule="exact"/>
              <w:rPr>
                <w:sz w:val="20"/>
                <w:szCs w:val="20"/>
                <w:color w:val="auto"/>
              </w:rPr>
            </w:pPr>
            <w:r>
              <w:rPr>
                <w:rFonts w:ascii="Times New Roman" w:cs="Times New Roman" w:eastAsia="Times New Roman" w:hAnsi="Times New Roman"/>
                <w:sz w:val="10"/>
                <w:szCs w:val="10"/>
                <w:b w:val="1"/>
                <w:bCs w:val="1"/>
                <w:color w:val="auto"/>
              </w:rPr>
              <w:t>translation</w:t>
            </w:r>
          </w:p>
        </w:tc>
        <w:tc>
          <w:tcPr>
            <w:tcW w:w="740" w:type="dxa"/>
            <w:vAlign w:val="bottom"/>
            <w:gridSpan w:val="2"/>
            <w:vMerge w:val="continue"/>
          </w:tcPr>
          <w:p>
            <w:pPr>
              <w:spacing w:after="0"/>
              <w:rPr>
                <w:sz w:val="9"/>
                <w:szCs w:val="9"/>
                <w:color w:val="auto"/>
              </w:rPr>
            </w:pPr>
          </w:p>
        </w:tc>
        <w:tc>
          <w:tcPr>
            <w:tcW w:w="580" w:type="dxa"/>
            <w:vAlign w:val="bottom"/>
            <w:gridSpan w:val="2"/>
            <w:vMerge w:val="restart"/>
          </w:tcPr>
          <w:p>
            <w:pPr>
              <w:jc w:val="right"/>
              <w:ind w:right="178"/>
              <w:spacing w:after="0"/>
              <w:rPr>
                <w:sz w:val="20"/>
                <w:szCs w:val="20"/>
                <w:color w:val="auto"/>
              </w:rPr>
            </w:pPr>
            <w:r>
              <w:rPr>
                <w:rFonts w:ascii="Times New Roman" w:cs="Times New Roman" w:eastAsia="Times New Roman" w:hAnsi="Times New Roman"/>
                <w:sz w:val="10"/>
                <w:szCs w:val="10"/>
                <w:b w:val="1"/>
                <w:bCs w:val="1"/>
                <w:color w:val="auto"/>
              </w:rPr>
              <w:t>Total</w:t>
            </w:r>
          </w:p>
        </w:tc>
        <w:tc>
          <w:tcPr>
            <w:tcW w:w="0" w:type="dxa"/>
            <w:vAlign w:val="bottom"/>
          </w:tcPr>
          <w:p>
            <w:pPr>
              <w:spacing w:after="0"/>
              <w:rPr>
                <w:sz w:val="1"/>
                <w:szCs w:val="1"/>
                <w:color w:val="auto"/>
              </w:rPr>
            </w:pPr>
          </w:p>
        </w:tc>
      </w:tr>
      <w:tr>
        <w:trPr>
          <w:trHeight w:val="121"/>
        </w:trPr>
        <w:tc>
          <w:tcPr>
            <w:tcW w:w="4080" w:type="dxa"/>
            <w:vAlign w:val="bottom"/>
          </w:tcPr>
          <w:p>
            <w:pPr>
              <w:spacing w:after="0"/>
              <w:rPr>
                <w:sz w:val="10"/>
                <w:szCs w:val="10"/>
                <w:color w:val="auto"/>
              </w:rPr>
            </w:pPr>
          </w:p>
        </w:tc>
        <w:tc>
          <w:tcPr>
            <w:tcW w:w="320" w:type="dxa"/>
            <w:vAlign w:val="bottom"/>
            <w:gridSpan w:val="2"/>
            <w:vMerge w:val="continue"/>
          </w:tcPr>
          <w:p>
            <w:pPr>
              <w:spacing w:after="0"/>
              <w:rPr>
                <w:sz w:val="10"/>
                <w:szCs w:val="10"/>
                <w:color w:val="auto"/>
              </w:rPr>
            </w:pPr>
          </w:p>
        </w:tc>
        <w:tc>
          <w:tcPr>
            <w:tcW w:w="740" w:type="dxa"/>
            <w:vAlign w:val="bottom"/>
            <w:gridSpan w:val="2"/>
          </w:tcPr>
          <w:p>
            <w:pPr>
              <w:jc w:val="right"/>
              <w:ind w:right="300"/>
              <w:spacing w:after="0"/>
              <w:rPr>
                <w:sz w:val="20"/>
                <w:szCs w:val="20"/>
                <w:color w:val="auto"/>
              </w:rPr>
            </w:pPr>
            <w:r>
              <w:rPr>
                <w:rFonts w:ascii="Times New Roman" w:cs="Times New Roman" w:eastAsia="Times New Roman" w:hAnsi="Times New Roman"/>
                <w:sz w:val="10"/>
                <w:szCs w:val="10"/>
                <w:b w:val="1"/>
                <w:bCs w:val="1"/>
                <w:color w:val="auto"/>
              </w:rPr>
              <w:t>capital</w:t>
            </w:r>
          </w:p>
        </w:tc>
        <w:tc>
          <w:tcPr>
            <w:tcW w:w="660" w:type="dxa"/>
            <w:vAlign w:val="bottom"/>
            <w:gridSpan w:val="2"/>
          </w:tcPr>
          <w:p>
            <w:pPr>
              <w:jc w:val="center"/>
              <w:ind w:right="120"/>
              <w:spacing w:after="0"/>
              <w:rPr>
                <w:sz w:val="20"/>
                <w:szCs w:val="20"/>
                <w:color w:val="auto"/>
              </w:rPr>
            </w:pPr>
            <w:r>
              <w:rPr>
                <w:rFonts w:ascii="Times New Roman" w:cs="Times New Roman" w:eastAsia="Times New Roman" w:hAnsi="Times New Roman"/>
                <w:sz w:val="10"/>
                <w:szCs w:val="10"/>
                <w:b w:val="1"/>
                <w:bCs w:val="1"/>
                <w:color w:val="auto"/>
              </w:rPr>
              <w:t>capital</w:t>
            </w:r>
          </w:p>
        </w:tc>
        <w:tc>
          <w:tcPr>
            <w:tcW w:w="620" w:type="dxa"/>
            <w:vAlign w:val="bottom"/>
            <w:gridSpan w:val="2"/>
          </w:tcPr>
          <w:p>
            <w:pPr>
              <w:jc w:val="center"/>
              <w:ind w:right="140"/>
              <w:spacing w:after="0"/>
              <w:rPr>
                <w:sz w:val="20"/>
                <w:szCs w:val="20"/>
                <w:color w:val="auto"/>
              </w:rPr>
            </w:pPr>
            <w:r>
              <w:rPr>
                <w:rFonts w:ascii="Times New Roman" w:cs="Times New Roman" w:eastAsia="Times New Roman" w:hAnsi="Times New Roman"/>
                <w:sz w:val="10"/>
                <w:szCs w:val="10"/>
                <w:b w:val="1"/>
                <w:bCs w:val="1"/>
                <w:color w:val="auto"/>
              </w:rPr>
              <w:t>reserve</w:t>
            </w:r>
          </w:p>
        </w:tc>
        <w:tc>
          <w:tcPr>
            <w:tcW w:w="740" w:type="dxa"/>
            <w:vAlign w:val="bottom"/>
            <w:gridSpan w:val="2"/>
          </w:tcPr>
          <w:p>
            <w:pPr>
              <w:jc w:val="right"/>
              <w:ind w:right="300"/>
              <w:spacing w:after="0"/>
              <w:rPr>
                <w:sz w:val="20"/>
                <w:szCs w:val="20"/>
                <w:color w:val="auto"/>
              </w:rPr>
            </w:pPr>
            <w:r>
              <w:rPr>
                <w:rFonts w:ascii="Times New Roman" w:cs="Times New Roman" w:eastAsia="Times New Roman" w:hAnsi="Times New Roman"/>
                <w:sz w:val="10"/>
                <w:szCs w:val="10"/>
                <w:b w:val="1"/>
                <w:bCs w:val="1"/>
                <w:color w:val="auto"/>
              </w:rPr>
              <w:t>deficit</w:t>
            </w:r>
          </w:p>
        </w:tc>
        <w:tc>
          <w:tcPr>
            <w:tcW w:w="580" w:type="dxa"/>
            <w:vAlign w:val="bottom"/>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41"/>
        </w:trPr>
        <w:tc>
          <w:tcPr>
            <w:tcW w:w="4080" w:type="dxa"/>
            <w:vAlign w:val="bottom"/>
            <w:tcBorders>
              <w:top w:val="single" w:sz="8" w:color="CCEEFF"/>
            </w:tcBorders>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Balance as of December 31, 2020</w:t>
            </w:r>
          </w:p>
        </w:tc>
        <w:tc>
          <w:tcPr>
            <w:tcW w:w="200" w:type="dxa"/>
            <w:vAlign w:val="bottom"/>
            <w:tcBorders>
              <w:top w:val="single" w:sz="8" w:color="auto"/>
            </w:tcBorders>
            <w:shd w:val="clear" w:color="auto" w:fill="CCEEFF"/>
          </w:tcPr>
          <w:p>
            <w:pPr>
              <w:spacing w:after="0"/>
              <w:rPr>
                <w:sz w:val="12"/>
                <w:szCs w:val="12"/>
                <w:color w:val="auto"/>
              </w:rPr>
            </w:pPr>
          </w:p>
        </w:tc>
        <w:tc>
          <w:tcPr>
            <w:tcW w:w="120" w:type="dxa"/>
            <w:vAlign w:val="bottom"/>
            <w:tcBorders>
              <w:top w:val="single" w:sz="8" w:color="CCEEFF"/>
            </w:tcBorders>
            <w:shd w:val="clear" w:color="auto" w:fill="CCEEFF"/>
          </w:tcPr>
          <w:p>
            <w:pPr>
              <w:spacing w:after="0"/>
              <w:rPr>
                <w:sz w:val="12"/>
                <w:szCs w:val="12"/>
                <w:color w:val="auto"/>
              </w:rPr>
            </w:pPr>
          </w:p>
        </w:tc>
        <w:tc>
          <w:tcPr>
            <w:tcW w:w="58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1,318,752</w:t>
            </w:r>
          </w:p>
        </w:tc>
        <w:tc>
          <w:tcPr>
            <w:tcW w:w="160" w:type="dxa"/>
            <w:vAlign w:val="bottom"/>
            <w:tcBorders>
              <w:top w:val="single" w:sz="8" w:color="CCEEFF"/>
            </w:tcBorders>
            <w:shd w:val="clear" w:color="auto" w:fill="CCEEFF"/>
          </w:tcPr>
          <w:p>
            <w:pPr>
              <w:spacing w:after="0"/>
              <w:rPr>
                <w:sz w:val="12"/>
                <w:szCs w:val="12"/>
                <w:color w:val="auto"/>
              </w:rPr>
            </w:pPr>
          </w:p>
        </w:tc>
        <w:tc>
          <w:tcPr>
            <w:tcW w:w="54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w:t>
            </w:r>
          </w:p>
        </w:tc>
        <w:tc>
          <w:tcPr>
            <w:tcW w:w="120" w:type="dxa"/>
            <w:vAlign w:val="bottom"/>
            <w:tcBorders>
              <w:top w:val="single" w:sz="8" w:color="CCEEFF"/>
            </w:tcBorders>
            <w:shd w:val="clear" w:color="auto" w:fill="CCEEFF"/>
          </w:tcPr>
          <w:p>
            <w:pPr>
              <w:spacing w:after="0"/>
              <w:rPr>
                <w:sz w:val="12"/>
                <w:szCs w:val="12"/>
                <w:color w:val="auto"/>
              </w:rPr>
            </w:pPr>
          </w:p>
        </w:tc>
        <w:tc>
          <w:tcPr>
            <w:tcW w:w="48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16,365</w:t>
            </w:r>
          </w:p>
        </w:tc>
        <w:tc>
          <w:tcPr>
            <w:tcW w:w="140" w:type="dxa"/>
            <w:vAlign w:val="bottom"/>
            <w:tcBorders>
              <w:top w:val="single" w:sz="8" w:color="CCEEFF"/>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(754,406)</w:t>
            </w:r>
          </w:p>
        </w:tc>
        <w:tc>
          <w:tcPr>
            <w:tcW w:w="140" w:type="dxa"/>
            <w:vAlign w:val="bottom"/>
            <w:tcBorders>
              <w:top w:val="single" w:sz="8" w:color="CCEEFF"/>
            </w:tcBorders>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580,711</w:t>
            </w:r>
          </w:p>
        </w:tc>
        <w:tc>
          <w:tcPr>
            <w:tcW w:w="8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2"/>
        </w:trPr>
        <w:tc>
          <w:tcPr>
            <w:tcW w:w="4080" w:type="dxa"/>
            <w:vAlign w:val="bottom"/>
          </w:tcPr>
          <w:p>
            <w:pPr>
              <w:spacing w:after="0"/>
              <w:rPr>
                <w:sz w:val="20"/>
                <w:szCs w:val="20"/>
                <w:color w:val="auto"/>
              </w:rPr>
            </w:pPr>
            <w:r>
              <w:rPr>
                <w:rFonts w:ascii="Times New Roman" w:cs="Times New Roman" w:eastAsia="Times New Roman" w:hAnsi="Times New Roman"/>
                <w:sz w:val="13"/>
                <w:szCs w:val="13"/>
                <w:color w:val="auto"/>
              </w:rPr>
              <w:t>Net loss</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40" w:type="dxa"/>
            <w:vAlign w:val="bottom"/>
            <w:gridSpan w:val="2"/>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66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w:t>
            </w:r>
          </w:p>
        </w:tc>
        <w:tc>
          <w:tcPr>
            <w:tcW w:w="620" w:type="dxa"/>
            <w:vAlign w:val="bottom"/>
            <w:gridSpan w:val="2"/>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74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(670,668)</w:t>
            </w: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(670,668)</w:t>
            </w:r>
          </w:p>
        </w:tc>
        <w:tc>
          <w:tcPr>
            <w:tcW w:w="0" w:type="dxa"/>
            <w:vAlign w:val="bottom"/>
          </w:tcPr>
          <w:p>
            <w:pPr>
              <w:spacing w:after="0"/>
              <w:rPr>
                <w:sz w:val="1"/>
                <w:szCs w:val="1"/>
                <w:color w:val="auto"/>
              </w:rPr>
            </w:pPr>
          </w:p>
        </w:tc>
      </w:tr>
      <w:tr>
        <w:trPr>
          <w:trHeight w:val="152"/>
        </w:trPr>
        <w:tc>
          <w:tcPr>
            <w:tcW w:w="40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Other comprehensive loss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4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66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w:t>
            </w:r>
          </w:p>
        </w:tc>
        <w:tc>
          <w:tcPr>
            <w:tcW w:w="6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(29,257)</w:t>
            </w:r>
          </w:p>
        </w:tc>
        <w:tc>
          <w:tcPr>
            <w:tcW w:w="74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(29,257)</w:t>
            </w:r>
          </w:p>
        </w:tc>
        <w:tc>
          <w:tcPr>
            <w:tcW w:w="0" w:type="dxa"/>
            <w:vAlign w:val="bottom"/>
          </w:tcPr>
          <w:p>
            <w:pPr>
              <w:spacing w:after="0"/>
              <w:rPr>
                <w:sz w:val="1"/>
                <w:szCs w:val="1"/>
                <w:color w:val="auto"/>
              </w:rPr>
            </w:pPr>
          </w:p>
        </w:tc>
      </w:tr>
      <w:tr>
        <w:trPr>
          <w:trHeight w:val="151"/>
        </w:trPr>
        <w:tc>
          <w:tcPr>
            <w:tcW w:w="408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Total comprehensive loss</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w:t>
            </w:r>
          </w:p>
        </w:tc>
        <w:tc>
          <w:tcPr>
            <w:tcW w:w="160" w:type="dxa"/>
            <w:vAlign w:val="bottom"/>
          </w:tcPr>
          <w:p>
            <w:pPr>
              <w:spacing w:after="0"/>
              <w:rPr>
                <w:sz w:val="13"/>
                <w:szCs w:val="13"/>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w:t>
            </w:r>
          </w:p>
        </w:tc>
        <w:tc>
          <w:tcPr>
            <w:tcW w:w="120" w:type="dxa"/>
            <w:vAlign w:val="bottom"/>
          </w:tcPr>
          <w:p>
            <w:pPr>
              <w:spacing w:after="0"/>
              <w:rPr>
                <w:sz w:val="13"/>
                <w:szCs w:val="13"/>
                <w:color w:val="auto"/>
              </w:rPr>
            </w:pPr>
          </w:p>
        </w:tc>
        <w:tc>
          <w:tcPr>
            <w:tcW w:w="4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(29,257)</w:t>
            </w:r>
          </w:p>
        </w:tc>
        <w:tc>
          <w:tcPr>
            <w:tcW w:w="140" w:type="dxa"/>
            <w:vAlign w:val="bottom"/>
          </w:tcPr>
          <w:p>
            <w:pPr>
              <w:spacing w:after="0"/>
              <w:rPr>
                <w:sz w:val="13"/>
                <w:szCs w:val="13"/>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(670,668)</w:t>
            </w:r>
          </w:p>
        </w:tc>
        <w:tc>
          <w:tcPr>
            <w:tcW w:w="140" w:type="dxa"/>
            <w:vAlign w:val="bottom"/>
          </w:tcPr>
          <w:p>
            <w:pPr>
              <w:spacing w:after="0"/>
              <w:rPr>
                <w:sz w:val="13"/>
                <w:szCs w:val="13"/>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(699,925</w:t>
            </w:r>
          </w:p>
        </w:tc>
        <w:tc>
          <w:tcPr>
            <w:tcW w:w="80" w:type="dxa"/>
            <w:vAlign w:val="bottom"/>
          </w:tcPr>
          <w:p>
            <w:pPr>
              <w:jc w:val="right"/>
              <w:spacing w:after="0"/>
              <w:rPr>
                <w:sz w:val="20"/>
                <w:szCs w:val="20"/>
                <w:color w:val="auto"/>
              </w:rPr>
            </w:pPr>
            <w:r>
              <w:rPr>
                <w:rFonts w:ascii="Times New Roman" w:cs="Times New Roman" w:eastAsia="Times New Roman" w:hAnsi="Times New Roman"/>
                <w:sz w:val="8"/>
                <w:szCs w:val="8"/>
                <w:b w:val="1"/>
                <w:bCs w:val="1"/>
                <w:color w:val="auto"/>
                <w:w w:val="73"/>
              </w:rPr>
              <w:t>)</w:t>
            </w:r>
          </w:p>
        </w:tc>
        <w:tc>
          <w:tcPr>
            <w:tcW w:w="0" w:type="dxa"/>
            <w:vAlign w:val="bottom"/>
          </w:tcPr>
          <w:p>
            <w:pPr>
              <w:spacing w:after="0"/>
              <w:rPr>
                <w:sz w:val="1"/>
                <w:szCs w:val="1"/>
                <w:color w:val="auto"/>
              </w:rPr>
            </w:pPr>
          </w:p>
        </w:tc>
      </w:tr>
      <w:tr>
        <w:trPr>
          <w:trHeight w:val="151"/>
        </w:trPr>
        <w:tc>
          <w:tcPr>
            <w:tcW w:w="40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Shareholders’ contribution</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4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6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35,231</w:t>
            </w:r>
          </w:p>
        </w:tc>
        <w:tc>
          <w:tcPr>
            <w:tcW w:w="62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74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580" w:type="dxa"/>
            <w:vAlign w:val="bottom"/>
            <w:gridSpan w:val="2"/>
            <w:shd w:val="clear" w:color="auto" w:fill="CCEEFF"/>
          </w:tcPr>
          <w:p>
            <w:pPr>
              <w:jc w:val="right"/>
              <w:ind w:right="38"/>
              <w:spacing w:after="0"/>
              <w:rPr>
                <w:sz w:val="20"/>
                <w:szCs w:val="20"/>
                <w:color w:val="auto"/>
              </w:rPr>
            </w:pPr>
            <w:r>
              <w:rPr>
                <w:rFonts w:ascii="Times New Roman" w:cs="Times New Roman" w:eastAsia="Times New Roman" w:hAnsi="Times New Roman"/>
                <w:sz w:val="13"/>
                <w:szCs w:val="13"/>
                <w:color w:val="auto"/>
              </w:rPr>
              <w:t>35,231</w:t>
            </w:r>
          </w:p>
        </w:tc>
        <w:tc>
          <w:tcPr>
            <w:tcW w:w="0" w:type="dxa"/>
            <w:vAlign w:val="bottom"/>
          </w:tcPr>
          <w:p>
            <w:pPr>
              <w:spacing w:after="0"/>
              <w:rPr>
                <w:sz w:val="1"/>
                <w:szCs w:val="1"/>
                <w:color w:val="auto"/>
              </w:rPr>
            </w:pPr>
          </w:p>
        </w:tc>
      </w:tr>
      <w:tr>
        <w:trPr>
          <w:trHeight w:val="152"/>
        </w:trPr>
        <w:tc>
          <w:tcPr>
            <w:tcW w:w="4080" w:type="dxa"/>
            <w:vAlign w:val="bottom"/>
          </w:tcPr>
          <w:p>
            <w:pPr>
              <w:spacing w:after="0"/>
              <w:rPr>
                <w:sz w:val="20"/>
                <w:szCs w:val="20"/>
                <w:color w:val="auto"/>
              </w:rPr>
            </w:pPr>
            <w:r>
              <w:rPr>
                <w:rFonts w:ascii="Times New Roman" w:cs="Times New Roman" w:eastAsia="Times New Roman" w:hAnsi="Times New Roman"/>
                <w:sz w:val="13"/>
                <w:szCs w:val="13"/>
                <w:color w:val="auto"/>
              </w:rPr>
              <w:t>Issuance of new shares, net</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40" w:type="dxa"/>
            <w:vAlign w:val="bottom"/>
            <w:gridSpan w:val="2"/>
          </w:tcPr>
          <w:p>
            <w:pPr>
              <w:jc w:val="right"/>
              <w:ind w:right="160"/>
              <w:spacing w:after="0"/>
              <w:rPr>
                <w:sz w:val="20"/>
                <w:szCs w:val="20"/>
                <w:color w:val="auto"/>
              </w:rPr>
            </w:pPr>
            <w:r>
              <w:rPr>
                <w:rFonts w:ascii="Times New Roman" w:cs="Times New Roman" w:eastAsia="Times New Roman" w:hAnsi="Times New Roman"/>
                <w:sz w:val="13"/>
                <w:szCs w:val="13"/>
                <w:color w:val="auto"/>
              </w:rPr>
              <w:t>547,157</w:t>
            </w:r>
          </w:p>
        </w:tc>
        <w:tc>
          <w:tcPr>
            <w:tcW w:w="66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w:t>
            </w:r>
          </w:p>
        </w:tc>
        <w:tc>
          <w:tcPr>
            <w:tcW w:w="620" w:type="dxa"/>
            <w:vAlign w:val="bottom"/>
            <w:gridSpan w:val="2"/>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740" w:type="dxa"/>
            <w:vAlign w:val="bottom"/>
            <w:gridSpan w:val="2"/>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580" w:type="dxa"/>
            <w:vAlign w:val="bottom"/>
            <w:gridSpan w:val="2"/>
          </w:tcPr>
          <w:p>
            <w:pPr>
              <w:jc w:val="right"/>
              <w:ind w:right="38"/>
              <w:spacing w:after="0"/>
              <w:rPr>
                <w:sz w:val="20"/>
                <w:szCs w:val="20"/>
                <w:color w:val="auto"/>
              </w:rPr>
            </w:pPr>
            <w:r>
              <w:rPr>
                <w:rFonts w:ascii="Times New Roman" w:cs="Times New Roman" w:eastAsia="Times New Roman" w:hAnsi="Times New Roman"/>
                <w:sz w:val="13"/>
                <w:szCs w:val="13"/>
                <w:color w:val="auto"/>
              </w:rPr>
              <w:t>547,157</w:t>
            </w:r>
          </w:p>
        </w:tc>
        <w:tc>
          <w:tcPr>
            <w:tcW w:w="0" w:type="dxa"/>
            <w:vAlign w:val="bottom"/>
          </w:tcPr>
          <w:p>
            <w:pPr>
              <w:spacing w:after="0"/>
              <w:rPr>
                <w:sz w:val="1"/>
                <w:szCs w:val="1"/>
                <w:color w:val="auto"/>
              </w:rPr>
            </w:pPr>
          </w:p>
        </w:tc>
      </w:tr>
      <w:tr>
        <w:trPr>
          <w:trHeight w:val="20"/>
        </w:trPr>
        <w:tc>
          <w:tcPr>
            <w:tcW w:w="40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1"/>
        </w:trPr>
        <w:tc>
          <w:tcPr>
            <w:tcW w:w="40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Balance as of September 30, 2021</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5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1,865,909</w:t>
            </w:r>
          </w:p>
        </w:tc>
        <w:tc>
          <w:tcPr>
            <w:tcW w:w="160" w:type="dxa"/>
            <w:vAlign w:val="bottom"/>
            <w:shd w:val="clear" w:color="auto" w:fill="CCEEFF"/>
          </w:tcPr>
          <w:p>
            <w:pPr>
              <w:spacing w:after="0"/>
              <w:rPr>
                <w:sz w:val="13"/>
                <w:szCs w:val="13"/>
                <w:color w:val="auto"/>
              </w:rPr>
            </w:pPr>
          </w:p>
        </w:tc>
        <w:tc>
          <w:tcPr>
            <w:tcW w:w="6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b w:val="1"/>
                <w:bCs w:val="1"/>
                <w:color w:val="auto"/>
              </w:rPr>
              <w:t>35,231</w:t>
            </w:r>
          </w:p>
        </w:tc>
        <w:tc>
          <w:tcPr>
            <w:tcW w:w="6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(12,892)</w:t>
            </w:r>
          </w:p>
        </w:tc>
        <w:tc>
          <w:tcPr>
            <w:tcW w:w="7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(1,425,074)</w:t>
            </w:r>
          </w:p>
        </w:tc>
        <w:tc>
          <w:tcPr>
            <w:tcW w:w="580" w:type="dxa"/>
            <w:vAlign w:val="bottom"/>
            <w:gridSpan w:val="2"/>
            <w:shd w:val="clear" w:color="auto" w:fill="CCEEFF"/>
          </w:tcPr>
          <w:p>
            <w:pPr>
              <w:jc w:val="right"/>
              <w:ind w:right="38"/>
              <w:spacing w:after="0"/>
              <w:rPr>
                <w:sz w:val="20"/>
                <w:szCs w:val="20"/>
                <w:color w:val="auto"/>
              </w:rPr>
            </w:pPr>
            <w:r>
              <w:rPr>
                <w:rFonts w:ascii="Times New Roman" w:cs="Times New Roman" w:eastAsia="Times New Roman" w:hAnsi="Times New Roman"/>
                <w:sz w:val="13"/>
                <w:szCs w:val="13"/>
                <w:b w:val="1"/>
                <w:bCs w:val="1"/>
                <w:color w:val="auto"/>
              </w:rPr>
              <w:t>463,174</w:t>
            </w:r>
          </w:p>
        </w:tc>
        <w:tc>
          <w:tcPr>
            <w:tcW w:w="0" w:type="dxa"/>
            <w:vAlign w:val="bottom"/>
          </w:tcPr>
          <w:p>
            <w:pPr>
              <w:spacing w:after="0"/>
              <w:rPr>
                <w:sz w:val="1"/>
                <w:szCs w:val="1"/>
                <w:color w:val="auto"/>
              </w:rPr>
            </w:pPr>
          </w:p>
        </w:tc>
      </w:tr>
      <w:tr>
        <w:trPr>
          <w:trHeight w:val="151"/>
        </w:trPr>
        <w:tc>
          <w:tcPr>
            <w:tcW w:w="4080" w:type="dxa"/>
            <w:vAlign w:val="bottom"/>
          </w:tcPr>
          <w:p>
            <w:pPr>
              <w:spacing w:after="0"/>
              <w:rPr>
                <w:sz w:val="20"/>
                <w:szCs w:val="20"/>
                <w:color w:val="auto"/>
              </w:rPr>
            </w:pPr>
            <w:r>
              <w:rPr>
                <w:rFonts w:ascii="Times New Roman" w:cs="Times New Roman" w:eastAsia="Times New Roman" w:hAnsi="Times New Roman"/>
                <w:sz w:val="13"/>
                <w:szCs w:val="13"/>
                <w:color w:val="auto"/>
              </w:rPr>
              <w:t>Balance as of December 31, 2021</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1,865,909</w:t>
            </w:r>
          </w:p>
        </w:tc>
        <w:tc>
          <w:tcPr>
            <w:tcW w:w="160" w:type="dxa"/>
            <w:vAlign w:val="bottom"/>
          </w:tcPr>
          <w:p>
            <w:pPr>
              <w:spacing w:after="0"/>
              <w:rPr>
                <w:sz w:val="13"/>
                <w:szCs w:val="13"/>
                <w:color w:val="auto"/>
              </w:rPr>
            </w:pPr>
          </w:p>
        </w:tc>
        <w:tc>
          <w:tcPr>
            <w:tcW w:w="5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35,231</w:t>
            </w:r>
          </w:p>
        </w:tc>
        <w:tc>
          <w:tcPr>
            <w:tcW w:w="120" w:type="dxa"/>
            <w:vAlign w:val="bottom"/>
          </w:tcPr>
          <w:p>
            <w:pPr>
              <w:spacing w:after="0"/>
              <w:rPr>
                <w:sz w:val="13"/>
                <w:szCs w:val="13"/>
                <w:color w:val="auto"/>
              </w:rPr>
            </w:pPr>
          </w:p>
        </w:tc>
        <w:tc>
          <w:tcPr>
            <w:tcW w:w="4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(16,784)</w:t>
            </w:r>
          </w:p>
        </w:tc>
        <w:tc>
          <w:tcPr>
            <w:tcW w:w="140" w:type="dxa"/>
            <w:vAlign w:val="bottom"/>
          </w:tcPr>
          <w:p>
            <w:pPr>
              <w:spacing w:after="0"/>
              <w:rPr>
                <w:sz w:val="13"/>
                <w:szCs w:val="13"/>
                <w:color w:val="auto"/>
              </w:rPr>
            </w:pP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w w:val="95"/>
              </w:rPr>
              <w:t>(1,761,860)</w:t>
            </w:r>
          </w:p>
        </w:tc>
        <w:tc>
          <w:tcPr>
            <w:tcW w:w="140" w:type="dxa"/>
            <w:vAlign w:val="bottom"/>
          </w:tcPr>
          <w:p>
            <w:pPr>
              <w:spacing w:after="0"/>
              <w:rPr>
                <w:sz w:val="13"/>
                <w:szCs w:val="13"/>
                <w:color w:val="auto"/>
              </w:rPr>
            </w:pPr>
          </w:p>
        </w:tc>
        <w:tc>
          <w:tcPr>
            <w:tcW w:w="5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122,496</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0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Net loss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4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66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w:t>
            </w:r>
          </w:p>
        </w:tc>
        <w:tc>
          <w:tcPr>
            <w:tcW w:w="62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7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(203,347)</w:t>
            </w: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(203,347)</w:t>
            </w:r>
          </w:p>
        </w:tc>
        <w:tc>
          <w:tcPr>
            <w:tcW w:w="0" w:type="dxa"/>
            <w:vAlign w:val="bottom"/>
          </w:tcPr>
          <w:p>
            <w:pPr>
              <w:spacing w:after="0"/>
              <w:rPr>
                <w:sz w:val="1"/>
                <w:szCs w:val="1"/>
                <w:color w:val="auto"/>
              </w:rPr>
            </w:pPr>
          </w:p>
        </w:tc>
      </w:tr>
      <w:tr>
        <w:trPr>
          <w:trHeight w:val="152"/>
        </w:trPr>
        <w:tc>
          <w:tcPr>
            <w:tcW w:w="4080" w:type="dxa"/>
            <w:vAlign w:val="bottom"/>
          </w:tcPr>
          <w:p>
            <w:pPr>
              <w:spacing w:after="0"/>
              <w:rPr>
                <w:sz w:val="20"/>
                <w:szCs w:val="20"/>
                <w:color w:val="auto"/>
              </w:rPr>
            </w:pPr>
            <w:r>
              <w:rPr>
                <w:rFonts w:ascii="Times New Roman" w:cs="Times New Roman" w:eastAsia="Times New Roman" w:hAnsi="Times New Roman"/>
                <w:sz w:val="13"/>
                <w:szCs w:val="13"/>
                <w:color w:val="auto"/>
              </w:rPr>
              <w:t>Other comprehensive loss</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160" w:type="dxa"/>
            <w:vAlign w:val="bottom"/>
          </w:tcPr>
          <w:p>
            <w:pPr>
              <w:spacing w:after="0"/>
              <w:rPr>
                <w:sz w:val="13"/>
                <w:szCs w:val="13"/>
                <w:color w:val="auto"/>
              </w:rPr>
            </w:pPr>
          </w:p>
        </w:tc>
        <w:tc>
          <w:tcPr>
            <w:tcW w:w="5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120" w:type="dxa"/>
            <w:vAlign w:val="bottom"/>
          </w:tcPr>
          <w:p>
            <w:pPr>
              <w:spacing w:after="0"/>
              <w:rPr>
                <w:sz w:val="13"/>
                <w:szCs w:val="13"/>
                <w:color w:val="auto"/>
              </w:rPr>
            </w:pPr>
          </w:p>
        </w:tc>
        <w:tc>
          <w:tcPr>
            <w:tcW w:w="4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15,347</w:t>
            </w:r>
          </w:p>
        </w:tc>
        <w:tc>
          <w:tcPr>
            <w:tcW w:w="140" w:type="dxa"/>
            <w:vAlign w:val="bottom"/>
          </w:tcPr>
          <w:p>
            <w:pPr>
              <w:spacing w:after="0"/>
              <w:rPr>
                <w:sz w:val="13"/>
                <w:szCs w:val="13"/>
                <w:color w:val="auto"/>
              </w:rPr>
            </w:pPr>
          </w:p>
        </w:tc>
        <w:tc>
          <w:tcPr>
            <w:tcW w:w="600" w:type="dxa"/>
            <w:vAlign w:val="bottom"/>
            <w:tcBorders>
              <w:bottom w:val="single" w:sz="8" w:color="auto"/>
            </w:tcBorders>
          </w:tcPr>
          <w:p>
            <w:pPr>
              <w:jc w:val="right"/>
              <w:ind w:right="18"/>
              <w:spacing w:after="0"/>
              <w:rPr>
                <w:sz w:val="20"/>
                <w:szCs w:val="20"/>
                <w:color w:val="auto"/>
              </w:rPr>
            </w:pPr>
            <w:r>
              <w:rPr>
                <w:rFonts w:ascii="Times New Roman" w:cs="Times New Roman" w:eastAsia="Times New Roman" w:hAnsi="Times New Roman"/>
                <w:sz w:val="13"/>
                <w:szCs w:val="13"/>
                <w:color w:val="auto"/>
              </w:rPr>
              <w:t>—</w:t>
            </w:r>
          </w:p>
        </w:tc>
        <w:tc>
          <w:tcPr>
            <w:tcW w:w="140" w:type="dxa"/>
            <w:vAlign w:val="bottom"/>
          </w:tcPr>
          <w:p>
            <w:pPr>
              <w:spacing w:after="0"/>
              <w:rPr>
                <w:sz w:val="13"/>
                <w:szCs w:val="13"/>
                <w:color w:val="auto"/>
              </w:rPr>
            </w:pPr>
          </w:p>
        </w:tc>
        <w:tc>
          <w:tcPr>
            <w:tcW w:w="5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15,347</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40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Total comprehensive loss</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4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b w:val="1"/>
                <w:bCs w:val="1"/>
                <w:color w:val="auto"/>
              </w:rPr>
              <w:t>—</w:t>
            </w:r>
          </w:p>
        </w:tc>
        <w:tc>
          <w:tcPr>
            <w:tcW w:w="66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b w:val="1"/>
                <w:bCs w:val="1"/>
                <w:color w:val="auto"/>
              </w:rPr>
              <w:t>—</w:t>
            </w:r>
          </w:p>
        </w:tc>
        <w:tc>
          <w:tcPr>
            <w:tcW w:w="62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b w:val="1"/>
                <w:bCs w:val="1"/>
                <w:color w:val="auto"/>
              </w:rPr>
              <w:t>15,347</w:t>
            </w:r>
          </w:p>
        </w:tc>
        <w:tc>
          <w:tcPr>
            <w:tcW w:w="7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(203,347)</w:t>
            </w: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(188,000)</w:t>
            </w:r>
          </w:p>
        </w:tc>
        <w:tc>
          <w:tcPr>
            <w:tcW w:w="0" w:type="dxa"/>
            <w:vAlign w:val="bottom"/>
          </w:tcPr>
          <w:p>
            <w:pPr>
              <w:spacing w:after="0"/>
              <w:rPr>
                <w:sz w:val="1"/>
                <w:szCs w:val="1"/>
                <w:color w:val="auto"/>
              </w:rPr>
            </w:pPr>
          </w:p>
        </w:tc>
      </w:tr>
      <w:tr>
        <w:trPr>
          <w:trHeight w:val="151"/>
        </w:trPr>
        <w:tc>
          <w:tcPr>
            <w:tcW w:w="4080" w:type="dxa"/>
            <w:vAlign w:val="bottom"/>
          </w:tcPr>
          <w:p>
            <w:pPr>
              <w:spacing w:after="0"/>
              <w:rPr>
                <w:sz w:val="20"/>
                <w:szCs w:val="20"/>
                <w:color w:val="auto"/>
              </w:rPr>
            </w:pPr>
            <w:r>
              <w:rPr>
                <w:rFonts w:ascii="Times New Roman" w:cs="Times New Roman" w:eastAsia="Times New Roman" w:hAnsi="Times New Roman"/>
                <w:sz w:val="13"/>
                <w:szCs w:val="13"/>
                <w:color w:val="auto"/>
              </w:rPr>
              <w:t>Merger with Gores Guggenheim Inc.</w:t>
            </w:r>
          </w:p>
        </w:tc>
        <w:tc>
          <w:tcPr>
            <w:tcW w:w="32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9</w:t>
            </w:r>
          </w:p>
        </w:tc>
        <w:tc>
          <w:tcPr>
            <w:tcW w:w="5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21,090</w:t>
            </w:r>
          </w:p>
        </w:tc>
        <w:tc>
          <w:tcPr>
            <w:tcW w:w="160" w:type="dxa"/>
            <w:vAlign w:val="bottom"/>
          </w:tcPr>
          <w:p>
            <w:pPr>
              <w:spacing w:after="0"/>
              <w:rPr>
                <w:sz w:val="13"/>
                <w:szCs w:val="13"/>
                <w:color w:val="auto"/>
              </w:rPr>
            </w:pPr>
          </w:p>
        </w:tc>
        <w:tc>
          <w:tcPr>
            <w:tcW w:w="5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w w:val="99"/>
              </w:rPr>
              <w:t>1,673,322</w:t>
            </w:r>
          </w:p>
        </w:tc>
        <w:tc>
          <w:tcPr>
            <w:tcW w:w="120" w:type="dxa"/>
            <w:vAlign w:val="bottom"/>
          </w:tcPr>
          <w:p>
            <w:pPr>
              <w:spacing w:after="0"/>
              <w:rPr>
                <w:sz w:val="13"/>
                <w:szCs w:val="13"/>
                <w:color w:val="auto"/>
              </w:rPr>
            </w:pPr>
          </w:p>
        </w:tc>
        <w:tc>
          <w:tcPr>
            <w:tcW w:w="480" w:type="dxa"/>
            <w:vAlign w:val="bottom"/>
            <w:tcBorders>
              <w:top w:val="single" w:sz="8" w:color="auto"/>
            </w:tcBorders>
          </w:tcPr>
          <w:p>
            <w:pPr>
              <w:jc w:val="right"/>
              <w:ind w:right="19"/>
              <w:spacing w:after="0"/>
              <w:rPr>
                <w:sz w:val="20"/>
                <w:szCs w:val="20"/>
                <w:color w:val="auto"/>
              </w:rPr>
            </w:pPr>
            <w:r>
              <w:rPr>
                <w:rFonts w:ascii="Times New Roman" w:cs="Times New Roman" w:eastAsia="Times New Roman" w:hAnsi="Times New Roman"/>
                <w:sz w:val="13"/>
                <w:szCs w:val="13"/>
                <w:color w:val="auto"/>
              </w:rPr>
              <w:t>—</w:t>
            </w:r>
          </w:p>
        </w:tc>
        <w:tc>
          <w:tcPr>
            <w:tcW w:w="140" w:type="dxa"/>
            <w:vAlign w:val="bottom"/>
          </w:tcPr>
          <w:p>
            <w:pPr>
              <w:spacing w:after="0"/>
              <w:rPr>
                <w:sz w:val="13"/>
                <w:szCs w:val="13"/>
                <w:color w:val="auto"/>
              </w:rPr>
            </w:pP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w w:val="95"/>
              </w:rPr>
              <w:t>(1,500,638)</w:t>
            </w:r>
          </w:p>
        </w:tc>
        <w:tc>
          <w:tcPr>
            <w:tcW w:w="140" w:type="dxa"/>
            <w:vAlign w:val="bottom"/>
          </w:tcPr>
          <w:p>
            <w:pPr>
              <w:spacing w:after="0"/>
              <w:rPr>
                <w:sz w:val="13"/>
                <w:szCs w:val="13"/>
                <w:color w:val="auto"/>
              </w:rPr>
            </w:pPr>
          </w:p>
        </w:tc>
        <w:tc>
          <w:tcPr>
            <w:tcW w:w="5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193,774</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0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Changes in the consolidated group</w:t>
            </w:r>
          </w:p>
        </w:tc>
        <w:tc>
          <w:tcPr>
            <w:tcW w:w="32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9</w:t>
            </w:r>
          </w:p>
        </w:tc>
        <w:tc>
          <w:tcPr>
            <w:tcW w:w="74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w w:val="98"/>
              </w:rPr>
              <w:t>(1,865,909)</w:t>
            </w:r>
          </w:p>
        </w:tc>
        <w:tc>
          <w:tcPr>
            <w:tcW w:w="6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w w:val="99"/>
              </w:rPr>
              <w:t>1,865,909</w:t>
            </w:r>
          </w:p>
        </w:tc>
        <w:tc>
          <w:tcPr>
            <w:tcW w:w="62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7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color w:val="auto"/>
              </w:rPr>
              <w:t>1,512</w:t>
            </w:r>
          </w:p>
        </w:tc>
        <w:tc>
          <w:tcPr>
            <w:tcW w:w="580" w:type="dxa"/>
            <w:vAlign w:val="bottom"/>
            <w:gridSpan w:val="2"/>
            <w:shd w:val="clear" w:color="auto" w:fill="CCEEFF"/>
          </w:tcPr>
          <w:p>
            <w:pPr>
              <w:jc w:val="right"/>
              <w:ind w:right="38"/>
              <w:spacing w:after="0"/>
              <w:rPr>
                <w:sz w:val="20"/>
                <w:szCs w:val="20"/>
                <w:color w:val="auto"/>
              </w:rPr>
            </w:pPr>
            <w:r>
              <w:rPr>
                <w:rFonts w:ascii="Times New Roman" w:cs="Times New Roman" w:eastAsia="Times New Roman" w:hAnsi="Times New Roman"/>
                <w:sz w:val="13"/>
                <w:szCs w:val="13"/>
                <w:color w:val="auto"/>
              </w:rPr>
              <w:t>1,512</w:t>
            </w:r>
          </w:p>
        </w:tc>
        <w:tc>
          <w:tcPr>
            <w:tcW w:w="0" w:type="dxa"/>
            <w:vAlign w:val="bottom"/>
          </w:tcPr>
          <w:p>
            <w:pPr>
              <w:spacing w:after="0"/>
              <w:rPr>
                <w:sz w:val="1"/>
                <w:szCs w:val="1"/>
                <w:color w:val="auto"/>
              </w:rPr>
            </w:pPr>
          </w:p>
        </w:tc>
      </w:tr>
      <w:tr>
        <w:trPr>
          <w:trHeight w:val="152"/>
        </w:trPr>
        <w:tc>
          <w:tcPr>
            <w:tcW w:w="4080" w:type="dxa"/>
            <w:vAlign w:val="bottom"/>
          </w:tcPr>
          <w:p>
            <w:pPr>
              <w:spacing w:after="0"/>
              <w:rPr>
                <w:sz w:val="20"/>
                <w:szCs w:val="20"/>
                <w:color w:val="auto"/>
              </w:rPr>
            </w:pPr>
            <w:r>
              <w:rPr>
                <w:rFonts w:ascii="Times New Roman" w:cs="Times New Roman" w:eastAsia="Times New Roman" w:hAnsi="Times New Roman"/>
                <w:sz w:val="13"/>
                <w:szCs w:val="13"/>
                <w:color w:val="auto"/>
              </w:rPr>
              <w:t>Equity-settled share-based payment</w:t>
            </w:r>
          </w:p>
        </w:tc>
        <w:tc>
          <w:tcPr>
            <w:tcW w:w="32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11</w:t>
            </w:r>
          </w:p>
        </w:tc>
        <w:tc>
          <w:tcPr>
            <w:tcW w:w="58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160" w:type="dxa"/>
            <w:vAlign w:val="bottom"/>
          </w:tcPr>
          <w:p>
            <w:pPr>
              <w:spacing w:after="0"/>
              <w:rPr>
                <w:sz w:val="13"/>
                <w:szCs w:val="13"/>
                <w:color w:val="auto"/>
              </w:rPr>
            </w:pPr>
          </w:p>
        </w:tc>
        <w:tc>
          <w:tcPr>
            <w:tcW w:w="66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6,898</w:t>
            </w:r>
          </w:p>
        </w:tc>
        <w:tc>
          <w:tcPr>
            <w:tcW w:w="620" w:type="dxa"/>
            <w:vAlign w:val="bottom"/>
            <w:gridSpan w:val="2"/>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740" w:type="dxa"/>
            <w:vAlign w:val="bottom"/>
            <w:gridSpan w:val="2"/>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580" w:type="dxa"/>
            <w:vAlign w:val="bottom"/>
            <w:gridSpan w:val="2"/>
          </w:tcPr>
          <w:p>
            <w:pPr>
              <w:jc w:val="right"/>
              <w:ind w:right="38"/>
              <w:spacing w:after="0"/>
              <w:rPr>
                <w:sz w:val="20"/>
                <w:szCs w:val="20"/>
                <w:color w:val="auto"/>
              </w:rPr>
            </w:pPr>
            <w:r>
              <w:rPr>
                <w:rFonts w:ascii="Times New Roman" w:cs="Times New Roman" w:eastAsia="Times New Roman" w:hAnsi="Times New Roman"/>
                <w:sz w:val="13"/>
                <w:szCs w:val="13"/>
                <w:color w:val="auto"/>
              </w:rPr>
              <w:t>6,898</w:t>
            </w:r>
          </w:p>
        </w:tc>
        <w:tc>
          <w:tcPr>
            <w:tcW w:w="0" w:type="dxa"/>
            <w:vAlign w:val="bottom"/>
          </w:tcPr>
          <w:p>
            <w:pPr>
              <w:spacing w:after="0"/>
              <w:rPr>
                <w:sz w:val="1"/>
                <w:szCs w:val="1"/>
                <w:color w:val="auto"/>
              </w:rPr>
            </w:pPr>
          </w:p>
        </w:tc>
      </w:tr>
      <w:tr>
        <w:trPr>
          <w:trHeight w:val="20"/>
        </w:trPr>
        <w:tc>
          <w:tcPr>
            <w:tcW w:w="40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1"/>
        </w:trPr>
        <w:tc>
          <w:tcPr>
            <w:tcW w:w="40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Balance as of September 30, 2022</w:t>
            </w: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4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3"/>
                <w:szCs w:val="13"/>
                <w:b w:val="1"/>
                <w:bCs w:val="1"/>
                <w:color w:val="auto"/>
              </w:rPr>
              <w:t>21,090</w:t>
            </w:r>
          </w:p>
        </w:tc>
        <w:tc>
          <w:tcPr>
            <w:tcW w:w="6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b w:val="1"/>
                <w:bCs w:val="1"/>
                <w:color w:val="auto"/>
                <w:w w:val="99"/>
              </w:rPr>
              <w:t>3,581,360</w:t>
            </w:r>
          </w:p>
        </w:tc>
        <w:tc>
          <w:tcPr>
            <w:tcW w:w="6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(1,437)</w:t>
            </w:r>
          </w:p>
        </w:tc>
        <w:tc>
          <w:tcPr>
            <w:tcW w:w="7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(3,464,333)</w:t>
            </w:r>
          </w:p>
        </w:tc>
        <w:tc>
          <w:tcPr>
            <w:tcW w:w="580" w:type="dxa"/>
            <w:vAlign w:val="bottom"/>
            <w:gridSpan w:val="2"/>
            <w:shd w:val="clear" w:color="auto" w:fill="CCEEFF"/>
          </w:tcPr>
          <w:p>
            <w:pPr>
              <w:jc w:val="right"/>
              <w:ind w:right="38"/>
              <w:spacing w:after="0"/>
              <w:rPr>
                <w:sz w:val="20"/>
                <w:szCs w:val="20"/>
                <w:color w:val="auto"/>
              </w:rPr>
            </w:pPr>
            <w:r>
              <w:rPr>
                <w:rFonts w:ascii="Times New Roman" w:cs="Times New Roman" w:eastAsia="Times New Roman" w:hAnsi="Times New Roman"/>
                <w:sz w:val="13"/>
                <w:szCs w:val="13"/>
                <w:b w:val="1"/>
                <w:bCs w:val="1"/>
                <w:color w:val="auto"/>
              </w:rPr>
              <w:t>136,680</w:t>
            </w:r>
          </w:p>
        </w:tc>
        <w:tc>
          <w:tcPr>
            <w:tcW w:w="0" w:type="dxa"/>
            <w:vAlign w:val="bottom"/>
          </w:tcPr>
          <w:p>
            <w:pPr>
              <w:spacing w:after="0"/>
              <w:rPr>
                <w:sz w:val="1"/>
                <w:szCs w:val="1"/>
                <w:color w:val="auto"/>
              </w:rPr>
            </w:pPr>
          </w:p>
        </w:tc>
      </w:tr>
      <w:tr>
        <w:trPr>
          <w:trHeight w:val="20"/>
        </w:trPr>
        <w:tc>
          <w:tcPr>
            <w:tcW w:w="40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4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The accompanying notes are an integral part of these Unaudited Condensed Consolidated Financial Statements.</w:t>
      </w:r>
    </w:p>
    <w:p>
      <w:pPr>
        <w:spacing w:after="0" w:line="10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7</w:t>
      </w:r>
    </w:p>
    <w:p>
      <w:pPr>
        <w:sectPr>
          <w:pgSz w:w="11900" w:h="16838" w:orient="portrait"/>
          <w:cols w:equalWidth="0" w:num="1">
            <w:col w:w="9019"/>
          </w:cols>
          <w:pgMar w:left="1440" w:top="231" w:right="1440" w:bottom="1440" w:gutter="0" w:footer="0" w:header="0"/>
        </w:sectPr>
      </w:pPr>
    </w:p>
    <w:bookmarkStart w:id="64" w:name="page65"/>
    <w:bookmarkEnd w:id="64"/>
    <w:p>
      <w:pPr>
        <w:jc w:val="center"/>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139"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Note 1 - Significant accounting policies and judgements</w:t>
      </w:r>
    </w:p>
    <w:p>
      <w:pPr>
        <w:spacing w:after="0" w:line="7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General information</w:t>
      </w:r>
    </w:p>
    <w:p>
      <w:pPr>
        <w:spacing w:after="0" w:line="80" w:lineRule="exact"/>
        <w:rPr>
          <w:sz w:val="20"/>
          <w:szCs w:val="20"/>
          <w:color w:val="auto"/>
        </w:rPr>
      </w:pPr>
    </w:p>
    <w:p>
      <w:pPr>
        <w:ind w:left="640" w:right="739"/>
        <w:spacing w:after="0" w:line="249" w:lineRule="auto"/>
        <w:rPr>
          <w:sz w:val="20"/>
          <w:szCs w:val="20"/>
          <w:color w:val="auto"/>
        </w:rPr>
      </w:pPr>
      <w:r>
        <w:rPr>
          <w:rFonts w:ascii="Times New Roman" w:cs="Times New Roman" w:eastAsia="Times New Roman" w:hAnsi="Times New Roman"/>
          <w:sz w:val="13"/>
          <w:szCs w:val="13"/>
          <w:color w:val="auto"/>
        </w:rPr>
        <w:t>Polestar Automotive Holding UK PLC (formerly known as Polestar Automotive Holding UK Limited) (the “Parent” or “ListCo”), together with its subsidiaries, hereafter referred to as “Polestar”, “Polestar Group,” and the “Group”, is a limited company incorporated in the United Kingdom. Polestar Group operates principally in the automotive industry, engaging in research and development, manufacturing, branding and marketing, and the commercialization of battery electric vehicles, technologies, and services. Polestar Group operates in 27 markets across Europe, North America, and Asia. Global headquarters is located at Assar Gabrielssons väg 9, 418 78 Göteborg, Sweden.</w:t>
      </w:r>
    </w:p>
    <w:p>
      <w:pPr>
        <w:spacing w:after="0" w:line="20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Merger with Gores Guggenheim, Inc.</w:t>
      </w:r>
    </w:p>
    <w:p>
      <w:pPr>
        <w:spacing w:after="0" w:line="80" w:lineRule="exact"/>
        <w:rPr>
          <w:sz w:val="20"/>
          <w:szCs w:val="20"/>
          <w:color w:val="auto"/>
        </w:rPr>
      </w:pPr>
    </w:p>
    <w:p>
      <w:pPr>
        <w:ind w:left="640" w:right="659"/>
        <w:spacing w:after="0" w:line="255" w:lineRule="auto"/>
        <w:rPr>
          <w:sz w:val="20"/>
          <w:szCs w:val="20"/>
          <w:color w:val="auto"/>
        </w:rPr>
      </w:pPr>
      <w:r>
        <w:rPr>
          <w:rFonts w:ascii="Times New Roman" w:cs="Times New Roman" w:eastAsia="Times New Roman" w:hAnsi="Times New Roman"/>
          <w:sz w:val="13"/>
          <w:szCs w:val="13"/>
          <w:color w:val="auto"/>
        </w:rPr>
        <w:t>Gores Guggenheim, Inc. (“GGI”) was a special purpose acquisition company (“SPAC”) formed for the purpose of effecting a merger, capital stock exchange, asset acquisition, stock purchase, reorganization or a similar business combination. GGI was incorporated in Delaware on December 21, 2021 and completed its initial public offering (“IPO”) on March 25, 2021.</w:t>
      </w:r>
    </w:p>
    <w:p>
      <w:pPr>
        <w:spacing w:after="0" w:line="130" w:lineRule="exact"/>
        <w:rPr>
          <w:sz w:val="20"/>
          <w:szCs w:val="20"/>
          <w:color w:val="auto"/>
        </w:rPr>
      </w:pPr>
    </w:p>
    <w:p>
      <w:pPr>
        <w:ind w:left="640" w:right="739"/>
        <w:spacing w:after="0" w:line="249" w:lineRule="auto"/>
        <w:rPr>
          <w:sz w:val="20"/>
          <w:szCs w:val="20"/>
          <w:color w:val="auto"/>
        </w:rPr>
      </w:pPr>
      <w:r>
        <w:rPr>
          <w:rFonts w:ascii="Times New Roman" w:cs="Times New Roman" w:eastAsia="Times New Roman" w:hAnsi="Times New Roman"/>
          <w:sz w:val="13"/>
          <w:szCs w:val="13"/>
          <w:color w:val="auto"/>
        </w:rPr>
        <w:t>On September 27, 2021, GGI entered into a Business Combination Agreement (“BCA”) with Polestar Automotive Holding Limited, a Hong Kong incorporated company (“Former Parent”), Polestar Automotive (Singapore) Pte. Ltd., a private company limited by shares in Singapore, Polestar Holding AB, a private limited liability company incorporated under the laws of Sweden, Polestar Automotive Holding UK Limited, a limited company incorporated under the laws of England and Wales and a direct wholly owned subsidiary of the Former Parent, and PAH UK Merger Sub Inc., a Delaware corporate and a direct wholly owned subsidiary of ListCo (“US Merger Sub”).</w:t>
      </w:r>
    </w:p>
    <w:p>
      <w:pPr>
        <w:spacing w:after="0" w:line="134" w:lineRule="exact"/>
        <w:rPr>
          <w:sz w:val="20"/>
          <w:szCs w:val="20"/>
          <w:color w:val="auto"/>
        </w:rPr>
      </w:pPr>
    </w:p>
    <w:p>
      <w:pPr>
        <w:ind w:left="640" w:right="719"/>
        <w:spacing w:after="0" w:line="251" w:lineRule="auto"/>
        <w:rPr>
          <w:sz w:val="20"/>
          <w:szCs w:val="20"/>
          <w:color w:val="auto"/>
        </w:rPr>
      </w:pPr>
      <w:r>
        <w:rPr>
          <w:rFonts w:ascii="Times New Roman" w:cs="Times New Roman" w:eastAsia="Times New Roman" w:hAnsi="Times New Roman"/>
          <w:sz w:val="13"/>
          <w:szCs w:val="13"/>
          <w:color w:val="auto"/>
        </w:rPr>
        <w:t>On June 23, 2022 (“Closing”), the Former Parent consummated a reverse recapitalization pursuant to the terms and conditions of the BCA. At the Closing, Polestar Holding AB and its subsidiaries became wholly owned subsidiaries of ListCo. US Merger Sub merged with GGI, pursuant to which the separate corporate existence of US Merger Sub ceased and GGI became a wholly owned subsidiary of ListCo. Simultaneously, the following events occurred:</w:t>
      </w:r>
    </w:p>
    <w:p>
      <w:pPr>
        <w:spacing w:after="0" w:line="66" w:lineRule="exact"/>
        <w:rPr>
          <w:sz w:val="20"/>
          <w:szCs w:val="20"/>
          <w:color w:val="auto"/>
        </w:rPr>
      </w:pPr>
    </w:p>
    <w:p>
      <w:pPr>
        <w:ind w:left="1320" w:right="919" w:hanging="303"/>
        <w:spacing w:after="0" w:line="267" w:lineRule="auto"/>
        <w:tabs>
          <w:tab w:leader="none" w:pos="1320" w:val="left"/>
        </w:tabs>
        <w:numPr>
          <w:ilvl w:val="0"/>
          <w:numId w:val="9"/>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the Convertible Notes of the Former Parent outstanding immediately prior to the Closing were automatically converted into 4,306,466 Class A Shares in ListCo;</w:t>
      </w:r>
    </w:p>
    <w:p>
      <w:pPr>
        <w:spacing w:after="0" w:line="55" w:lineRule="exact"/>
        <w:rPr>
          <w:rFonts w:ascii="Times New Roman" w:cs="Times New Roman" w:eastAsia="Times New Roman" w:hAnsi="Times New Roman"/>
          <w:sz w:val="13"/>
          <w:szCs w:val="13"/>
          <w:color w:val="auto"/>
        </w:rPr>
      </w:pPr>
    </w:p>
    <w:p>
      <w:pPr>
        <w:jc w:val="both"/>
        <w:ind w:left="1320" w:right="759" w:hanging="303"/>
        <w:spacing w:after="0" w:line="255" w:lineRule="auto"/>
        <w:tabs>
          <w:tab w:leader="none" w:pos="1320" w:val="left"/>
        </w:tabs>
        <w:numPr>
          <w:ilvl w:val="0"/>
          <w:numId w:val="9"/>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the Former Parent was separated from Polestar Group and issued 294,877,349 Class A Shares in ListCo, 1,642,233,575 Class B Shares in ListCo, and the right to receive an earn out of a variable number of additional Class A Shares and Class B Shares, depending on the daily volume weighted average price of Class A Shares in the future;</w:t>
      </w:r>
    </w:p>
    <w:p>
      <w:pPr>
        <w:spacing w:after="0" w:line="63" w:lineRule="exact"/>
        <w:rPr>
          <w:rFonts w:ascii="Times New Roman" w:cs="Times New Roman" w:eastAsia="Times New Roman" w:hAnsi="Times New Roman"/>
          <w:sz w:val="13"/>
          <w:szCs w:val="13"/>
          <w:color w:val="auto"/>
        </w:rPr>
      </w:pPr>
    </w:p>
    <w:p>
      <w:pPr>
        <w:ind w:left="1320" w:right="919" w:hanging="303"/>
        <w:spacing w:after="0" w:line="267" w:lineRule="auto"/>
        <w:tabs>
          <w:tab w:leader="none" w:pos="1320" w:val="left"/>
        </w:tabs>
        <w:numPr>
          <w:ilvl w:val="0"/>
          <w:numId w:val="9"/>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all GGI units outstanding immediately prior to the Closing held by GGI stockholders were automatically separated and the holder was deemed to hold one share of GGI Class A Common Stock and one-fifth of a GGI Public Warrant;</w:t>
      </w:r>
    </w:p>
    <w:p>
      <w:pPr>
        <w:spacing w:after="0" w:line="55" w:lineRule="exact"/>
        <w:rPr>
          <w:rFonts w:ascii="Times New Roman" w:cs="Times New Roman" w:eastAsia="Times New Roman" w:hAnsi="Times New Roman"/>
          <w:sz w:val="13"/>
          <w:szCs w:val="13"/>
          <w:color w:val="auto"/>
        </w:rPr>
      </w:pPr>
    </w:p>
    <w:p>
      <w:pPr>
        <w:ind w:left="1320" w:right="759" w:hanging="303"/>
        <w:spacing w:after="0" w:line="267" w:lineRule="auto"/>
        <w:tabs>
          <w:tab w:leader="none" w:pos="1320" w:val="left"/>
        </w:tabs>
        <w:numPr>
          <w:ilvl w:val="0"/>
          <w:numId w:val="9"/>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all GGI Class A Common Stock issued and outstanding, other than those held in treasury, were exchanged for 65,389,140 Class A Shares in ListCo;</w:t>
      </w:r>
    </w:p>
    <w:p>
      <w:pPr>
        <w:spacing w:after="0" w:line="7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8</w:t>
      </w:r>
    </w:p>
    <w:p>
      <w:pPr>
        <w:sectPr>
          <w:pgSz w:w="11900" w:h="16838" w:orient="portrait"/>
          <w:cols w:equalWidth="0" w:num="1">
            <w:col w:w="9019"/>
          </w:cols>
          <w:pgMar w:left="1440" w:top="231" w:right="1440" w:bottom="1440" w:gutter="0" w:footer="0" w:header="0"/>
        </w:sectPr>
      </w:pPr>
    </w:p>
    <w:bookmarkStart w:id="65" w:name="page66"/>
    <w:bookmarkEnd w:id="65"/>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3" w:lineRule="exact"/>
        <w:rPr>
          <w:sz w:val="20"/>
          <w:szCs w:val="20"/>
          <w:color w:val="auto"/>
        </w:rPr>
      </w:pPr>
    </w:p>
    <w:p>
      <w:pPr>
        <w:ind w:left="1320" w:right="659" w:hanging="303"/>
        <w:spacing w:after="0" w:line="267" w:lineRule="auto"/>
        <w:tabs>
          <w:tab w:leader="none" w:pos="1320" w:val="left"/>
        </w:tabs>
        <w:numPr>
          <w:ilvl w:val="0"/>
          <w:numId w:val="10"/>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all GGI Class F Common Stock issued and outstanding, other than those held in treasury, were exchanged for 18,459,165 Class A Shares in ListCo;</w:t>
      </w:r>
    </w:p>
    <w:p>
      <w:pPr>
        <w:spacing w:after="0" w:line="55" w:lineRule="exact"/>
        <w:rPr>
          <w:rFonts w:ascii="Times New Roman" w:cs="Times New Roman" w:eastAsia="Times New Roman" w:hAnsi="Times New Roman"/>
          <w:sz w:val="13"/>
          <w:szCs w:val="13"/>
          <w:color w:val="auto"/>
        </w:rPr>
      </w:pPr>
    </w:p>
    <w:p>
      <w:pPr>
        <w:ind w:left="1320" w:hanging="303"/>
        <w:spacing w:after="0"/>
        <w:tabs>
          <w:tab w:leader="none" w:pos="1320" w:val="left"/>
        </w:tabs>
        <w:numPr>
          <w:ilvl w:val="0"/>
          <w:numId w:val="10"/>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all GGI Common Stock held in treasury were canceled and extinguished without consideration;</w:t>
      </w:r>
    </w:p>
    <w:p>
      <w:pPr>
        <w:spacing w:after="0" w:line="87" w:lineRule="exact"/>
        <w:rPr>
          <w:rFonts w:ascii="Times New Roman" w:cs="Times New Roman" w:eastAsia="Times New Roman" w:hAnsi="Times New Roman"/>
          <w:sz w:val="13"/>
          <w:szCs w:val="13"/>
          <w:color w:val="auto"/>
        </w:rPr>
      </w:pPr>
    </w:p>
    <w:p>
      <w:pPr>
        <w:ind w:left="1320" w:right="959" w:hanging="303"/>
        <w:spacing w:after="0" w:line="267" w:lineRule="auto"/>
        <w:tabs>
          <w:tab w:leader="none" w:pos="1320" w:val="left"/>
        </w:tabs>
        <w:numPr>
          <w:ilvl w:val="0"/>
          <w:numId w:val="10"/>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all GGI Public Warrants issued and outstanding immediately prior to the Closing were exchanged for 15,999,965 Class C-1 Shares in ListCo with effectively the same terms as the GGI Public Warrants and are exercisable for Class A Shares in ListCo;</w:t>
      </w:r>
    </w:p>
    <w:p>
      <w:pPr>
        <w:spacing w:after="0" w:line="55" w:lineRule="exact"/>
        <w:rPr>
          <w:rFonts w:ascii="Times New Roman" w:cs="Times New Roman" w:eastAsia="Times New Roman" w:hAnsi="Times New Roman"/>
          <w:sz w:val="13"/>
          <w:szCs w:val="13"/>
          <w:color w:val="auto"/>
        </w:rPr>
      </w:pPr>
    </w:p>
    <w:p>
      <w:pPr>
        <w:ind w:left="1320" w:right="999" w:hanging="303"/>
        <w:spacing w:after="0" w:line="267" w:lineRule="auto"/>
        <w:tabs>
          <w:tab w:leader="none" w:pos="1320" w:val="left"/>
        </w:tabs>
        <w:numPr>
          <w:ilvl w:val="0"/>
          <w:numId w:val="10"/>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all GGI Private Warrants issued and outstanding immediately prior to the Closing were exchanged for 9,000,000 Class C-2 Shares in ListCo with effectively the same terms as the GGI Private Warrants and are exercisable for Class A Shares in ListCo;</w:t>
      </w:r>
    </w:p>
    <w:p>
      <w:pPr>
        <w:spacing w:after="0" w:line="55" w:lineRule="exact"/>
        <w:rPr>
          <w:rFonts w:ascii="Times New Roman" w:cs="Times New Roman" w:eastAsia="Times New Roman" w:hAnsi="Times New Roman"/>
          <w:sz w:val="13"/>
          <w:szCs w:val="13"/>
          <w:color w:val="auto"/>
        </w:rPr>
      </w:pPr>
    </w:p>
    <w:p>
      <w:pPr>
        <w:ind w:left="1320" w:right="779" w:hanging="303"/>
        <w:spacing w:after="0" w:line="309" w:lineRule="auto"/>
        <w:tabs>
          <w:tab w:leader="none" w:pos="1320" w:val="left"/>
        </w:tabs>
        <w:numPr>
          <w:ilvl w:val="0"/>
          <w:numId w:val="10"/>
        </w:numPr>
        <w:rPr>
          <w:rFonts w:ascii="Times New Roman" w:cs="Times New Roman" w:eastAsia="Times New Roman" w:hAnsi="Times New Roman"/>
          <w:sz w:val="12"/>
          <w:szCs w:val="12"/>
          <w:color w:val="auto"/>
        </w:rPr>
      </w:pPr>
      <w:r>
        <w:rPr>
          <w:rFonts w:ascii="Times New Roman" w:cs="Times New Roman" w:eastAsia="Times New Roman" w:hAnsi="Times New Roman"/>
          <w:sz w:val="12"/>
          <w:szCs w:val="12"/>
          <w:color w:val="auto"/>
        </w:rPr>
        <w:t>pursuant to the PIPE Subscription Agreements, third-party investors purchased 25,423,445 Class A Shares in ListCo and Volvo Cars purchased 1,117,390 Class A Shares in ListCo, for a total of 26,540,835 Class A Shares in ListCo for an aggregate total of $250,000; and</w:t>
      </w:r>
    </w:p>
    <w:p>
      <w:pPr>
        <w:spacing w:after="0" w:line="33" w:lineRule="exact"/>
        <w:rPr>
          <w:rFonts w:ascii="Times New Roman" w:cs="Times New Roman" w:eastAsia="Times New Roman" w:hAnsi="Times New Roman"/>
          <w:sz w:val="12"/>
          <w:szCs w:val="12"/>
          <w:color w:val="auto"/>
        </w:rPr>
      </w:pPr>
    </w:p>
    <w:p>
      <w:pPr>
        <w:ind w:left="1320" w:right="979" w:hanging="303"/>
        <w:spacing w:after="0" w:line="267" w:lineRule="auto"/>
        <w:tabs>
          <w:tab w:leader="none" w:pos="1320" w:val="left"/>
        </w:tabs>
        <w:numPr>
          <w:ilvl w:val="0"/>
          <w:numId w:val="10"/>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pursuant to the Volvo Cars Preference Subscription Agreement, Volvo Cars purchased 58,882,610 Preference Shares in ListCo for an aggregate total of $588,826 which automatically converted to Class A Shares in ListCo thereafter.</w:t>
      </w:r>
    </w:p>
    <w:p>
      <w:pPr>
        <w:spacing w:after="0" w:line="122" w:lineRule="exact"/>
        <w:rPr>
          <w:sz w:val="20"/>
          <w:szCs w:val="20"/>
          <w:color w:val="auto"/>
        </w:rPr>
      </w:pPr>
    </w:p>
    <w:p>
      <w:pPr>
        <w:ind w:left="640" w:right="739"/>
        <w:spacing w:after="0" w:line="249" w:lineRule="auto"/>
        <w:rPr>
          <w:sz w:val="20"/>
          <w:szCs w:val="20"/>
          <w:color w:val="auto"/>
        </w:rPr>
      </w:pPr>
      <w:r>
        <w:rPr>
          <w:rFonts w:ascii="Times New Roman" w:cs="Times New Roman" w:eastAsia="Times New Roman" w:hAnsi="Times New Roman"/>
          <w:sz w:val="13"/>
          <w:szCs w:val="13"/>
          <w:color w:val="auto"/>
        </w:rPr>
        <w:t>The merger with GGI, including all related arrangements, raised net cash proceeds of $1,417,973. Gross proceeds of $638,197 was assumed from GGI, $250,000 was sourced from the PIPE Subscription Agreements, and $588,826 was sourced from the Volvo Cars Preference Subscription Agreement. Polestar incurred total transaction costs of $97,953 in connection with the merger, of which $59,050 were attributable to GGI and deducted from the gross proceeds raised. The merger was accounted for as a reverse recapitalization, in accordance with the relevant International Financial Reporting Standards (“IFRS”). Refer to Note 9 - Reverse recapitalization for additional information on the reverse recapitalization.</w:t>
      </w:r>
    </w:p>
    <w:p>
      <w:pPr>
        <w:spacing w:after="0" w:line="134" w:lineRule="exact"/>
        <w:rPr>
          <w:sz w:val="20"/>
          <w:szCs w:val="20"/>
          <w:color w:val="auto"/>
        </w:rPr>
      </w:pPr>
    </w:p>
    <w:p>
      <w:pPr>
        <w:ind w:left="640" w:right="999"/>
        <w:spacing w:after="0" w:line="267" w:lineRule="auto"/>
        <w:rPr>
          <w:sz w:val="20"/>
          <w:szCs w:val="20"/>
          <w:color w:val="auto"/>
        </w:rPr>
      </w:pPr>
      <w:r>
        <w:rPr>
          <w:rFonts w:ascii="Times New Roman" w:cs="Times New Roman" w:eastAsia="Times New Roman" w:hAnsi="Times New Roman"/>
          <w:sz w:val="13"/>
          <w:szCs w:val="13"/>
          <w:color w:val="auto"/>
        </w:rPr>
        <w:t>Immediately following the closing of the transaction, ListCo changed its name to Polestar Automotive Holding UK PLC and began trading on the National Association of Securities Dealers Automated Quotations (“Nasdaq”) under the ticker symbol PSNY.</w:t>
      </w:r>
    </w:p>
    <w:p>
      <w:pPr>
        <w:spacing w:after="0" w:line="122" w:lineRule="exact"/>
        <w:rPr>
          <w:sz w:val="20"/>
          <w:szCs w:val="20"/>
          <w:color w:val="auto"/>
        </w:rPr>
      </w:pPr>
    </w:p>
    <w:p>
      <w:pPr>
        <w:ind w:left="640" w:right="759"/>
        <w:spacing w:after="0" w:line="267" w:lineRule="auto"/>
        <w:rPr>
          <w:sz w:val="20"/>
          <w:szCs w:val="20"/>
          <w:color w:val="auto"/>
        </w:rPr>
      </w:pPr>
      <w:r>
        <w:rPr>
          <w:rFonts w:ascii="Times New Roman" w:cs="Times New Roman" w:eastAsia="Times New Roman" w:hAnsi="Times New Roman"/>
          <w:sz w:val="13"/>
          <w:szCs w:val="13"/>
          <w:color w:val="auto"/>
        </w:rPr>
        <w:t>As of September 30, 2022, the Former Parent (including also direct ownership by Volvo Cars owns 94.7% of the Group. The remaining 5.3% is owned by external investors.</w:t>
      </w:r>
    </w:p>
    <w:p>
      <w:pPr>
        <w:spacing w:after="0" w:line="196"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Basis of preparation</w:t>
      </w:r>
    </w:p>
    <w:p>
      <w:pPr>
        <w:spacing w:after="0" w:line="80" w:lineRule="exact"/>
        <w:rPr>
          <w:sz w:val="20"/>
          <w:szCs w:val="20"/>
          <w:color w:val="auto"/>
        </w:rPr>
      </w:pPr>
    </w:p>
    <w:p>
      <w:pPr>
        <w:ind w:left="640" w:right="719"/>
        <w:spacing w:after="0" w:line="279" w:lineRule="auto"/>
        <w:rPr>
          <w:sz w:val="20"/>
          <w:szCs w:val="20"/>
          <w:color w:val="auto"/>
        </w:rPr>
      </w:pPr>
      <w:r>
        <w:rPr>
          <w:rFonts w:ascii="Times New Roman" w:cs="Times New Roman" w:eastAsia="Times New Roman" w:hAnsi="Times New Roman"/>
          <w:sz w:val="12"/>
          <w:szCs w:val="12"/>
          <w:color w:val="auto"/>
        </w:rPr>
        <w:t xml:space="preserve">The Unaudited Condensed Consolidated Financial Statements in this interim report of Polestar Group are prepared in accordance with International Accounting Standards (“IAS”) 34, </w:t>
      </w:r>
      <w:r>
        <w:rPr>
          <w:rFonts w:ascii="Times New Roman" w:cs="Times New Roman" w:eastAsia="Times New Roman" w:hAnsi="Times New Roman"/>
          <w:sz w:val="12"/>
          <w:szCs w:val="12"/>
          <w:i w:val="1"/>
          <w:iCs w:val="1"/>
          <w:color w:val="auto"/>
        </w:rPr>
        <w:t>Interim Financial Reporting</w:t>
      </w:r>
      <w:r>
        <w:rPr>
          <w:rFonts w:ascii="Times New Roman" w:cs="Times New Roman" w:eastAsia="Times New Roman" w:hAnsi="Times New Roman"/>
          <w:sz w:val="12"/>
          <w:szCs w:val="12"/>
          <w:color w:val="auto"/>
        </w:rPr>
        <w:t xml:space="preserve"> (“IAS 34”), as adopted by the International Accounting Standards Board (“IASB”). For financial reporting purposes, Polestar Group companies apply the same accounting principles, irrespective of national legislation, as defined in the Group accounting directives. Such accounting principals have been applied consistently for all periods, unless otherwise stated.</w:t>
      </w:r>
    </w:p>
    <w:p>
      <w:pPr>
        <w:spacing w:after="0" w:line="6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9</w:t>
      </w:r>
    </w:p>
    <w:p>
      <w:pPr>
        <w:sectPr>
          <w:pgSz w:w="11900" w:h="16838" w:orient="portrait"/>
          <w:cols w:equalWidth="0" w:num="1">
            <w:col w:w="9019"/>
          </w:cols>
          <w:pgMar w:left="1440" w:top="231" w:right="1440" w:bottom="1440" w:gutter="0" w:footer="0" w:header="0"/>
        </w:sectPr>
      </w:pPr>
    </w:p>
    <w:bookmarkStart w:id="66" w:name="page67"/>
    <w:bookmarkEnd w:id="66"/>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3" w:lineRule="exact"/>
        <w:rPr>
          <w:sz w:val="20"/>
          <w:szCs w:val="20"/>
          <w:color w:val="auto"/>
        </w:rPr>
      </w:pPr>
    </w:p>
    <w:p>
      <w:pPr>
        <w:ind w:left="640" w:right="1059"/>
        <w:spacing w:after="0" w:line="267" w:lineRule="auto"/>
        <w:rPr>
          <w:sz w:val="20"/>
          <w:szCs w:val="20"/>
          <w:color w:val="auto"/>
        </w:rPr>
      </w:pPr>
      <w:r>
        <w:rPr>
          <w:rFonts w:ascii="Times New Roman" w:cs="Times New Roman" w:eastAsia="Times New Roman" w:hAnsi="Times New Roman"/>
          <w:sz w:val="13"/>
          <w:szCs w:val="13"/>
          <w:color w:val="auto"/>
        </w:rPr>
        <w:t>This interim report is prepared in the presentation currency, U.S. Dollar (“USD”). All amounts are stated in thousands of USD (“TUSD”), unless otherwise stated.</w:t>
      </w:r>
    </w:p>
    <w:p>
      <w:pPr>
        <w:spacing w:after="0" w:line="196"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Going concern</w:t>
      </w:r>
    </w:p>
    <w:p>
      <w:pPr>
        <w:spacing w:after="0" w:line="80" w:lineRule="exact"/>
        <w:rPr>
          <w:sz w:val="20"/>
          <w:szCs w:val="20"/>
          <w:color w:val="auto"/>
        </w:rPr>
      </w:pPr>
    </w:p>
    <w:p>
      <w:pPr>
        <w:ind w:left="640" w:right="679"/>
        <w:spacing w:after="0" w:line="267" w:lineRule="auto"/>
        <w:rPr>
          <w:sz w:val="20"/>
          <w:szCs w:val="20"/>
          <w:color w:val="auto"/>
        </w:rPr>
      </w:pPr>
      <w:r>
        <w:rPr>
          <w:rFonts w:ascii="Times New Roman" w:cs="Times New Roman" w:eastAsia="Times New Roman" w:hAnsi="Times New Roman"/>
          <w:sz w:val="13"/>
          <w:szCs w:val="13"/>
          <w:color w:val="auto"/>
        </w:rPr>
        <w:t>Polestar Group’s Unaudited Condensed Consolidated Financial Statements have been prepared on a basis that assumes Polestar Group will continue as a going concern and the ordinary course of business will continue in alignment with management’s 2022-2025 business plan.</w:t>
      </w:r>
    </w:p>
    <w:p>
      <w:pPr>
        <w:spacing w:after="0" w:line="7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10</w:t>
      </w:r>
    </w:p>
    <w:p>
      <w:pPr>
        <w:sectPr>
          <w:pgSz w:w="11900" w:h="16838" w:orient="portrait"/>
          <w:cols w:equalWidth="0" w:num="1">
            <w:col w:w="9019"/>
          </w:cols>
          <w:pgMar w:left="1440" w:top="231" w:right="1440" w:bottom="1440" w:gutter="0" w:footer="0" w:header="0"/>
        </w:sectPr>
      </w:pPr>
    </w:p>
    <w:bookmarkStart w:id="67" w:name="page68"/>
    <w:bookmarkEnd w:id="67"/>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3" w:lineRule="exact"/>
        <w:rPr>
          <w:sz w:val="20"/>
          <w:szCs w:val="20"/>
          <w:color w:val="auto"/>
        </w:rPr>
      </w:pPr>
    </w:p>
    <w:p>
      <w:pPr>
        <w:ind w:left="640" w:right="659"/>
        <w:spacing w:after="0" w:line="251" w:lineRule="auto"/>
        <w:rPr>
          <w:sz w:val="20"/>
          <w:szCs w:val="20"/>
          <w:color w:val="auto"/>
        </w:rPr>
      </w:pPr>
      <w:r>
        <w:rPr>
          <w:rFonts w:ascii="Times New Roman" w:cs="Times New Roman" w:eastAsia="Times New Roman" w:hAnsi="Times New Roman"/>
          <w:sz w:val="13"/>
          <w:szCs w:val="13"/>
          <w:color w:val="auto"/>
        </w:rPr>
        <w:t>Management assessed Polestar Group’s ability to continue as a going concern and evaluated whether there are certain events or conditions, considered in the aggregate, that may cast substantial doubt about Polestar Group’s ability to continue as a going concern. All information available to management pertaining to the twelve-month period after the issuance date of these Unaudited Condensed Consolidated Financial Statements was used in performing this assessment.</w:t>
      </w:r>
    </w:p>
    <w:p>
      <w:pPr>
        <w:spacing w:after="0" w:line="133" w:lineRule="exact"/>
        <w:rPr>
          <w:sz w:val="20"/>
          <w:szCs w:val="20"/>
          <w:color w:val="auto"/>
        </w:rPr>
      </w:pPr>
    </w:p>
    <w:p>
      <w:pPr>
        <w:ind w:left="640" w:right="679"/>
        <w:spacing w:after="0" w:line="249" w:lineRule="auto"/>
        <w:rPr>
          <w:sz w:val="20"/>
          <w:szCs w:val="20"/>
          <w:color w:val="auto"/>
        </w:rPr>
      </w:pPr>
      <w:r>
        <w:rPr>
          <w:rFonts w:ascii="Times New Roman" w:cs="Times New Roman" w:eastAsia="Times New Roman" w:hAnsi="Times New Roman"/>
          <w:sz w:val="13"/>
          <w:szCs w:val="13"/>
          <w:color w:val="auto"/>
        </w:rPr>
        <w:t>Historically, Polestar Group has financed its operations primarily through short-term working capital loan arrangements with credit institutions (i.e., 12 months or less), contributions from shareholders, and extended trade credit from related parties. Since inception, Polestar Group has primarily generated recurring operating losses and negative operating and investing cash flows. Operating losses for the three months ended September 30, 2022 and 2021 amounted to $196,401 and $292,861, respectively. Operating losses for the nine months ended September 30, 2022 and 2021 amounted to $1,081,581 and $657,544, respectively.</w:t>
      </w:r>
    </w:p>
    <w:p>
      <w:pPr>
        <w:spacing w:after="0" w:line="134" w:lineRule="exact"/>
        <w:rPr>
          <w:sz w:val="20"/>
          <w:szCs w:val="20"/>
          <w:color w:val="auto"/>
        </w:rPr>
      </w:pPr>
    </w:p>
    <w:p>
      <w:pPr>
        <w:ind w:left="640" w:right="679"/>
        <w:spacing w:after="0" w:line="251" w:lineRule="auto"/>
        <w:rPr>
          <w:sz w:val="20"/>
          <w:szCs w:val="20"/>
          <w:color w:val="auto"/>
        </w:rPr>
      </w:pPr>
      <w:r>
        <w:rPr>
          <w:rFonts w:ascii="Times New Roman" w:cs="Times New Roman" w:eastAsia="Times New Roman" w:hAnsi="Times New Roman"/>
          <w:sz w:val="13"/>
          <w:szCs w:val="13"/>
          <w:color w:val="auto"/>
        </w:rPr>
        <w:t>Negative operating and investing cash flows for the nine months ended September 30, 2022 and 2021 amounted to $1,676,203 and $227,249, respectively. Management forecasts that Polestar Group will continue to generate negative operating and investing cash flows in the near-future, until sustainable commercial operations are achieved. Securing financing to support operating and development activities represents an ongoing challenge for Polestar Group.</w:t>
      </w:r>
    </w:p>
    <w:p>
      <w:pPr>
        <w:spacing w:after="0" w:line="133" w:lineRule="exact"/>
        <w:rPr>
          <w:sz w:val="20"/>
          <w:szCs w:val="20"/>
          <w:color w:val="auto"/>
        </w:rPr>
      </w:pPr>
    </w:p>
    <w:p>
      <w:pPr>
        <w:ind w:left="640" w:right="659"/>
        <w:spacing w:after="0" w:line="248" w:lineRule="auto"/>
        <w:rPr>
          <w:sz w:val="20"/>
          <w:szCs w:val="20"/>
          <w:color w:val="auto"/>
        </w:rPr>
      </w:pPr>
      <w:r>
        <w:rPr>
          <w:rFonts w:ascii="Times New Roman" w:cs="Times New Roman" w:eastAsia="Times New Roman" w:hAnsi="Times New Roman"/>
          <w:sz w:val="13"/>
          <w:szCs w:val="13"/>
          <w:color w:val="auto"/>
        </w:rPr>
        <w:t>Management’s 2022-2025 business plan indicates that Polestar Group depends on additional financing that is expected to be funded via a combination of new short-term working capital loan arrangements, shareholder loans, long-term loan arrangements, and new share issuances. The timely realization of these financing endeavors is crucial for Polestar Group’s ability to continue as a going concern. If these financing endeavors are not successful or sufficient enough to cover forecasted operating and investing cash flow needs, Polestar Group will need to seek additional funding through other means. Management has no certainty that Polestar Group will be successful in securing the funds necessary to continue operating and development activities as planned.</w:t>
      </w:r>
    </w:p>
    <w:p>
      <w:pPr>
        <w:spacing w:after="0" w:line="135" w:lineRule="exact"/>
        <w:rPr>
          <w:sz w:val="20"/>
          <w:szCs w:val="20"/>
          <w:color w:val="auto"/>
        </w:rPr>
      </w:pPr>
    </w:p>
    <w:p>
      <w:pPr>
        <w:ind w:left="640" w:right="939"/>
        <w:spacing w:after="0" w:line="255" w:lineRule="auto"/>
        <w:rPr>
          <w:sz w:val="20"/>
          <w:szCs w:val="20"/>
          <w:color w:val="auto"/>
        </w:rPr>
      </w:pPr>
      <w:r>
        <w:rPr>
          <w:rFonts w:ascii="Times New Roman" w:cs="Times New Roman" w:eastAsia="Times New Roman" w:hAnsi="Times New Roman"/>
          <w:sz w:val="13"/>
          <w:szCs w:val="13"/>
          <w:color w:val="auto"/>
        </w:rPr>
        <w:t>Based on these circumstances, management has determined there is substantial doubt about Polestar Group’s ability to continue as a going concern. There are ongoing efforts in place to mitigate the uncertainty. The Unaudited Condensed Consolidated Financial Statements do not include any adjustments to factor for the going concern uncertainty.</w:t>
      </w:r>
    </w:p>
    <w:p>
      <w:pPr>
        <w:spacing w:after="0" w:line="8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11</w:t>
      </w:r>
    </w:p>
    <w:p>
      <w:pPr>
        <w:sectPr>
          <w:pgSz w:w="11900" w:h="16838" w:orient="portrait"/>
          <w:cols w:equalWidth="0" w:num="1">
            <w:col w:w="9019"/>
          </w:cols>
          <w:pgMar w:left="1440" w:top="231" w:right="1440" w:bottom="1440" w:gutter="0" w:footer="0" w:header="0"/>
        </w:sectPr>
      </w:pPr>
    </w:p>
    <w:bookmarkStart w:id="68" w:name="page69"/>
    <w:bookmarkEnd w:id="68"/>
    <w:p>
      <w:pPr>
        <w:jc w:val="center"/>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1"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Adoption of new and revised standards</w:t>
      </w:r>
    </w:p>
    <w:p>
      <w:pPr>
        <w:spacing w:after="0" w:line="80" w:lineRule="exact"/>
        <w:rPr>
          <w:sz w:val="20"/>
          <w:szCs w:val="20"/>
          <w:color w:val="auto"/>
        </w:rPr>
      </w:pPr>
    </w:p>
    <w:p>
      <w:pPr>
        <w:ind w:left="640" w:right="759"/>
        <w:spacing w:after="0" w:line="248" w:lineRule="auto"/>
        <w:rPr>
          <w:sz w:val="20"/>
          <w:szCs w:val="20"/>
          <w:color w:val="auto"/>
        </w:rPr>
      </w:pPr>
      <w:r>
        <w:rPr>
          <w:rFonts w:ascii="Times New Roman" w:cs="Times New Roman" w:eastAsia="Times New Roman" w:hAnsi="Times New Roman"/>
          <w:sz w:val="13"/>
          <w:szCs w:val="13"/>
          <w:color w:val="auto"/>
        </w:rPr>
        <w:t>Management concluded the adoption of new and revised accounting pronouncements has not and will not have a material impact on the Group’s Unaudited Condensed Consolidated Financial Statements. The adoptions of accounting pronouncements issued, but not effective, for the nine months ended September 30, 2022 will not have a material impact to the Group’s Unaudited Condensed Consolidated Financial Statements. For a detailed assessment of the Group’s adoption of new and revised standards, refer to Note 1 - Significant accounting policies and judgements of the Consolidated Financial Statements for Polestar Automotive Holding Limited, as of, and for the year ended, December 31, 2021 that were included in the Form 20-F filed with the United States Securities and Exchange Commission (“SEC”) on June 29, 2022.</w:t>
      </w:r>
    </w:p>
    <w:p>
      <w:pPr>
        <w:spacing w:after="0" w:line="8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12</w:t>
      </w:r>
    </w:p>
    <w:p>
      <w:pPr>
        <w:sectPr>
          <w:pgSz w:w="11900" w:h="16838" w:orient="portrait"/>
          <w:cols w:equalWidth="0" w:num="1">
            <w:col w:w="9019"/>
          </w:cols>
          <w:pgMar w:left="1440" w:top="231" w:right="1440" w:bottom="1440" w:gutter="0" w:footer="0" w:header="0"/>
        </w:sectPr>
      </w:pPr>
    </w:p>
    <w:bookmarkStart w:id="69" w:name="page70"/>
    <w:bookmarkEnd w:id="69"/>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1"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Presentation, basis of consolidation, segment reporting, and foreign currency</w:t>
      </w:r>
    </w:p>
    <w:p>
      <w:pPr>
        <w:spacing w:after="0" w:line="80" w:lineRule="exact"/>
        <w:rPr>
          <w:sz w:val="20"/>
          <w:szCs w:val="20"/>
          <w:color w:val="auto"/>
        </w:rPr>
      </w:pPr>
    </w:p>
    <w:p>
      <w:pPr>
        <w:ind w:left="640" w:right="759"/>
        <w:spacing w:after="0" w:line="251" w:lineRule="auto"/>
        <w:rPr>
          <w:sz w:val="20"/>
          <w:szCs w:val="20"/>
          <w:color w:val="auto"/>
        </w:rPr>
      </w:pPr>
      <w:r>
        <w:rPr>
          <w:rFonts w:ascii="Times New Roman" w:cs="Times New Roman" w:eastAsia="Times New Roman" w:hAnsi="Times New Roman"/>
          <w:sz w:val="13"/>
          <w:szCs w:val="13"/>
          <w:color w:val="auto"/>
        </w:rPr>
        <w:t>For a detailed description of the Group’s presentation, basis of consolidation, segment reporting, and foreign currency, including currency risk, refer to Note 1 - Significant accounting policies and judgements and Note 2 - Financial risk management of the Consolidated Financial Statements for Polestar Automotive Holding Limited, as of, and for the year ended, December 31, 2021 that were included in the Form 20-F filed with the SEC on June 29, 2022. There are no changes for the periods presented in these Unaudited Condensed Consolidated Financial Statements.</w:t>
      </w:r>
    </w:p>
    <w:p>
      <w:pPr>
        <w:spacing w:after="0" w:line="133" w:lineRule="exact"/>
        <w:rPr>
          <w:sz w:val="20"/>
          <w:szCs w:val="20"/>
          <w:color w:val="auto"/>
        </w:rPr>
      </w:pPr>
    </w:p>
    <w:p>
      <w:pPr>
        <w:ind w:left="640" w:right="819"/>
        <w:spacing w:after="0" w:line="267" w:lineRule="auto"/>
        <w:rPr>
          <w:sz w:val="20"/>
          <w:szCs w:val="20"/>
          <w:color w:val="auto"/>
        </w:rPr>
      </w:pPr>
      <w:r>
        <w:rPr>
          <w:rFonts w:ascii="Times New Roman" w:cs="Times New Roman" w:eastAsia="Times New Roman" w:hAnsi="Times New Roman"/>
          <w:sz w:val="13"/>
          <w:szCs w:val="13"/>
          <w:color w:val="auto"/>
        </w:rPr>
        <w:t>The following tables show the breakdown of the Group’s revenue from external customers and non-current assets (i.e., property, plant, and equipment (“PPE”), intangibles, goodwill, vehicles under operating leases and other investments) by geographical location:</w:t>
      </w:r>
    </w:p>
    <w:p>
      <w:pPr>
        <w:spacing w:after="0" w:line="127" w:lineRule="exact"/>
        <w:rPr>
          <w:sz w:val="20"/>
          <w:szCs w:val="20"/>
          <w:color w:val="auto"/>
        </w:rPr>
      </w:pPr>
    </w:p>
    <w:tbl>
      <w:tblPr>
        <w:tblLayout w:type="fixed"/>
        <w:tblInd w:w="960" w:type="dxa"/>
        <w:tblCellMar>
          <w:top w:w="0" w:type="dxa"/>
          <w:left w:w="0" w:type="dxa"/>
          <w:bottom w:w="0" w:type="dxa"/>
          <w:right w:w="0" w:type="dxa"/>
        </w:tblCellMar>
      </w:tblPr>
      <w:tr>
        <w:trPr>
          <w:trHeight w:val="115"/>
        </w:trPr>
        <w:tc>
          <w:tcPr>
            <w:tcW w:w="4380" w:type="dxa"/>
            <w:vAlign w:val="bottom"/>
          </w:tcPr>
          <w:p>
            <w:pPr>
              <w:spacing w:after="0"/>
              <w:rPr>
                <w:sz w:val="10"/>
                <w:szCs w:val="10"/>
                <w:color w:val="auto"/>
              </w:rPr>
            </w:pPr>
          </w:p>
        </w:tc>
        <w:tc>
          <w:tcPr>
            <w:tcW w:w="1440" w:type="dxa"/>
            <w:vAlign w:val="bottom"/>
            <w:gridSpan w:val="4"/>
          </w:tcPr>
          <w:p>
            <w:pPr>
              <w:jc w:val="right"/>
              <w:ind w:right="200"/>
              <w:spacing w:after="0"/>
              <w:rPr>
                <w:sz w:val="20"/>
                <w:szCs w:val="20"/>
                <w:color w:val="auto"/>
              </w:rPr>
            </w:pPr>
            <w:r>
              <w:rPr>
                <w:rFonts w:ascii="Times New Roman" w:cs="Times New Roman" w:eastAsia="Times New Roman" w:hAnsi="Times New Roman"/>
                <w:sz w:val="10"/>
                <w:szCs w:val="10"/>
                <w:b w:val="1"/>
                <w:bCs w:val="1"/>
                <w:color w:val="auto"/>
              </w:rPr>
              <w:t>For the three months ended</w:t>
            </w:r>
          </w:p>
        </w:tc>
        <w:tc>
          <w:tcPr>
            <w:tcW w:w="1280" w:type="dxa"/>
            <w:vAlign w:val="bottom"/>
            <w:gridSpan w:val="4"/>
          </w:tcPr>
          <w:p>
            <w:pPr>
              <w:jc w:val="right"/>
              <w:ind w:right="80"/>
              <w:spacing w:after="0"/>
              <w:rPr>
                <w:sz w:val="20"/>
                <w:szCs w:val="20"/>
                <w:color w:val="auto"/>
              </w:rPr>
            </w:pPr>
            <w:r>
              <w:rPr>
                <w:rFonts w:ascii="Times New Roman" w:cs="Times New Roman" w:eastAsia="Times New Roman" w:hAnsi="Times New Roman"/>
                <w:sz w:val="10"/>
                <w:szCs w:val="10"/>
                <w:b w:val="1"/>
                <w:bCs w:val="1"/>
                <w:color w:val="auto"/>
              </w:rPr>
              <w:t>For the nine months ended</w:t>
            </w:r>
          </w:p>
        </w:tc>
        <w:tc>
          <w:tcPr>
            <w:tcW w:w="0" w:type="dxa"/>
            <w:vAlign w:val="bottom"/>
          </w:tcPr>
          <w:p>
            <w:pPr>
              <w:spacing w:after="0"/>
              <w:rPr>
                <w:sz w:val="1"/>
                <w:szCs w:val="1"/>
                <w:color w:val="auto"/>
              </w:rPr>
            </w:pPr>
          </w:p>
        </w:tc>
      </w:tr>
      <w:tr>
        <w:trPr>
          <w:trHeight w:val="121"/>
        </w:trPr>
        <w:tc>
          <w:tcPr>
            <w:tcW w:w="4380" w:type="dxa"/>
            <w:vAlign w:val="bottom"/>
            <w:vMerge w:val="restart"/>
          </w:tcPr>
          <w:p>
            <w:pPr>
              <w:spacing w:after="0"/>
              <w:rPr>
                <w:sz w:val="20"/>
                <w:szCs w:val="20"/>
                <w:color w:val="auto"/>
              </w:rPr>
            </w:pPr>
            <w:r>
              <w:rPr>
                <w:rFonts w:ascii="Times New Roman" w:cs="Times New Roman" w:eastAsia="Times New Roman" w:hAnsi="Times New Roman"/>
                <w:sz w:val="10"/>
                <w:szCs w:val="10"/>
                <w:b w:val="1"/>
                <w:bCs w:val="1"/>
                <w:color w:val="auto"/>
              </w:rPr>
              <w:t>Revenue</w:t>
            </w:r>
          </w:p>
        </w:tc>
        <w:tc>
          <w:tcPr>
            <w:tcW w:w="1440" w:type="dxa"/>
            <w:vAlign w:val="bottom"/>
            <w:gridSpan w:val="4"/>
          </w:tcPr>
          <w:p>
            <w:pPr>
              <w:jc w:val="right"/>
              <w:ind w:right="500"/>
              <w:spacing w:after="0"/>
              <w:rPr>
                <w:sz w:val="20"/>
                <w:szCs w:val="20"/>
                <w:color w:val="auto"/>
              </w:rPr>
            </w:pPr>
            <w:r>
              <w:rPr>
                <w:rFonts w:ascii="Times New Roman" w:cs="Times New Roman" w:eastAsia="Times New Roman" w:hAnsi="Times New Roman"/>
                <w:sz w:val="10"/>
                <w:szCs w:val="10"/>
                <w:b w:val="1"/>
                <w:bCs w:val="1"/>
                <w:color w:val="auto"/>
              </w:rPr>
              <w:t>September 30,</w:t>
            </w:r>
          </w:p>
        </w:tc>
        <w:tc>
          <w:tcPr>
            <w:tcW w:w="1280" w:type="dxa"/>
            <w:vAlign w:val="bottom"/>
            <w:gridSpan w:val="4"/>
          </w:tcPr>
          <w:p>
            <w:pPr>
              <w:jc w:val="right"/>
              <w:ind w:right="340"/>
              <w:spacing w:after="0"/>
              <w:rPr>
                <w:sz w:val="20"/>
                <w:szCs w:val="20"/>
                <w:color w:val="auto"/>
              </w:rPr>
            </w:pPr>
            <w:r>
              <w:rPr>
                <w:rFonts w:ascii="Times New Roman" w:cs="Times New Roman" w:eastAsia="Times New Roman" w:hAnsi="Times New Roman"/>
                <w:sz w:val="10"/>
                <w:szCs w:val="10"/>
                <w:b w:val="1"/>
                <w:bCs w:val="1"/>
                <w:color w:val="auto"/>
              </w:rPr>
              <w:t>September 30,</w:t>
            </w:r>
          </w:p>
        </w:tc>
        <w:tc>
          <w:tcPr>
            <w:tcW w:w="0" w:type="dxa"/>
            <w:vAlign w:val="bottom"/>
          </w:tcPr>
          <w:p>
            <w:pPr>
              <w:spacing w:after="0"/>
              <w:rPr>
                <w:sz w:val="1"/>
                <w:szCs w:val="1"/>
                <w:color w:val="auto"/>
              </w:rPr>
            </w:pPr>
          </w:p>
        </w:tc>
      </w:tr>
      <w:tr>
        <w:trPr>
          <w:trHeight w:val="94"/>
        </w:trPr>
        <w:tc>
          <w:tcPr>
            <w:tcW w:w="4380" w:type="dxa"/>
            <w:vAlign w:val="bottom"/>
            <w:tcBorders>
              <w:bottom w:val="single" w:sz="8" w:color="CCEEFF"/>
            </w:tcBorders>
            <w:vMerge w:val="continue"/>
          </w:tcPr>
          <w:p>
            <w:pPr>
              <w:spacing w:after="0"/>
              <w:rPr>
                <w:sz w:val="8"/>
                <w:szCs w:val="8"/>
                <w:color w:val="auto"/>
              </w:rPr>
            </w:pPr>
          </w:p>
        </w:tc>
        <w:tc>
          <w:tcPr>
            <w:tcW w:w="540" w:type="dxa"/>
            <w:vAlign w:val="bottom"/>
            <w:tcBorders>
              <w:top w:val="single" w:sz="8" w:color="auto"/>
              <w:bottom w:val="single" w:sz="8" w:color="auto"/>
            </w:tcBorders>
          </w:tcPr>
          <w:p>
            <w:pPr>
              <w:jc w:val="right"/>
              <w:ind w:right="99"/>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80" w:type="dxa"/>
            <w:vAlign w:val="bottom"/>
            <w:tcBorders>
              <w:top w:val="single" w:sz="8" w:color="auto"/>
              <w:bottom w:val="single" w:sz="8" w:color="CCEEFF"/>
            </w:tcBorders>
          </w:tcPr>
          <w:p>
            <w:pPr>
              <w:spacing w:after="0"/>
              <w:rPr>
                <w:sz w:val="8"/>
                <w:szCs w:val="8"/>
                <w:color w:val="auto"/>
              </w:rPr>
            </w:pPr>
          </w:p>
        </w:tc>
        <w:tc>
          <w:tcPr>
            <w:tcW w:w="540" w:type="dxa"/>
            <w:vAlign w:val="bottom"/>
            <w:tcBorders>
              <w:top w:val="single" w:sz="8" w:color="auto"/>
              <w:bottom w:val="single" w:sz="8" w:color="auto"/>
            </w:tcBorders>
          </w:tcPr>
          <w:p>
            <w:pPr>
              <w:jc w:val="right"/>
              <w:ind w:right="98"/>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180" w:type="dxa"/>
            <w:vAlign w:val="bottom"/>
            <w:tcBorders>
              <w:bottom w:val="single" w:sz="8" w:color="CCEEFF"/>
            </w:tcBorders>
          </w:tcPr>
          <w:p>
            <w:pPr>
              <w:spacing w:after="0"/>
              <w:rPr>
                <w:sz w:val="8"/>
                <w:szCs w:val="8"/>
                <w:color w:val="auto"/>
              </w:rPr>
            </w:pPr>
          </w:p>
        </w:tc>
        <w:tc>
          <w:tcPr>
            <w:tcW w:w="580" w:type="dxa"/>
            <w:vAlign w:val="bottom"/>
            <w:tcBorders>
              <w:top w:val="single" w:sz="8" w:color="auto"/>
              <w:bottom w:val="single" w:sz="8" w:color="auto"/>
            </w:tcBorders>
          </w:tcPr>
          <w:p>
            <w:pPr>
              <w:jc w:val="right"/>
              <w:ind w:right="119"/>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80" w:type="dxa"/>
            <w:vAlign w:val="bottom"/>
            <w:tcBorders>
              <w:top w:val="single" w:sz="8" w:color="auto"/>
              <w:bottom w:val="single" w:sz="8" w:color="CCEEFF"/>
            </w:tcBorders>
          </w:tcPr>
          <w:p>
            <w:pPr>
              <w:spacing w:after="0"/>
              <w:rPr>
                <w:sz w:val="8"/>
                <w:szCs w:val="8"/>
                <w:color w:val="auto"/>
              </w:rPr>
            </w:pPr>
          </w:p>
        </w:tc>
        <w:tc>
          <w:tcPr>
            <w:tcW w:w="480" w:type="dxa"/>
            <w:vAlign w:val="bottom"/>
            <w:tcBorders>
              <w:top w:val="single" w:sz="8" w:color="auto"/>
              <w:bottom w:val="single" w:sz="8" w:color="auto"/>
            </w:tcBorders>
          </w:tcPr>
          <w:p>
            <w:pPr>
              <w:jc w:val="right"/>
              <w:ind w:right="78"/>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40" w:type="dxa"/>
            <w:vAlign w:val="bottom"/>
            <w:tcBorders>
              <w:bottom w:val="single" w:sz="8" w:color="CCEEFF"/>
            </w:tcBorders>
          </w:tcPr>
          <w:p>
            <w:pPr>
              <w:spacing w:after="0"/>
              <w:rPr>
                <w:sz w:val="8"/>
                <w:szCs w:val="8"/>
                <w:color w:val="auto"/>
              </w:rPr>
            </w:pPr>
          </w:p>
        </w:tc>
        <w:tc>
          <w:tcPr>
            <w:tcW w:w="0" w:type="dxa"/>
            <w:vAlign w:val="bottom"/>
          </w:tcPr>
          <w:p>
            <w:pPr>
              <w:spacing w:after="0"/>
              <w:rPr>
                <w:sz w:val="1"/>
                <w:szCs w:val="1"/>
                <w:color w:val="auto"/>
              </w:rPr>
            </w:pPr>
          </w:p>
        </w:tc>
      </w:tr>
      <w:tr>
        <w:trPr>
          <w:trHeight w:val="141"/>
        </w:trPr>
        <w:tc>
          <w:tcPr>
            <w:tcW w:w="4380" w:type="dxa"/>
            <w:vAlign w:val="bottom"/>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USA</w:t>
            </w:r>
          </w:p>
        </w:tc>
        <w:tc>
          <w:tcPr>
            <w:tcW w:w="5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103,020</w:t>
            </w:r>
          </w:p>
        </w:tc>
        <w:tc>
          <w:tcPr>
            <w:tcW w:w="18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49,258</w:t>
            </w:r>
          </w:p>
        </w:tc>
        <w:tc>
          <w:tcPr>
            <w:tcW w:w="18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317,251</w:t>
            </w:r>
          </w:p>
        </w:tc>
        <w:tc>
          <w:tcPr>
            <w:tcW w:w="180" w:type="dxa"/>
            <w:vAlign w:val="bottom"/>
            <w:shd w:val="clear" w:color="auto" w:fill="CCEEFF"/>
          </w:tcPr>
          <w:p>
            <w:pPr>
              <w:spacing w:after="0"/>
              <w:rPr>
                <w:sz w:val="12"/>
                <w:szCs w:val="12"/>
                <w:color w:val="auto"/>
              </w:rPr>
            </w:pPr>
          </w:p>
        </w:tc>
        <w:tc>
          <w:tcPr>
            <w:tcW w:w="4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80,844</w:t>
            </w: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2"/>
        </w:trPr>
        <w:tc>
          <w:tcPr>
            <w:tcW w:w="4380" w:type="dxa"/>
            <w:vAlign w:val="bottom"/>
          </w:tcPr>
          <w:p>
            <w:pPr>
              <w:spacing w:after="0"/>
              <w:rPr>
                <w:sz w:val="20"/>
                <w:szCs w:val="20"/>
                <w:color w:val="auto"/>
              </w:rPr>
            </w:pPr>
            <w:r>
              <w:rPr>
                <w:rFonts w:ascii="Times New Roman" w:cs="Times New Roman" w:eastAsia="Times New Roman" w:hAnsi="Times New Roman"/>
                <w:sz w:val="13"/>
                <w:szCs w:val="13"/>
                <w:color w:val="auto"/>
              </w:rPr>
              <w:t>Sweden</w:t>
            </w:r>
          </w:p>
        </w:tc>
        <w:tc>
          <w:tcPr>
            <w:tcW w:w="72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67,681</w:t>
            </w:r>
          </w:p>
        </w:tc>
        <w:tc>
          <w:tcPr>
            <w:tcW w:w="72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16,453</w:t>
            </w:r>
          </w:p>
        </w:tc>
        <w:tc>
          <w:tcPr>
            <w:tcW w:w="76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222,838</w:t>
            </w:r>
          </w:p>
        </w:tc>
        <w:tc>
          <w:tcPr>
            <w:tcW w:w="52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110,024</w:t>
            </w:r>
          </w:p>
        </w:tc>
        <w:tc>
          <w:tcPr>
            <w:tcW w:w="0" w:type="dxa"/>
            <w:vAlign w:val="bottom"/>
          </w:tcPr>
          <w:p>
            <w:pPr>
              <w:spacing w:after="0"/>
              <w:rPr>
                <w:sz w:val="1"/>
                <w:szCs w:val="1"/>
                <w:color w:val="auto"/>
              </w:rPr>
            </w:pPr>
          </w:p>
        </w:tc>
      </w:tr>
      <w:tr>
        <w:trPr>
          <w:trHeight w:val="152"/>
        </w:trPr>
        <w:tc>
          <w:tcPr>
            <w:tcW w:w="43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United Kingdom</w:t>
            </w: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49,992</w:t>
            </w: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36,742</w:t>
            </w:r>
          </w:p>
        </w:tc>
        <w:tc>
          <w:tcPr>
            <w:tcW w:w="76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187,209</w:t>
            </w:r>
          </w:p>
        </w:tc>
        <w:tc>
          <w:tcPr>
            <w:tcW w:w="5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127,427</w:t>
            </w:r>
          </w:p>
        </w:tc>
        <w:tc>
          <w:tcPr>
            <w:tcW w:w="0" w:type="dxa"/>
            <w:vAlign w:val="bottom"/>
          </w:tcPr>
          <w:p>
            <w:pPr>
              <w:spacing w:after="0"/>
              <w:rPr>
                <w:sz w:val="1"/>
                <w:szCs w:val="1"/>
                <w:color w:val="auto"/>
              </w:rPr>
            </w:pPr>
          </w:p>
        </w:tc>
      </w:tr>
      <w:tr>
        <w:trPr>
          <w:trHeight w:val="152"/>
        </w:trPr>
        <w:tc>
          <w:tcPr>
            <w:tcW w:w="4380" w:type="dxa"/>
            <w:vAlign w:val="bottom"/>
          </w:tcPr>
          <w:p>
            <w:pPr>
              <w:spacing w:after="0"/>
              <w:rPr>
                <w:sz w:val="20"/>
                <w:szCs w:val="20"/>
                <w:color w:val="auto"/>
              </w:rPr>
            </w:pPr>
            <w:r>
              <w:rPr>
                <w:rFonts w:ascii="Times New Roman" w:cs="Times New Roman" w:eastAsia="Times New Roman" w:hAnsi="Times New Roman"/>
                <w:sz w:val="13"/>
                <w:szCs w:val="13"/>
                <w:color w:val="auto"/>
              </w:rPr>
              <w:t>Germany</w:t>
            </w:r>
          </w:p>
        </w:tc>
        <w:tc>
          <w:tcPr>
            <w:tcW w:w="72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52,182</w:t>
            </w:r>
          </w:p>
        </w:tc>
        <w:tc>
          <w:tcPr>
            <w:tcW w:w="72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22,843</w:t>
            </w:r>
          </w:p>
        </w:tc>
        <w:tc>
          <w:tcPr>
            <w:tcW w:w="76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154,391</w:t>
            </w:r>
          </w:p>
        </w:tc>
        <w:tc>
          <w:tcPr>
            <w:tcW w:w="52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81,683</w:t>
            </w:r>
          </w:p>
        </w:tc>
        <w:tc>
          <w:tcPr>
            <w:tcW w:w="0" w:type="dxa"/>
            <w:vAlign w:val="bottom"/>
          </w:tcPr>
          <w:p>
            <w:pPr>
              <w:spacing w:after="0"/>
              <w:rPr>
                <w:sz w:val="1"/>
                <w:szCs w:val="1"/>
                <w:color w:val="auto"/>
              </w:rPr>
            </w:pPr>
          </w:p>
        </w:tc>
      </w:tr>
      <w:tr>
        <w:trPr>
          <w:trHeight w:val="152"/>
        </w:trPr>
        <w:tc>
          <w:tcPr>
            <w:tcW w:w="43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Norway</w:t>
            </w: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25,599</w:t>
            </w: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30,379</w:t>
            </w:r>
          </w:p>
        </w:tc>
        <w:tc>
          <w:tcPr>
            <w:tcW w:w="76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142,121</w:t>
            </w:r>
          </w:p>
        </w:tc>
        <w:tc>
          <w:tcPr>
            <w:tcW w:w="5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167,340</w:t>
            </w:r>
          </w:p>
        </w:tc>
        <w:tc>
          <w:tcPr>
            <w:tcW w:w="0" w:type="dxa"/>
            <w:vAlign w:val="bottom"/>
          </w:tcPr>
          <w:p>
            <w:pPr>
              <w:spacing w:after="0"/>
              <w:rPr>
                <w:sz w:val="1"/>
                <w:szCs w:val="1"/>
                <w:color w:val="auto"/>
              </w:rPr>
            </w:pPr>
          </w:p>
        </w:tc>
      </w:tr>
      <w:tr>
        <w:trPr>
          <w:trHeight w:val="152"/>
        </w:trPr>
        <w:tc>
          <w:tcPr>
            <w:tcW w:w="4380" w:type="dxa"/>
            <w:vAlign w:val="bottom"/>
          </w:tcPr>
          <w:p>
            <w:pPr>
              <w:spacing w:after="0"/>
              <w:rPr>
                <w:sz w:val="20"/>
                <w:szCs w:val="20"/>
                <w:color w:val="auto"/>
              </w:rPr>
            </w:pPr>
            <w:r>
              <w:rPr>
                <w:rFonts w:ascii="Times New Roman" w:cs="Times New Roman" w:eastAsia="Times New Roman" w:hAnsi="Times New Roman"/>
                <w:sz w:val="13"/>
                <w:szCs w:val="13"/>
                <w:color w:val="auto"/>
              </w:rPr>
              <w:t>Korea</w:t>
            </w:r>
          </w:p>
        </w:tc>
        <w:tc>
          <w:tcPr>
            <w:tcW w:w="72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48,775</w:t>
            </w:r>
          </w:p>
        </w:tc>
        <w:tc>
          <w:tcPr>
            <w:tcW w:w="720" w:type="dxa"/>
            <w:vAlign w:val="bottom"/>
            <w:gridSpan w:val="2"/>
          </w:tcPr>
          <w:p>
            <w:pPr>
              <w:jc w:val="right"/>
              <w:ind w:right="240"/>
              <w:spacing w:after="0"/>
              <w:rPr>
                <w:sz w:val="20"/>
                <w:szCs w:val="20"/>
                <w:color w:val="auto"/>
              </w:rPr>
            </w:pPr>
            <w:r>
              <w:rPr>
                <w:rFonts w:ascii="Times New Roman" w:cs="Times New Roman" w:eastAsia="Times New Roman" w:hAnsi="Times New Roman"/>
                <w:sz w:val="13"/>
                <w:szCs w:val="13"/>
                <w:color w:val="auto"/>
              </w:rPr>
              <w:t>—</w:t>
            </w:r>
          </w:p>
        </w:tc>
        <w:tc>
          <w:tcPr>
            <w:tcW w:w="76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92,516</w:t>
            </w:r>
          </w:p>
        </w:tc>
        <w:tc>
          <w:tcPr>
            <w:tcW w:w="52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w:t>
            </w:r>
          </w:p>
        </w:tc>
        <w:tc>
          <w:tcPr>
            <w:tcW w:w="0" w:type="dxa"/>
            <w:vAlign w:val="bottom"/>
          </w:tcPr>
          <w:p>
            <w:pPr>
              <w:spacing w:after="0"/>
              <w:rPr>
                <w:sz w:val="1"/>
                <w:szCs w:val="1"/>
                <w:color w:val="auto"/>
              </w:rPr>
            </w:pPr>
          </w:p>
        </w:tc>
      </w:tr>
      <w:tr>
        <w:trPr>
          <w:trHeight w:val="152"/>
        </w:trPr>
        <w:tc>
          <w:tcPr>
            <w:tcW w:w="43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Netherlands</w:t>
            </w: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11,583</w:t>
            </w: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17,089</w:t>
            </w:r>
          </w:p>
        </w:tc>
        <w:tc>
          <w:tcPr>
            <w:tcW w:w="76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67,520</w:t>
            </w:r>
          </w:p>
        </w:tc>
        <w:tc>
          <w:tcPr>
            <w:tcW w:w="5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64,045</w:t>
            </w:r>
          </w:p>
        </w:tc>
        <w:tc>
          <w:tcPr>
            <w:tcW w:w="0" w:type="dxa"/>
            <w:vAlign w:val="bottom"/>
          </w:tcPr>
          <w:p>
            <w:pPr>
              <w:spacing w:after="0"/>
              <w:rPr>
                <w:sz w:val="1"/>
                <w:szCs w:val="1"/>
                <w:color w:val="auto"/>
              </w:rPr>
            </w:pPr>
          </w:p>
        </w:tc>
      </w:tr>
      <w:tr>
        <w:trPr>
          <w:trHeight w:val="152"/>
        </w:trPr>
        <w:tc>
          <w:tcPr>
            <w:tcW w:w="4380" w:type="dxa"/>
            <w:vAlign w:val="bottom"/>
          </w:tcPr>
          <w:p>
            <w:pPr>
              <w:spacing w:after="0"/>
              <w:rPr>
                <w:sz w:val="20"/>
                <w:szCs w:val="20"/>
                <w:color w:val="auto"/>
              </w:rPr>
            </w:pPr>
            <w:r>
              <w:rPr>
                <w:rFonts w:ascii="Times New Roman" w:cs="Times New Roman" w:eastAsia="Times New Roman" w:hAnsi="Times New Roman"/>
                <w:sz w:val="13"/>
                <w:szCs w:val="13"/>
                <w:color w:val="auto"/>
              </w:rPr>
              <w:t>Belgium</w:t>
            </w:r>
          </w:p>
        </w:tc>
        <w:tc>
          <w:tcPr>
            <w:tcW w:w="72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8,825</w:t>
            </w:r>
          </w:p>
        </w:tc>
        <w:tc>
          <w:tcPr>
            <w:tcW w:w="72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9,015</w:t>
            </w:r>
          </w:p>
        </w:tc>
        <w:tc>
          <w:tcPr>
            <w:tcW w:w="76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51,533</w:t>
            </w:r>
          </w:p>
        </w:tc>
        <w:tc>
          <w:tcPr>
            <w:tcW w:w="52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35,231</w:t>
            </w:r>
          </w:p>
        </w:tc>
        <w:tc>
          <w:tcPr>
            <w:tcW w:w="0" w:type="dxa"/>
            <w:vAlign w:val="bottom"/>
          </w:tcPr>
          <w:p>
            <w:pPr>
              <w:spacing w:after="0"/>
              <w:rPr>
                <w:sz w:val="1"/>
                <w:szCs w:val="1"/>
                <w:color w:val="auto"/>
              </w:rPr>
            </w:pPr>
          </w:p>
        </w:tc>
      </w:tr>
      <w:tr>
        <w:trPr>
          <w:trHeight w:val="152"/>
        </w:trPr>
        <w:tc>
          <w:tcPr>
            <w:tcW w:w="43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Canada</w:t>
            </w: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24,002</w:t>
            </w: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3,455</w:t>
            </w:r>
          </w:p>
        </w:tc>
        <w:tc>
          <w:tcPr>
            <w:tcW w:w="76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48,171</w:t>
            </w:r>
          </w:p>
        </w:tc>
        <w:tc>
          <w:tcPr>
            <w:tcW w:w="5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10,735</w:t>
            </w:r>
          </w:p>
        </w:tc>
        <w:tc>
          <w:tcPr>
            <w:tcW w:w="0" w:type="dxa"/>
            <w:vAlign w:val="bottom"/>
          </w:tcPr>
          <w:p>
            <w:pPr>
              <w:spacing w:after="0"/>
              <w:rPr>
                <w:sz w:val="1"/>
                <w:szCs w:val="1"/>
                <w:color w:val="auto"/>
              </w:rPr>
            </w:pPr>
          </w:p>
        </w:tc>
      </w:tr>
      <w:tr>
        <w:trPr>
          <w:trHeight w:val="152"/>
        </w:trPr>
        <w:tc>
          <w:tcPr>
            <w:tcW w:w="4380" w:type="dxa"/>
            <w:vAlign w:val="bottom"/>
          </w:tcPr>
          <w:p>
            <w:pPr>
              <w:spacing w:after="0"/>
              <w:rPr>
                <w:sz w:val="20"/>
                <w:szCs w:val="20"/>
                <w:color w:val="auto"/>
              </w:rPr>
            </w:pPr>
            <w:r>
              <w:rPr>
                <w:rFonts w:ascii="Times New Roman" w:cs="Times New Roman" w:eastAsia="Times New Roman" w:hAnsi="Times New Roman"/>
                <w:sz w:val="13"/>
                <w:szCs w:val="13"/>
                <w:color w:val="auto"/>
              </w:rPr>
              <w:t>Denmark</w:t>
            </w:r>
          </w:p>
        </w:tc>
        <w:tc>
          <w:tcPr>
            <w:tcW w:w="72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6,613</w:t>
            </w:r>
          </w:p>
        </w:tc>
        <w:tc>
          <w:tcPr>
            <w:tcW w:w="72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14,967</w:t>
            </w:r>
          </w:p>
        </w:tc>
        <w:tc>
          <w:tcPr>
            <w:tcW w:w="76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45,544</w:t>
            </w:r>
          </w:p>
        </w:tc>
        <w:tc>
          <w:tcPr>
            <w:tcW w:w="52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16,724</w:t>
            </w:r>
          </w:p>
        </w:tc>
        <w:tc>
          <w:tcPr>
            <w:tcW w:w="0" w:type="dxa"/>
            <w:vAlign w:val="bottom"/>
          </w:tcPr>
          <w:p>
            <w:pPr>
              <w:spacing w:after="0"/>
              <w:rPr>
                <w:sz w:val="1"/>
                <w:szCs w:val="1"/>
                <w:color w:val="auto"/>
              </w:rPr>
            </w:pPr>
          </w:p>
        </w:tc>
      </w:tr>
      <w:tr>
        <w:trPr>
          <w:trHeight w:val="152"/>
        </w:trPr>
        <w:tc>
          <w:tcPr>
            <w:tcW w:w="43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China</w:t>
            </w: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2,889</w:t>
            </w: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4,131</w:t>
            </w:r>
          </w:p>
        </w:tc>
        <w:tc>
          <w:tcPr>
            <w:tcW w:w="76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34,532</w:t>
            </w:r>
          </w:p>
        </w:tc>
        <w:tc>
          <w:tcPr>
            <w:tcW w:w="5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20,350</w:t>
            </w:r>
          </w:p>
        </w:tc>
        <w:tc>
          <w:tcPr>
            <w:tcW w:w="0" w:type="dxa"/>
            <w:vAlign w:val="bottom"/>
          </w:tcPr>
          <w:p>
            <w:pPr>
              <w:spacing w:after="0"/>
              <w:rPr>
                <w:sz w:val="1"/>
                <w:szCs w:val="1"/>
                <w:color w:val="auto"/>
              </w:rPr>
            </w:pPr>
          </w:p>
        </w:tc>
      </w:tr>
      <w:tr>
        <w:trPr>
          <w:trHeight w:val="152"/>
        </w:trPr>
        <w:tc>
          <w:tcPr>
            <w:tcW w:w="4380" w:type="dxa"/>
            <w:vAlign w:val="bottom"/>
          </w:tcPr>
          <w:p>
            <w:pPr>
              <w:spacing w:after="0" w:line="152" w:lineRule="exact"/>
              <w:rPr>
                <w:sz w:val="20"/>
                <w:szCs w:val="20"/>
                <w:color w:val="auto"/>
              </w:rPr>
            </w:pPr>
            <w:r>
              <w:rPr>
                <w:rFonts w:ascii="Times New Roman" w:cs="Times New Roman" w:eastAsia="Times New Roman" w:hAnsi="Times New Roman"/>
                <w:sz w:val="12"/>
                <w:szCs w:val="12"/>
                <w:color w:val="auto"/>
              </w:rPr>
              <w:t>Other regions</w:t>
            </w:r>
            <w:r>
              <w:rPr>
                <w:rFonts w:ascii="Times New Roman" w:cs="Times New Roman" w:eastAsia="Times New Roman" w:hAnsi="Times New Roman"/>
                <w:sz w:val="17"/>
                <w:szCs w:val="17"/>
                <w:color w:val="auto"/>
                <w:vertAlign w:val="superscript"/>
              </w:rPr>
              <w:t>1</w:t>
            </w:r>
          </w:p>
        </w:tc>
        <w:tc>
          <w:tcPr>
            <w:tcW w:w="5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34,288</w:t>
            </w:r>
          </w:p>
        </w:tc>
        <w:tc>
          <w:tcPr>
            <w:tcW w:w="180" w:type="dxa"/>
            <w:vAlign w:val="bottom"/>
          </w:tcPr>
          <w:p>
            <w:pPr>
              <w:spacing w:after="0"/>
              <w:rPr>
                <w:sz w:val="13"/>
                <w:szCs w:val="13"/>
                <w:color w:val="auto"/>
              </w:rPr>
            </w:pPr>
          </w:p>
        </w:tc>
        <w:tc>
          <w:tcPr>
            <w:tcW w:w="72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8,564</w:t>
            </w:r>
          </w:p>
        </w:tc>
        <w:tc>
          <w:tcPr>
            <w:tcW w:w="76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113,120</w:t>
            </w:r>
          </w:p>
        </w:tc>
        <w:tc>
          <w:tcPr>
            <w:tcW w:w="52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33,271</w:t>
            </w:r>
          </w:p>
        </w:tc>
        <w:tc>
          <w:tcPr>
            <w:tcW w:w="0" w:type="dxa"/>
            <w:vAlign w:val="bottom"/>
          </w:tcPr>
          <w:p>
            <w:pPr>
              <w:spacing w:after="0"/>
              <w:rPr>
                <w:sz w:val="1"/>
                <w:szCs w:val="1"/>
                <w:color w:val="auto"/>
              </w:rPr>
            </w:pPr>
          </w:p>
        </w:tc>
      </w:tr>
      <w:tr>
        <w:trPr>
          <w:trHeight w:val="20"/>
        </w:trPr>
        <w:tc>
          <w:tcPr>
            <w:tcW w:w="438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1"/>
        </w:trPr>
        <w:tc>
          <w:tcPr>
            <w:tcW w:w="43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Total</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435,449</w:t>
            </w:r>
          </w:p>
        </w:tc>
        <w:tc>
          <w:tcPr>
            <w:tcW w:w="180" w:type="dxa"/>
            <w:vAlign w:val="bottom"/>
            <w:shd w:val="clear" w:color="auto" w:fill="CCEEFF"/>
          </w:tcPr>
          <w:p>
            <w:pPr>
              <w:spacing w:after="0"/>
              <w:rPr>
                <w:sz w:val="13"/>
                <w:szCs w:val="13"/>
                <w:color w:val="auto"/>
              </w:rPr>
            </w:pP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b w:val="1"/>
                <w:bCs w:val="1"/>
                <w:color w:val="auto"/>
              </w:rPr>
              <w:t>212,896</w:t>
            </w:r>
          </w:p>
        </w:tc>
        <w:tc>
          <w:tcPr>
            <w:tcW w:w="76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b w:val="1"/>
                <w:bCs w:val="1"/>
                <w:color w:val="auto"/>
              </w:rPr>
              <w:t>1,476,746</w:t>
            </w:r>
          </w:p>
        </w:tc>
        <w:tc>
          <w:tcPr>
            <w:tcW w:w="5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b w:val="1"/>
                <w:bCs w:val="1"/>
                <w:color w:val="auto"/>
              </w:rPr>
              <w:t>747,674</w:t>
            </w:r>
          </w:p>
        </w:tc>
        <w:tc>
          <w:tcPr>
            <w:tcW w:w="0" w:type="dxa"/>
            <w:vAlign w:val="bottom"/>
          </w:tcPr>
          <w:p>
            <w:pPr>
              <w:spacing w:after="0"/>
              <w:rPr>
                <w:sz w:val="1"/>
                <w:szCs w:val="1"/>
                <w:color w:val="auto"/>
              </w:rPr>
            </w:pPr>
          </w:p>
        </w:tc>
      </w:tr>
      <w:tr>
        <w:trPr>
          <w:trHeight w:val="20"/>
        </w:trPr>
        <w:tc>
          <w:tcPr>
            <w:tcW w:w="438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7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2"/>
          <w:szCs w:val="12"/>
          <w:color w:val="auto"/>
        </w:rPr>
        <w:t>1 - Revenue: Other regions primarily consist of Austria, Switzerland, Finland, and Australia in 2022. Other regions primarily consist of Switzerland in</w:t>
      </w:r>
    </w:p>
    <w:p>
      <w:pPr>
        <w:spacing w:after="0" w:line="27" w:lineRule="exact"/>
        <w:rPr>
          <w:sz w:val="20"/>
          <w:szCs w:val="20"/>
          <w:color w:val="auto"/>
        </w:rPr>
      </w:pPr>
    </w:p>
    <w:p>
      <w:pPr>
        <w:ind w:left="800"/>
        <w:spacing w:after="0"/>
        <w:rPr>
          <w:sz w:val="20"/>
          <w:szCs w:val="20"/>
          <w:color w:val="auto"/>
        </w:rPr>
      </w:pPr>
      <w:r>
        <w:rPr>
          <w:rFonts w:ascii="Times New Roman" w:cs="Times New Roman" w:eastAsia="Times New Roman" w:hAnsi="Times New Roman"/>
          <w:sz w:val="13"/>
          <w:szCs w:val="13"/>
          <w:color w:val="auto"/>
        </w:rPr>
        <w:t>2021.</w:t>
      </w:r>
    </w:p>
    <w:p>
      <w:pPr>
        <w:spacing w:after="0" w:line="9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13</w:t>
      </w:r>
    </w:p>
    <w:p>
      <w:pPr>
        <w:sectPr>
          <w:pgSz w:w="11900" w:h="16838" w:orient="portrait"/>
          <w:cols w:equalWidth="0" w:num="1">
            <w:col w:w="9019"/>
          </w:cols>
          <w:pgMar w:left="1440" w:top="231" w:right="1440" w:bottom="1440" w:gutter="0" w:footer="0" w:header="0"/>
        </w:sectPr>
      </w:pPr>
    </w:p>
    <w:bookmarkStart w:id="70" w:name="page71"/>
    <w:bookmarkEnd w:id="70"/>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79" w:lineRule="exact"/>
        <w:rPr>
          <w:sz w:val="20"/>
          <w:szCs w:val="20"/>
          <w:color w:val="auto"/>
        </w:rPr>
      </w:pPr>
    </w:p>
    <w:tbl>
      <w:tblPr>
        <w:tblLayout w:type="fixed"/>
        <w:tblInd w:w="1560" w:type="dxa"/>
        <w:tblCellMar>
          <w:top w:w="0" w:type="dxa"/>
          <w:left w:w="0" w:type="dxa"/>
          <w:bottom w:w="0" w:type="dxa"/>
          <w:right w:w="0" w:type="dxa"/>
        </w:tblCellMar>
      </w:tblPr>
      <w:tr>
        <w:trPr>
          <w:trHeight w:val="115"/>
        </w:trPr>
        <w:tc>
          <w:tcPr>
            <w:tcW w:w="4380" w:type="dxa"/>
            <w:vAlign w:val="bottom"/>
          </w:tcPr>
          <w:p>
            <w:pPr>
              <w:spacing w:after="0"/>
              <w:rPr>
                <w:sz w:val="10"/>
                <w:szCs w:val="10"/>
                <w:color w:val="auto"/>
              </w:rPr>
            </w:pPr>
          </w:p>
        </w:tc>
        <w:tc>
          <w:tcPr>
            <w:tcW w:w="880" w:type="dxa"/>
            <w:vAlign w:val="bottom"/>
            <w:gridSpan w:val="3"/>
          </w:tcPr>
          <w:p>
            <w:pPr>
              <w:jc w:val="center"/>
              <w:ind w:right="260"/>
              <w:spacing w:after="0"/>
              <w:rPr>
                <w:sz w:val="20"/>
                <w:szCs w:val="20"/>
                <w:color w:val="auto"/>
              </w:rPr>
            </w:pPr>
            <w:r>
              <w:rPr>
                <w:rFonts w:ascii="Times New Roman" w:cs="Times New Roman" w:eastAsia="Times New Roman" w:hAnsi="Times New Roman"/>
                <w:sz w:val="10"/>
                <w:szCs w:val="10"/>
                <w:b w:val="1"/>
                <w:bCs w:val="1"/>
                <w:color w:val="auto"/>
              </w:rPr>
              <w:t>As of</w:t>
            </w:r>
          </w:p>
        </w:tc>
        <w:tc>
          <w:tcPr>
            <w:tcW w:w="620" w:type="dxa"/>
            <w:vAlign w:val="bottom"/>
            <w:gridSpan w:val="2"/>
          </w:tcPr>
          <w:p>
            <w:pPr>
              <w:jc w:val="center"/>
              <w:ind w:right="40"/>
              <w:spacing w:after="0"/>
              <w:rPr>
                <w:sz w:val="20"/>
                <w:szCs w:val="20"/>
                <w:color w:val="auto"/>
              </w:rPr>
            </w:pPr>
            <w:r>
              <w:rPr>
                <w:rFonts w:ascii="Times New Roman" w:cs="Times New Roman" w:eastAsia="Times New Roman" w:hAnsi="Times New Roman"/>
                <w:sz w:val="10"/>
                <w:szCs w:val="10"/>
                <w:b w:val="1"/>
                <w:bCs w:val="1"/>
                <w:color w:val="auto"/>
              </w:rPr>
              <w:t>As of</w:t>
            </w:r>
          </w:p>
        </w:tc>
      </w:tr>
      <w:tr>
        <w:trPr>
          <w:trHeight w:val="104"/>
        </w:trPr>
        <w:tc>
          <w:tcPr>
            <w:tcW w:w="4380" w:type="dxa"/>
            <w:vAlign w:val="bottom"/>
          </w:tcPr>
          <w:p>
            <w:pPr>
              <w:spacing w:after="0"/>
              <w:rPr>
                <w:sz w:val="9"/>
                <w:szCs w:val="9"/>
                <w:color w:val="auto"/>
              </w:rPr>
            </w:pPr>
          </w:p>
        </w:tc>
        <w:tc>
          <w:tcPr>
            <w:tcW w:w="880" w:type="dxa"/>
            <w:vAlign w:val="bottom"/>
            <w:gridSpan w:val="3"/>
          </w:tcPr>
          <w:p>
            <w:pPr>
              <w:jc w:val="center"/>
              <w:ind w:right="260"/>
              <w:spacing w:after="0" w:line="104" w:lineRule="exact"/>
              <w:rPr>
                <w:sz w:val="20"/>
                <w:szCs w:val="20"/>
                <w:color w:val="auto"/>
              </w:rPr>
            </w:pPr>
            <w:r>
              <w:rPr>
                <w:rFonts w:ascii="Times New Roman" w:cs="Times New Roman" w:eastAsia="Times New Roman" w:hAnsi="Times New Roman"/>
                <w:sz w:val="10"/>
                <w:szCs w:val="10"/>
                <w:b w:val="1"/>
                <w:bCs w:val="1"/>
                <w:color w:val="auto"/>
              </w:rPr>
              <w:t>September 30,</w:t>
            </w:r>
          </w:p>
        </w:tc>
        <w:tc>
          <w:tcPr>
            <w:tcW w:w="620" w:type="dxa"/>
            <w:vAlign w:val="bottom"/>
            <w:gridSpan w:val="2"/>
          </w:tcPr>
          <w:p>
            <w:pPr>
              <w:jc w:val="center"/>
              <w:ind w:right="40"/>
              <w:spacing w:after="0" w:line="104" w:lineRule="exact"/>
              <w:rPr>
                <w:sz w:val="20"/>
                <w:szCs w:val="20"/>
                <w:color w:val="auto"/>
              </w:rPr>
            </w:pPr>
            <w:r>
              <w:rPr>
                <w:rFonts w:ascii="Times New Roman" w:cs="Times New Roman" w:eastAsia="Times New Roman" w:hAnsi="Times New Roman"/>
                <w:sz w:val="10"/>
                <w:szCs w:val="10"/>
                <w:b w:val="1"/>
                <w:bCs w:val="1"/>
                <w:color w:val="auto"/>
                <w:w w:val="99"/>
              </w:rPr>
              <w:t>December 31,</w:t>
            </w:r>
          </w:p>
        </w:tc>
      </w:tr>
      <w:tr>
        <w:trPr>
          <w:trHeight w:val="121"/>
        </w:trPr>
        <w:tc>
          <w:tcPr>
            <w:tcW w:w="4380" w:type="dxa"/>
            <w:vAlign w:val="bottom"/>
            <w:tcBorders>
              <w:bottom w:val="single" w:sz="8" w:color="CCEEFF"/>
            </w:tcBorders>
          </w:tcPr>
          <w:p>
            <w:pPr>
              <w:spacing w:after="0"/>
              <w:rPr>
                <w:sz w:val="10"/>
                <w:szCs w:val="10"/>
                <w:color w:val="auto"/>
              </w:rPr>
            </w:pPr>
          </w:p>
        </w:tc>
        <w:tc>
          <w:tcPr>
            <w:tcW w:w="6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0"/>
                <w:szCs w:val="10"/>
                <w:b w:val="1"/>
                <w:bCs w:val="1"/>
                <w:color w:val="auto"/>
                <w:w w:val="99"/>
              </w:rPr>
              <w:t>2022</w:t>
            </w:r>
          </w:p>
        </w:tc>
        <w:tc>
          <w:tcPr>
            <w:tcW w:w="20" w:type="dxa"/>
            <w:vAlign w:val="bottom"/>
            <w:tcBorders>
              <w:bottom w:val="single" w:sz="8" w:color="CCEEFF"/>
            </w:tcBorders>
          </w:tcPr>
          <w:p>
            <w:pPr>
              <w:spacing w:after="0"/>
              <w:rPr>
                <w:sz w:val="10"/>
                <w:szCs w:val="10"/>
                <w:color w:val="auto"/>
              </w:rPr>
            </w:pPr>
          </w:p>
        </w:tc>
        <w:tc>
          <w:tcPr>
            <w:tcW w:w="240" w:type="dxa"/>
            <w:vAlign w:val="bottom"/>
            <w:tcBorders>
              <w:bottom w:val="single" w:sz="8" w:color="CCEEFF"/>
            </w:tcBorders>
          </w:tcPr>
          <w:p>
            <w:pPr>
              <w:spacing w:after="0"/>
              <w:rPr>
                <w:sz w:val="10"/>
                <w:szCs w:val="10"/>
                <w:color w:val="auto"/>
              </w:rPr>
            </w:pPr>
          </w:p>
        </w:tc>
        <w:tc>
          <w:tcPr>
            <w:tcW w:w="58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0"/>
                <w:szCs w:val="10"/>
                <w:b w:val="1"/>
                <w:bCs w:val="1"/>
                <w:color w:val="auto"/>
              </w:rPr>
              <w:t>2021</w:t>
            </w:r>
          </w:p>
        </w:tc>
        <w:tc>
          <w:tcPr>
            <w:tcW w:w="40" w:type="dxa"/>
            <w:vAlign w:val="bottom"/>
            <w:tcBorders>
              <w:bottom w:val="single" w:sz="8" w:color="CCEEFF"/>
            </w:tcBorders>
          </w:tcPr>
          <w:p>
            <w:pPr>
              <w:spacing w:after="0"/>
              <w:rPr>
                <w:sz w:val="10"/>
                <w:szCs w:val="10"/>
                <w:color w:val="auto"/>
              </w:rPr>
            </w:pPr>
          </w:p>
        </w:tc>
      </w:tr>
      <w:tr>
        <w:trPr>
          <w:trHeight w:val="132"/>
        </w:trPr>
        <w:tc>
          <w:tcPr>
            <w:tcW w:w="4380" w:type="dxa"/>
            <w:vAlign w:val="bottom"/>
            <w:shd w:val="clear" w:color="auto" w:fill="CCEEFF"/>
          </w:tcPr>
          <w:p>
            <w:pPr>
              <w:spacing w:after="0" w:line="132" w:lineRule="exact"/>
              <w:rPr>
                <w:sz w:val="20"/>
                <w:szCs w:val="20"/>
                <w:color w:val="auto"/>
              </w:rPr>
            </w:pPr>
            <w:r>
              <w:rPr>
                <w:rFonts w:ascii="Times New Roman" w:cs="Times New Roman" w:eastAsia="Times New Roman" w:hAnsi="Times New Roman"/>
                <w:sz w:val="11"/>
                <w:szCs w:val="11"/>
                <w:b w:val="1"/>
                <w:bCs w:val="1"/>
                <w:color w:val="auto"/>
              </w:rPr>
              <w:t>Non-current assets</w:t>
            </w:r>
            <w:r>
              <w:rPr>
                <w:rFonts w:ascii="Times New Roman" w:cs="Times New Roman" w:eastAsia="Times New Roman" w:hAnsi="Times New Roman"/>
                <w:sz w:val="15"/>
                <w:szCs w:val="15"/>
                <w:b w:val="1"/>
                <w:bCs w:val="1"/>
                <w:color w:val="auto"/>
                <w:vertAlign w:val="superscript"/>
              </w:rPr>
              <w:t>2</w:t>
            </w:r>
          </w:p>
        </w:tc>
        <w:tc>
          <w:tcPr>
            <w:tcW w:w="62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r>
      <w:tr>
        <w:trPr>
          <w:trHeight w:val="152"/>
        </w:trPr>
        <w:tc>
          <w:tcPr>
            <w:tcW w:w="4380" w:type="dxa"/>
            <w:vAlign w:val="bottom"/>
          </w:tcPr>
          <w:p>
            <w:pPr>
              <w:spacing w:after="0"/>
              <w:rPr>
                <w:sz w:val="20"/>
                <w:szCs w:val="20"/>
                <w:color w:val="auto"/>
              </w:rPr>
            </w:pPr>
            <w:r>
              <w:rPr>
                <w:rFonts w:ascii="Times New Roman" w:cs="Times New Roman" w:eastAsia="Times New Roman" w:hAnsi="Times New Roman"/>
                <w:sz w:val="13"/>
                <w:szCs w:val="13"/>
                <w:color w:val="auto"/>
              </w:rPr>
              <w:t>Sweden</w:t>
            </w:r>
          </w:p>
        </w:tc>
        <w:tc>
          <w:tcPr>
            <w:tcW w:w="64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1,052,930</w:t>
            </w:r>
          </w:p>
        </w:tc>
        <w:tc>
          <w:tcPr>
            <w:tcW w:w="240" w:type="dxa"/>
            <w:vAlign w:val="bottom"/>
          </w:tcPr>
          <w:p>
            <w:pPr>
              <w:spacing w:after="0"/>
              <w:rPr>
                <w:sz w:val="13"/>
                <w:szCs w:val="13"/>
                <w:color w:val="auto"/>
              </w:rPr>
            </w:pPr>
          </w:p>
        </w:tc>
        <w:tc>
          <w:tcPr>
            <w:tcW w:w="62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954,842</w:t>
            </w:r>
          </w:p>
        </w:tc>
      </w:tr>
      <w:tr>
        <w:trPr>
          <w:trHeight w:val="152"/>
        </w:trPr>
        <w:tc>
          <w:tcPr>
            <w:tcW w:w="43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China</w:t>
            </w:r>
          </w:p>
        </w:tc>
        <w:tc>
          <w:tcPr>
            <w:tcW w:w="6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500,520</w:t>
            </w:r>
          </w:p>
        </w:tc>
        <w:tc>
          <w:tcPr>
            <w:tcW w:w="240" w:type="dxa"/>
            <w:vAlign w:val="bottom"/>
            <w:shd w:val="clear" w:color="auto" w:fill="CCEEFF"/>
          </w:tcPr>
          <w:p>
            <w:pPr>
              <w:spacing w:after="0"/>
              <w:rPr>
                <w:sz w:val="13"/>
                <w:szCs w:val="13"/>
                <w:color w:val="auto"/>
              </w:rPr>
            </w:pPr>
          </w:p>
        </w:tc>
        <w:tc>
          <w:tcPr>
            <w:tcW w:w="6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637,900</w:t>
            </w:r>
          </w:p>
        </w:tc>
      </w:tr>
      <w:tr>
        <w:trPr>
          <w:trHeight w:val="152"/>
        </w:trPr>
        <w:tc>
          <w:tcPr>
            <w:tcW w:w="4380" w:type="dxa"/>
            <w:vAlign w:val="bottom"/>
          </w:tcPr>
          <w:p>
            <w:pPr>
              <w:spacing w:after="0"/>
              <w:rPr>
                <w:sz w:val="20"/>
                <w:szCs w:val="20"/>
                <w:color w:val="auto"/>
              </w:rPr>
            </w:pPr>
            <w:r>
              <w:rPr>
                <w:rFonts w:ascii="Times New Roman" w:cs="Times New Roman" w:eastAsia="Times New Roman" w:hAnsi="Times New Roman"/>
                <w:sz w:val="13"/>
                <w:szCs w:val="13"/>
                <w:color w:val="auto"/>
              </w:rPr>
              <w:t>USA</w:t>
            </w:r>
          </w:p>
        </w:tc>
        <w:tc>
          <w:tcPr>
            <w:tcW w:w="880" w:type="dxa"/>
            <w:vAlign w:val="bottom"/>
            <w:gridSpan w:val="3"/>
          </w:tcPr>
          <w:p>
            <w:pPr>
              <w:jc w:val="right"/>
              <w:ind w:right="260"/>
              <w:spacing w:after="0"/>
              <w:rPr>
                <w:sz w:val="20"/>
                <w:szCs w:val="20"/>
                <w:color w:val="auto"/>
              </w:rPr>
            </w:pPr>
            <w:r>
              <w:rPr>
                <w:rFonts w:ascii="Times New Roman" w:cs="Times New Roman" w:eastAsia="Times New Roman" w:hAnsi="Times New Roman"/>
                <w:sz w:val="13"/>
                <w:szCs w:val="13"/>
                <w:color w:val="auto"/>
              </w:rPr>
              <w:t>49,394</w:t>
            </w:r>
          </w:p>
        </w:tc>
        <w:tc>
          <w:tcPr>
            <w:tcW w:w="62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64,072</w:t>
            </w:r>
          </w:p>
        </w:tc>
      </w:tr>
      <w:tr>
        <w:trPr>
          <w:trHeight w:val="152"/>
        </w:trPr>
        <w:tc>
          <w:tcPr>
            <w:tcW w:w="43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Germany</w:t>
            </w:r>
          </w:p>
        </w:tc>
        <w:tc>
          <w:tcPr>
            <w:tcW w:w="880" w:type="dxa"/>
            <w:vAlign w:val="bottom"/>
            <w:gridSpan w:val="3"/>
            <w:shd w:val="clear" w:color="auto" w:fill="CCEEFF"/>
          </w:tcPr>
          <w:p>
            <w:pPr>
              <w:jc w:val="right"/>
              <w:ind w:right="260"/>
              <w:spacing w:after="0"/>
              <w:rPr>
                <w:sz w:val="20"/>
                <w:szCs w:val="20"/>
                <w:color w:val="auto"/>
              </w:rPr>
            </w:pPr>
            <w:r>
              <w:rPr>
                <w:rFonts w:ascii="Times New Roman" w:cs="Times New Roman" w:eastAsia="Times New Roman" w:hAnsi="Times New Roman"/>
                <w:sz w:val="13"/>
                <w:szCs w:val="13"/>
                <w:color w:val="auto"/>
              </w:rPr>
              <w:t>22,590</w:t>
            </w:r>
          </w:p>
        </w:tc>
        <w:tc>
          <w:tcPr>
            <w:tcW w:w="6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24,009</w:t>
            </w:r>
          </w:p>
        </w:tc>
      </w:tr>
      <w:tr>
        <w:trPr>
          <w:trHeight w:val="152"/>
        </w:trPr>
        <w:tc>
          <w:tcPr>
            <w:tcW w:w="4380" w:type="dxa"/>
            <w:vAlign w:val="bottom"/>
          </w:tcPr>
          <w:p>
            <w:pPr>
              <w:spacing w:after="0"/>
              <w:rPr>
                <w:sz w:val="20"/>
                <w:szCs w:val="20"/>
                <w:color w:val="auto"/>
              </w:rPr>
            </w:pPr>
            <w:r>
              <w:rPr>
                <w:rFonts w:ascii="Times New Roman" w:cs="Times New Roman" w:eastAsia="Times New Roman" w:hAnsi="Times New Roman"/>
                <w:sz w:val="13"/>
                <w:szCs w:val="13"/>
                <w:color w:val="auto"/>
              </w:rPr>
              <w:t>Belgium</w:t>
            </w:r>
          </w:p>
        </w:tc>
        <w:tc>
          <w:tcPr>
            <w:tcW w:w="64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3,234</w:t>
            </w:r>
          </w:p>
        </w:tc>
        <w:tc>
          <w:tcPr>
            <w:tcW w:w="240" w:type="dxa"/>
            <w:vAlign w:val="bottom"/>
          </w:tcPr>
          <w:p>
            <w:pPr>
              <w:spacing w:after="0"/>
              <w:rPr>
                <w:sz w:val="13"/>
                <w:szCs w:val="13"/>
                <w:color w:val="auto"/>
              </w:rPr>
            </w:pPr>
          </w:p>
        </w:tc>
        <w:tc>
          <w:tcPr>
            <w:tcW w:w="62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1,571</w:t>
            </w:r>
          </w:p>
        </w:tc>
      </w:tr>
      <w:tr>
        <w:trPr>
          <w:trHeight w:val="152"/>
        </w:trPr>
        <w:tc>
          <w:tcPr>
            <w:tcW w:w="43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Canada</w:t>
            </w:r>
          </w:p>
        </w:tc>
        <w:tc>
          <w:tcPr>
            <w:tcW w:w="6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3,055</w:t>
            </w:r>
          </w:p>
        </w:tc>
        <w:tc>
          <w:tcPr>
            <w:tcW w:w="240" w:type="dxa"/>
            <w:vAlign w:val="bottom"/>
            <w:shd w:val="clear" w:color="auto" w:fill="CCEEFF"/>
          </w:tcPr>
          <w:p>
            <w:pPr>
              <w:spacing w:after="0"/>
              <w:rPr>
                <w:sz w:val="13"/>
                <w:szCs w:val="13"/>
                <w:color w:val="auto"/>
              </w:rPr>
            </w:pPr>
          </w:p>
        </w:tc>
        <w:tc>
          <w:tcPr>
            <w:tcW w:w="6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3,139</w:t>
            </w:r>
          </w:p>
        </w:tc>
      </w:tr>
      <w:tr>
        <w:trPr>
          <w:trHeight w:val="152"/>
        </w:trPr>
        <w:tc>
          <w:tcPr>
            <w:tcW w:w="4380" w:type="dxa"/>
            <w:vAlign w:val="bottom"/>
          </w:tcPr>
          <w:p>
            <w:pPr>
              <w:spacing w:after="0"/>
              <w:rPr>
                <w:sz w:val="20"/>
                <w:szCs w:val="20"/>
                <w:color w:val="auto"/>
              </w:rPr>
            </w:pPr>
            <w:r>
              <w:rPr>
                <w:rFonts w:ascii="Times New Roman" w:cs="Times New Roman" w:eastAsia="Times New Roman" w:hAnsi="Times New Roman"/>
                <w:sz w:val="13"/>
                <w:szCs w:val="13"/>
                <w:color w:val="auto"/>
              </w:rPr>
              <w:t>Netherlands</w:t>
            </w:r>
          </w:p>
        </w:tc>
        <w:tc>
          <w:tcPr>
            <w:tcW w:w="64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2,333</w:t>
            </w:r>
          </w:p>
        </w:tc>
        <w:tc>
          <w:tcPr>
            <w:tcW w:w="240" w:type="dxa"/>
            <w:vAlign w:val="bottom"/>
          </w:tcPr>
          <w:p>
            <w:pPr>
              <w:spacing w:after="0"/>
              <w:rPr>
                <w:sz w:val="13"/>
                <w:szCs w:val="13"/>
                <w:color w:val="auto"/>
              </w:rPr>
            </w:pPr>
          </w:p>
        </w:tc>
        <w:tc>
          <w:tcPr>
            <w:tcW w:w="62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2,541</w:t>
            </w:r>
          </w:p>
        </w:tc>
      </w:tr>
      <w:tr>
        <w:trPr>
          <w:trHeight w:val="152"/>
        </w:trPr>
        <w:tc>
          <w:tcPr>
            <w:tcW w:w="43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United Kingdom</w:t>
            </w:r>
          </w:p>
        </w:tc>
        <w:tc>
          <w:tcPr>
            <w:tcW w:w="6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2,190</w:t>
            </w:r>
          </w:p>
        </w:tc>
        <w:tc>
          <w:tcPr>
            <w:tcW w:w="240" w:type="dxa"/>
            <w:vAlign w:val="bottom"/>
            <w:shd w:val="clear" w:color="auto" w:fill="CCEEFF"/>
          </w:tcPr>
          <w:p>
            <w:pPr>
              <w:spacing w:after="0"/>
              <w:rPr>
                <w:sz w:val="13"/>
                <w:szCs w:val="13"/>
                <w:color w:val="auto"/>
              </w:rPr>
            </w:pPr>
          </w:p>
        </w:tc>
        <w:tc>
          <w:tcPr>
            <w:tcW w:w="6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2,484</w:t>
            </w:r>
          </w:p>
        </w:tc>
      </w:tr>
      <w:tr>
        <w:trPr>
          <w:trHeight w:val="152"/>
        </w:trPr>
        <w:tc>
          <w:tcPr>
            <w:tcW w:w="4380" w:type="dxa"/>
            <w:vAlign w:val="bottom"/>
          </w:tcPr>
          <w:p>
            <w:pPr>
              <w:spacing w:after="0"/>
              <w:rPr>
                <w:sz w:val="20"/>
                <w:szCs w:val="20"/>
                <w:color w:val="auto"/>
              </w:rPr>
            </w:pPr>
            <w:r>
              <w:rPr>
                <w:rFonts w:ascii="Times New Roman" w:cs="Times New Roman" w:eastAsia="Times New Roman" w:hAnsi="Times New Roman"/>
                <w:sz w:val="13"/>
                <w:szCs w:val="13"/>
                <w:color w:val="auto"/>
              </w:rPr>
              <w:t>Norway</w:t>
            </w:r>
          </w:p>
        </w:tc>
        <w:tc>
          <w:tcPr>
            <w:tcW w:w="64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2,047</w:t>
            </w:r>
          </w:p>
        </w:tc>
        <w:tc>
          <w:tcPr>
            <w:tcW w:w="240" w:type="dxa"/>
            <w:vAlign w:val="bottom"/>
          </w:tcPr>
          <w:p>
            <w:pPr>
              <w:spacing w:after="0"/>
              <w:rPr>
                <w:sz w:val="13"/>
                <w:szCs w:val="13"/>
                <w:color w:val="auto"/>
              </w:rPr>
            </w:pPr>
          </w:p>
        </w:tc>
        <w:tc>
          <w:tcPr>
            <w:tcW w:w="62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1,660</w:t>
            </w:r>
          </w:p>
        </w:tc>
      </w:tr>
      <w:tr>
        <w:trPr>
          <w:trHeight w:val="152"/>
        </w:trPr>
        <w:tc>
          <w:tcPr>
            <w:tcW w:w="4380" w:type="dxa"/>
            <w:vAlign w:val="bottom"/>
            <w:shd w:val="clear" w:color="auto" w:fill="CCEEFF"/>
          </w:tcPr>
          <w:p>
            <w:pPr>
              <w:spacing w:after="0" w:line="152" w:lineRule="exact"/>
              <w:rPr>
                <w:sz w:val="20"/>
                <w:szCs w:val="20"/>
                <w:color w:val="auto"/>
              </w:rPr>
            </w:pPr>
            <w:r>
              <w:rPr>
                <w:rFonts w:ascii="Times New Roman" w:cs="Times New Roman" w:eastAsia="Times New Roman" w:hAnsi="Times New Roman"/>
                <w:sz w:val="12"/>
                <w:szCs w:val="12"/>
                <w:color w:val="auto"/>
              </w:rPr>
              <w:t>Other regions</w:t>
            </w:r>
            <w:r>
              <w:rPr>
                <w:rFonts w:ascii="Times New Roman" w:cs="Times New Roman" w:eastAsia="Times New Roman" w:hAnsi="Times New Roman"/>
                <w:sz w:val="17"/>
                <w:szCs w:val="17"/>
                <w:color w:val="auto"/>
                <w:vertAlign w:val="superscript"/>
              </w:rPr>
              <w:t>3</w:t>
            </w:r>
          </w:p>
        </w:tc>
        <w:tc>
          <w:tcPr>
            <w:tcW w:w="6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8,659</w:t>
            </w:r>
          </w:p>
        </w:tc>
        <w:tc>
          <w:tcPr>
            <w:tcW w:w="240" w:type="dxa"/>
            <w:vAlign w:val="bottom"/>
            <w:shd w:val="clear" w:color="auto" w:fill="CCEEFF"/>
          </w:tcPr>
          <w:p>
            <w:pPr>
              <w:spacing w:after="0"/>
              <w:rPr>
                <w:sz w:val="13"/>
                <w:szCs w:val="13"/>
                <w:color w:val="auto"/>
              </w:rPr>
            </w:pPr>
          </w:p>
        </w:tc>
        <w:tc>
          <w:tcPr>
            <w:tcW w:w="6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4,958</w:t>
            </w:r>
          </w:p>
        </w:tc>
      </w:tr>
      <w:tr>
        <w:trPr>
          <w:trHeight w:val="151"/>
        </w:trPr>
        <w:tc>
          <w:tcPr>
            <w:tcW w:w="438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Total</w:t>
            </w:r>
          </w:p>
        </w:tc>
        <w:tc>
          <w:tcPr>
            <w:tcW w:w="6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1,646,952</w:t>
            </w:r>
          </w:p>
        </w:tc>
        <w:tc>
          <w:tcPr>
            <w:tcW w:w="20" w:type="dxa"/>
            <w:vAlign w:val="bottom"/>
            <w:tcBorders>
              <w:bottom w:val="single" w:sz="8" w:color="auto"/>
            </w:tcBorders>
          </w:tcPr>
          <w:p>
            <w:pPr>
              <w:spacing w:after="0"/>
              <w:rPr>
                <w:sz w:val="13"/>
                <w:szCs w:val="13"/>
                <w:color w:val="auto"/>
              </w:rPr>
            </w:pPr>
          </w:p>
        </w:tc>
        <w:tc>
          <w:tcPr>
            <w:tcW w:w="240" w:type="dxa"/>
            <w:vAlign w:val="bottom"/>
          </w:tcPr>
          <w:p>
            <w:pPr>
              <w:spacing w:after="0"/>
              <w:rPr>
                <w:sz w:val="13"/>
                <w:szCs w:val="13"/>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1,697,176</w:t>
            </w:r>
          </w:p>
        </w:tc>
        <w:tc>
          <w:tcPr>
            <w:tcW w:w="40" w:type="dxa"/>
            <w:vAlign w:val="bottom"/>
          </w:tcPr>
          <w:p>
            <w:pPr>
              <w:spacing w:after="0"/>
              <w:rPr>
                <w:sz w:val="13"/>
                <w:szCs w:val="13"/>
                <w:color w:val="auto"/>
              </w:rPr>
            </w:pPr>
          </w:p>
        </w:tc>
      </w:tr>
    </w:tbl>
    <w:p>
      <w:pPr>
        <w:spacing w:after="0" w:line="7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2 - Non-current assets; excluded Other non-current assets.</w:t>
      </w:r>
    </w:p>
    <w:p>
      <w:pPr>
        <w:spacing w:after="0" w:line="15"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3 - Non-current assets: Other regions primarily consist of Switzerland, Austria and Denmark in 2022 and Switzerland and Austria in 2021.</w:t>
      </w:r>
    </w:p>
    <w:p>
      <w:pPr>
        <w:spacing w:after="0" w:line="215"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Accounting policies</w:t>
      </w:r>
    </w:p>
    <w:p>
      <w:pPr>
        <w:spacing w:after="0" w:line="80" w:lineRule="exact"/>
        <w:rPr>
          <w:sz w:val="20"/>
          <w:szCs w:val="20"/>
          <w:color w:val="auto"/>
        </w:rPr>
      </w:pPr>
    </w:p>
    <w:p>
      <w:pPr>
        <w:ind w:left="640" w:right="659"/>
        <w:spacing w:after="0" w:line="251" w:lineRule="auto"/>
        <w:rPr>
          <w:sz w:val="20"/>
          <w:szCs w:val="20"/>
          <w:color w:val="auto"/>
        </w:rPr>
      </w:pPr>
      <w:r>
        <w:rPr>
          <w:rFonts w:ascii="Times New Roman" w:cs="Times New Roman" w:eastAsia="Times New Roman" w:hAnsi="Times New Roman"/>
          <w:sz w:val="13"/>
          <w:szCs w:val="13"/>
          <w:color w:val="auto"/>
        </w:rPr>
        <w:t>Polestar Group continues to apply the same accounting policies, methods, estimates and judgements as described in Note 1 - Significant accounting policies and judgements of the Consolidated Financial Statements for Polestar Automotive Holding Limited, as of, and for the year ended, December 31, 2021 that were included in the Form 20-F filed with the SEC on June 29, 2022. Additions to these accounting policies and methods due to new events that occurred during the nine months ended September 30, 2022 are described below.</w:t>
      </w:r>
    </w:p>
    <w:p>
      <w:pPr>
        <w:spacing w:after="0" w:line="207"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Earnings per share</w:t>
      </w:r>
    </w:p>
    <w:p>
      <w:pPr>
        <w:spacing w:after="0" w:line="80" w:lineRule="exact"/>
        <w:rPr>
          <w:sz w:val="20"/>
          <w:szCs w:val="20"/>
          <w:color w:val="auto"/>
        </w:rPr>
      </w:pPr>
    </w:p>
    <w:p>
      <w:pPr>
        <w:ind w:left="640" w:right="779"/>
        <w:spacing w:after="0" w:line="247" w:lineRule="auto"/>
        <w:rPr>
          <w:sz w:val="20"/>
          <w:szCs w:val="20"/>
          <w:color w:val="auto"/>
        </w:rPr>
      </w:pPr>
      <w:r>
        <w:rPr>
          <w:rFonts w:ascii="Times New Roman" w:cs="Times New Roman" w:eastAsia="Times New Roman" w:hAnsi="Times New Roman"/>
          <w:sz w:val="13"/>
          <w:szCs w:val="13"/>
          <w:color w:val="auto"/>
        </w:rPr>
        <w:t>Basic earnings per share is calculated by dividing the net income or loss for the period by the weighted average number of Class A Shares and Class B Shares in ListCo outstanding during the period. Diluted earnings per share is calculated by adjusting the net income for the period and the weighted average number of Class A Shares and Class B Shares outstanding for the effect of dilutive potential ordinary shares (“POSs”) outstanding during the period (i.e., Class A Shares and/or Class B Shares that the Group is obligated to issue, or might issue under certain circumstances, in accordance with various contractual arrangements). The Group’s POSs are classified based on the nature of their instrument or arrangement and then the earnings per incremental share (“EPIS”) is calculated for each class of POS to determine if they are dilutive or anti-dilutive. Anti-dilutive POSs are excluded from the calculation of dilutive earnings per share.</w:t>
      </w:r>
    </w:p>
    <w:p>
      <w:pPr>
        <w:spacing w:after="0" w:line="8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14</w:t>
      </w:r>
    </w:p>
    <w:p>
      <w:pPr>
        <w:sectPr>
          <w:pgSz w:w="11900" w:h="16838" w:orient="portrait"/>
          <w:cols w:equalWidth="0" w:num="1">
            <w:col w:w="9019"/>
          </w:cols>
          <w:pgMar w:left="1440" w:top="231" w:right="1440" w:bottom="1440" w:gutter="0" w:footer="0" w:header="0"/>
        </w:sectPr>
      </w:pPr>
    </w:p>
    <w:bookmarkStart w:id="71" w:name="page72"/>
    <w:bookmarkEnd w:id="71"/>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3" w:lineRule="exact"/>
        <w:rPr>
          <w:sz w:val="20"/>
          <w:szCs w:val="20"/>
          <w:color w:val="auto"/>
        </w:rPr>
      </w:pPr>
    </w:p>
    <w:p>
      <w:pPr>
        <w:jc w:val="both"/>
        <w:ind w:left="640" w:right="879"/>
        <w:spacing w:after="0" w:line="286" w:lineRule="auto"/>
        <w:rPr>
          <w:sz w:val="20"/>
          <w:szCs w:val="20"/>
          <w:color w:val="auto"/>
        </w:rPr>
      </w:pPr>
      <w:r>
        <w:rPr>
          <w:rFonts w:ascii="Times New Roman" w:cs="Times New Roman" w:eastAsia="Times New Roman" w:hAnsi="Times New Roman"/>
          <w:sz w:val="12"/>
          <w:szCs w:val="12"/>
          <w:color w:val="auto"/>
        </w:rPr>
        <w:t>EPIS is calculated as (1) the consequential effect on profit or loss from the assumed conversion of the class of POS (i.e., the numerator adjustment) divided by (2) the weighted average number of outstanding POSs for the class (i.e., the denominator adjustment). The EPIS denominator adjustment depends on the class of POS. The Group’s classes of POSs and their related EPIS denominator adjustment methods are as follows:</w:t>
      </w:r>
    </w:p>
    <w:p>
      <w:pPr>
        <w:spacing w:after="0" w:line="121" w:lineRule="exact"/>
        <w:rPr>
          <w:sz w:val="20"/>
          <w:szCs w:val="20"/>
          <w:color w:val="auto"/>
        </w:rPr>
      </w:pPr>
    </w:p>
    <w:tbl>
      <w:tblPr>
        <w:tblLayout w:type="fixed"/>
        <w:tblInd w:w="1440" w:type="dxa"/>
        <w:tblCellMar>
          <w:top w:w="0" w:type="dxa"/>
          <w:left w:w="0" w:type="dxa"/>
          <w:bottom w:w="0" w:type="dxa"/>
          <w:right w:w="0" w:type="dxa"/>
        </w:tblCellMar>
      </w:tblPr>
      <w:tr>
        <w:trPr>
          <w:trHeight w:val="115"/>
        </w:trPr>
        <w:tc>
          <w:tcPr>
            <w:tcW w:w="2820" w:type="dxa"/>
            <w:vAlign w:val="bottom"/>
          </w:tcPr>
          <w:p>
            <w:pPr>
              <w:jc w:val="center"/>
              <w:ind w:right="419"/>
              <w:spacing w:after="0"/>
              <w:rPr>
                <w:sz w:val="20"/>
                <w:szCs w:val="20"/>
                <w:color w:val="auto"/>
              </w:rPr>
            </w:pPr>
            <w:r>
              <w:rPr>
                <w:rFonts w:ascii="Times New Roman" w:cs="Times New Roman" w:eastAsia="Times New Roman" w:hAnsi="Times New Roman"/>
                <w:sz w:val="10"/>
                <w:szCs w:val="10"/>
                <w:b w:val="1"/>
                <w:bCs w:val="1"/>
                <w:color w:val="auto"/>
              </w:rPr>
              <w:t>POS Class</w:t>
            </w:r>
          </w:p>
        </w:tc>
        <w:tc>
          <w:tcPr>
            <w:tcW w:w="4040" w:type="dxa"/>
            <w:vAlign w:val="bottom"/>
          </w:tcPr>
          <w:p>
            <w:pPr>
              <w:jc w:val="center"/>
              <w:ind w:left="419"/>
              <w:spacing w:after="0"/>
              <w:rPr>
                <w:sz w:val="20"/>
                <w:szCs w:val="20"/>
                <w:color w:val="auto"/>
              </w:rPr>
            </w:pPr>
            <w:r>
              <w:rPr>
                <w:rFonts w:ascii="Times New Roman" w:cs="Times New Roman" w:eastAsia="Times New Roman" w:hAnsi="Times New Roman"/>
                <w:sz w:val="10"/>
                <w:szCs w:val="10"/>
                <w:b w:val="1"/>
                <w:bCs w:val="1"/>
                <w:color w:val="auto"/>
              </w:rPr>
              <w:t>EPIS Denominator Adjustment Method</w:t>
            </w:r>
          </w:p>
        </w:tc>
      </w:tr>
      <w:tr>
        <w:trPr>
          <w:trHeight w:val="227"/>
        </w:trPr>
        <w:tc>
          <w:tcPr>
            <w:tcW w:w="2820" w:type="dxa"/>
            <w:vAlign w:val="bottom"/>
          </w:tcPr>
          <w:p>
            <w:pPr>
              <w:jc w:val="center"/>
              <w:ind w:right="419"/>
              <w:spacing w:after="0"/>
              <w:rPr>
                <w:sz w:val="20"/>
                <w:szCs w:val="20"/>
                <w:color w:val="auto"/>
              </w:rPr>
            </w:pPr>
            <w:r>
              <w:rPr>
                <w:rFonts w:ascii="Times New Roman" w:cs="Times New Roman" w:eastAsia="Times New Roman" w:hAnsi="Times New Roman"/>
                <w:sz w:val="13"/>
                <w:szCs w:val="13"/>
                <w:color w:val="auto"/>
                <w:w w:val="97"/>
              </w:rPr>
              <w:t>Unvested equity-settled share-based payments</w:t>
            </w:r>
          </w:p>
        </w:tc>
        <w:tc>
          <w:tcPr>
            <w:tcW w:w="4040" w:type="dxa"/>
            <w:vAlign w:val="bottom"/>
          </w:tcPr>
          <w:p>
            <w:pPr>
              <w:jc w:val="center"/>
              <w:ind w:left="419"/>
              <w:spacing w:after="0"/>
              <w:rPr>
                <w:sz w:val="20"/>
                <w:szCs w:val="20"/>
                <w:color w:val="auto"/>
              </w:rPr>
            </w:pPr>
            <w:r>
              <w:rPr>
                <w:rFonts w:ascii="Times New Roman" w:cs="Times New Roman" w:eastAsia="Times New Roman" w:hAnsi="Times New Roman"/>
                <w:sz w:val="13"/>
                <w:szCs w:val="13"/>
                <w:color w:val="auto"/>
                <w:w w:val="96"/>
              </w:rPr>
              <w:t>Treasury share</w:t>
            </w:r>
            <w:r>
              <w:rPr>
                <w:rFonts w:ascii="Times New Roman" w:cs="Times New Roman" w:eastAsia="Times New Roman" w:hAnsi="Times New Roman"/>
                <w:sz w:val="18"/>
                <w:szCs w:val="18"/>
                <w:color w:val="auto"/>
                <w:w w:val="96"/>
                <w:vertAlign w:val="superscript"/>
              </w:rPr>
              <w:t>1</w:t>
            </w:r>
          </w:p>
        </w:tc>
      </w:tr>
      <w:tr>
        <w:trPr>
          <w:trHeight w:val="165"/>
        </w:trPr>
        <w:tc>
          <w:tcPr>
            <w:tcW w:w="2820" w:type="dxa"/>
            <w:vAlign w:val="bottom"/>
          </w:tcPr>
          <w:p>
            <w:pPr>
              <w:jc w:val="center"/>
              <w:ind w:right="399"/>
              <w:spacing w:after="0"/>
              <w:rPr>
                <w:sz w:val="20"/>
                <w:szCs w:val="20"/>
                <w:color w:val="auto"/>
              </w:rPr>
            </w:pPr>
            <w:r>
              <w:rPr>
                <w:rFonts w:ascii="Times New Roman" w:cs="Times New Roman" w:eastAsia="Times New Roman" w:hAnsi="Times New Roman"/>
                <w:sz w:val="13"/>
                <w:szCs w:val="13"/>
                <w:color w:val="auto"/>
                <w:w w:val="97"/>
              </w:rPr>
              <w:t>Class C Shares</w:t>
            </w:r>
          </w:p>
        </w:tc>
        <w:tc>
          <w:tcPr>
            <w:tcW w:w="4040" w:type="dxa"/>
            <w:vAlign w:val="bottom"/>
          </w:tcPr>
          <w:p>
            <w:pPr>
              <w:jc w:val="center"/>
              <w:ind w:left="399"/>
              <w:spacing w:after="0"/>
              <w:rPr>
                <w:sz w:val="20"/>
                <w:szCs w:val="20"/>
                <w:color w:val="auto"/>
              </w:rPr>
            </w:pPr>
            <w:r>
              <w:rPr>
                <w:rFonts w:ascii="Times New Roman" w:cs="Times New Roman" w:eastAsia="Times New Roman" w:hAnsi="Times New Roman"/>
                <w:sz w:val="13"/>
                <w:szCs w:val="13"/>
                <w:color w:val="auto"/>
                <w:w w:val="96"/>
              </w:rPr>
              <w:t>Treasury share</w:t>
            </w:r>
          </w:p>
        </w:tc>
      </w:tr>
      <w:tr>
        <w:trPr>
          <w:trHeight w:val="215"/>
        </w:trPr>
        <w:tc>
          <w:tcPr>
            <w:tcW w:w="2820" w:type="dxa"/>
            <w:vAlign w:val="bottom"/>
          </w:tcPr>
          <w:p>
            <w:pPr>
              <w:jc w:val="center"/>
              <w:ind w:right="419"/>
              <w:spacing w:after="0"/>
              <w:rPr>
                <w:sz w:val="20"/>
                <w:szCs w:val="20"/>
                <w:color w:val="auto"/>
              </w:rPr>
            </w:pPr>
            <w:r>
              <w:rPr>
                <w:rFonts w:ascii="Times New Roman" w:cs="Times New Roman" w:eastAsia="Times New Roman" w:hAnsi="Times New Roman"/>
                <w:sz w:val="13"/>
                <w:szCs w:val="13"/>
                <w:color w:val="auto"/>
                <w:w w:val="97"/>
              </w:rPr>
              <w:t>Earn-out Rights and PSUs</w:t>
            </w:r>
          </w:p>
        </w:tc>
        <w:tc>
          <w:tcPr>
            <w:tcW w:w="4040" w:type="dxa"/>
            <w:vAlign w:val="bottom"/>
          </w:tcPr>
          <w:p>
            <w:pPr>
              <w:jc w:val="center"/>
              <w:ind w:left="419"/>
              <w:spacing w:after="0"/>
              <w:rPr>
                <w:sz w:val="20"/>
                <w:szCs w:val="20"/>
                <w:color w:val="auto"/>
              </w:rPr>
            </w:pPr>
            <w:r>
              <w:rPr>
                <w:rFonts w:ascii="Times New Roman" w:cs="Times New Roman" w:eastAsia="Times New Roman" w:hAnsi="Times New Roman"/>
                <w:sz w:val="13"/>
                <w:szCs w:val="13"/>
                <w:color w:val="auto"/>
                <w:w w:val="96"/>
              </w:rPr>
              <w:t>The number of shares issuable if the reporting date were the end of the</w:t>
            </w:r>
          </w:p>
        </w:tc>
      </w:tr>
      <w:tr>
        <w:trPr>
          <w:trHeight w:val="165"/>
        </w:trPr>
        <w:tc>
          <w:tcPr>
            <w:tcW w:w="2820" w:type="dxa"/>
            <w:vAlign w:val="bottom"/>
          </w:tcPr>
          <w:p>
            <w:pPr>
              <w:spacing w:after="0"/>
              <w:rPr>
                <w:sz w:val="14"/>
                <w:szCs w:val="14"/>
                <w:color w:val="auto"/>
              </w:rPr>
            </w:pPr>
          </w:p>
        </w:tc>
        <w:tc>
          <w:tcPr>
            <w:tcW w:w="4040" w:type="dxa"/>
            <w:vAlign w:val="bottom"/>
          </w:tcPr>
          <w:p>
            <w:pPr>
              <w:jc w:val="center"/>
              <w:ind w:left="419"/>
              <w:spacing w:after="0"/>
              <w:rPr>
                <w:sz w:val="20"/>
                <w:szCs w:val="20"/>
                <w:color w:val="auto"/>
              </w:rPr>
            </w:pPr>
            <w:r>
              <w:rPr>
                <w:rFonts w:ascii="Times New Roman" w:cs="Times New Roman" w:eastAsia="Times New Roman" w:hAnsi="Times New Roman"/>
                <w:sz w:val="13"/>
                <w:szCs w:val="13"/>
                <w:color w:val="auto"/>
                <w:w w:val="95"/>
              </w:rPr>
              <w:t>contingency period</w:t>
            </w:r>
          </w:p>
        </w:tc>
      </w:tr>
      <w:tr>
        <w:trPr>
          <w:trHeight w:val="215"/>
        </w:trPr>
        <w:tc>
          <w:tcPr>
            <w:tcW w:w="2820" w:type="dxa"/>
            <w:vAlign w:val="bottom"/>
          </w:tcPr>
          <w:p>
            <w:pPr>
              <w:jc w:val="center"/>
              <w:ind w:right="399"/>
              <w:spacing w:after="0"/>
              <w:rPr>
                <w:sz w:val="20"/>
                <w:szCs w:val="20"/>
                <w:color w:val="auto"/>
              </w:rPr>
            </w:pPr>
            <w:r>
              <w:rPr>
                <w:rFonts w:ascii="Times New Roman" w:cs="Times New Roman" w:eastAsia="Times New Roman" w:hAnsi="Times New Roman"/>
                <w:sz w:val="13"/>
                <w:szCs w:val="13"/>
                <w:color w:val="auto"/>
                <w:w w:val="96"/>
              </w:rPr>
              <w:t>Convertible Notes</w:t>
            </w:r>
          </w:p>
        </w:tc>
        <w:tc>
          <w:tcPr>
            <w:tcW w:w="4040" w:type="dxa"/>
            <w:vAlign w:val="bottom"/>
          </w:tcPr>
          <w:p>
            <w:pPr>
              <w:jc w:val="center"/>
              <w:ind w:left="419"/>
              <w:spacing w:after="0"/>
              <w:rPr>
                <w:sz w:val="20"/>
                <w:szCs w:val="20"/>
                <w:color w:val="auto"/>
              </w:rPr>
            </w:pPr>
            <w:r>
              <w:rPr>
                <w:rFonts w:ascii="Times New Roman" w:cs="Times New Roman" w:eastAsia="Times New Roman" w:hAnsi="Times New Roman"/>
                <w:sz w:val="13"/>
                <w:szCs w:val="13"/>
                <w:color w:val="auto"/>
                <w:w w:val="97"/>
              </w:rPr>
              <w:t>The number of shares issued assuming conversion occurred at the</w:t>
            </w:r>
          </w:p>
        </w:tc>
      </w:tr>
      <w:tr>
        <w:trPr>
          <w:trHeight w:val="165"/>
        </w:trPr>
        <w:tc>
          <w:tcPr>
            <w:tcW w:w="2820" w:type="dxa"/>
            <w:vAlign w:val="bottom"/>
          </w:tcPr>
          <w:p>
            <w:pPr>
              <w:spacing w:after="0"/>
              <w:rPr>
                <w:sz w:val="14"/>
                <w:szCs w:val="14"/>
                <w:color w:val="auto"/>
              </w:rPr>
            </w:pPr>
          </w:p>
        </w:tc>
        <w:tc>
          <w:tcPr>
            <w:tcW w:w="4040" w:type="dxa"/>
            <w:vAlign w:val="bottom"/>
          </w:tcPr>
          <w:p>
            <w:pPr>
              <w:jc w:val="center"/>
              <w:ind w:left="419"/>
              <w:spacing w:after="0"/>
              <w:rPr>
                <w:sz w:val="20"/>
                <w:szCs w:val="20"/>
                <w:color w:val="auto"/>
              </w:rPr>
            </w:pPr>
            <w:r>
              <w:rPr>
                <w:rFonts w:ascii="Times New Roman" w:cs="Times New Roman" w:eastAsia="Times New Roman" w:hAnsi="Times New Roman"/>
                <w:sz w:val="13"/>
                <w:szCs w:val="13"/>
                <w:color w:val="auto"/>
                <w:w w:val="97"/>
              </w:rPr>
              <w:t>beginning of the reporting period</w:t>
            </w:r>
          </w:p>
        </w:tc>
      </w:tr>
    </w:tbl>
    <w:p>
      <w:pPr>
        <w:spacing w:after="0" w:line="156" w:lineRule="exact"/>
        <w:rPr>
          <w:sz w:val="20"/>
          <w:szCs w:val="20"/>
          <w:color w:val="auto"/>
        </w:rPr>
      </w:pPr>
    </w:p>
    <w:p>
      <w:pPr>
        <w:ind w:left="780" w:right="859" w:hanging="143"/>
        <w:spacing w:after="0" w:line="257" w:lineRule="auto"/>
        <w:tabs>
          <w:tab w:leader="none" w:pos="780" w:val="left"/>
        </w:tabs>
        <w:numPr>
          <w:ilvl w:val="0"/>
          <w:numId w:val="11"/>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 xml:space="preserve">- The treasury share method prescribed by IAS 33, </w:t>
      </w:r>
      <w:r>
        <w:rPr>
          <w:rFonts w:ascii="Times New Roman" w:cs="Times New Roman" w:eastAsia="Times New Roman" w:hAnsi="Times New Roman"/>
          <w:sz w:val="13"/>
          <w:szCs w:val="13"/>
          <w:i w:val="1"/>
          <w:iCs w:val="1"/>
          <w:color w:val="auto"/>
        </w:rPr>
        <w:t>Earnings Per Share</w:t>
      </w:r>
      <w:r>
        <w:rPr>
          <w:rFonts w:ascii="Times New Roman" w:cs="Times New Roman" w:eastAsia="Times New Roman" w:hAnsi="Times New Roman"/>
          <w:sz w:val="13"/>
          <w:szCs w:val="13"/>
          <w:color w:val="auto"/>
        </w:rPr>
        <w:t xml:space="preserve"> (“IAS 33”), includes only the bonus element as the EPIS denominator adjustment. The bonus element is the difference between the number of ordinary shares that would be issued at the exercise of the options and the number of ordinary shares deemed to be repurchased at the average market price.</w:t>
      </w:r>
    </w:p>
    <w:p>
      <w:pPr>
        <w:spacing w:after="0" w:line="20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Share-based payments</w:t>
      </w:r>
    </w:p>
    <w:p>
      <w:pPr>
        <w:spacing w:after="0" w:line="80" w:lineRule="exact"/>
        <w:rPr>
          <w:sz w:val="20"/>
          <w:szCs w:val="20"/>
          <w:color w:val="auto"/>
        </w:rPr>
      </w:pPr>
    </w:p>
    <w:p>
      <w:pPr>
        <w:ind w:left="640" w:right="759"/>
        <w:spacing w:after="0" w:line="251" w:lineRule="auto"/>
        <w:rPr>
          <w:sz w:val="20"/>
          <w:szCs w:val="20"/>
          <w:color w:val="auto"/>
        </w:rPr>
      </w:pPr>
      <w:r>
        <w:rPr>
          <w:rFonts w:ascii="Times New Roman" w:cs="Times New Roman" w:eastAsia="Times New Roman" w:hAnsi="Times New Roman"/>
          <w:sz w:val="13"/>
          <w:szCs w:val="13"/>
          <w:color w:val="auto"/>
        </w:rPr>
        <w:t>Share-based payments qualify as either cash-settled or equity-settled transactions, depending on the nature of their settlement terms. When the participant has the option for cash or equity settlement, the awards are classified as a compound financial instrument consisting of an equity and a financial liability component. When the Group has the option for cash or equity settlement, the awards are classified as equity-settled unless the Group has the obligation to settle in cash (i.e., the award provides the participant with a put option to the Group).</w:t>
      </w:r>
    </w:p>
    <w:p>
      <w:pPr>
        <w:spacing w:after="0" w:line="133" w:lineRule="exact"/>
        <w:rPr>
          <w:sz w:val="20"/>
          <w:szCs w:val="20"/>
          <w:color w:val="auto"/>
        </w:rPr>
      </w:pPr>
    </w:p>
    <w:p>
      <w:pPr>
        <w:ind w:left="640" w:right="779"/>
        <w:spacing w:after="0" w:line="247" w:lineRule="auto"/>
        <w:rPr>
          <w:sz w:val="20"/>
          <w:szCs w:val="20"/>
          <w:color w:val="auto"/>
        </w:rPr>
      </w:pPr>
      <w:r>
        <w:rPr>
          <w:rFonts w:ascii="Times New Roman" w:cs="Times New Roman" w:eastAsia="Times New Roman" w:hAnsi="Times New Roman"/>
          <w:sz w:val="13"/>
          <w:szCs w:val="13"/>
          <w:color w:val="auto"/>
        </w:rPr>
        <w:t>Cash settled share-based payment awards are recognized as a financial liability at their fair value on the date of grant and remeasured at each reporting date until the date of settlement, with changes in fair value recognized in profit and loss. Equity-settled share-based payment awards are recognized in equity using the fair value as of the date of grant and not remeasured thereafter. The expense associated with share-based payments is recognized over the period in which services are provided by the participant, immediately if services are deemed to have already been provided by the participant, or a combination thereof if services were already provided and the participant will continue to provide services over a future period. Share-based payment expenses are recorded in the functional cost category of the Unaudited Condensed Consolidated Statement of Income and Comprehensive Income (Loss) that corresponds with the nature of the services provided.</w:t>
      </w:r>
    </w:p>
    <w:p>
      <w:pPr>
        <w:spacing w:after="0" w:line="136" w:lineRule="exact"/>
        <w:rPr>
          <w:sz w:val="20"/>
          <w:szCs w:val="20"/>
          <w:color w:val="auto"/>
        </w:rPr>
      </w:pPr>
    </w:p>
    <w:p>
      <w:pPr>
        <w:ind w:left="640" w:right="799"/>
        <w:spacing w:after="0" w:line="249" w:lineRule="auto"/>
        <w:rPr>
          <w:sz w:val="20"/>
          <w:szCs w:val="20"/>
          <w:color w:val="auto"/>
        </w:rPr>
      </w:pPr>
      <w:r>
        <w:rPr>
          <w:rFonts w:ascii="Times New Roman" w:cs="Times New Roman" w:eastAsia="Times New Roman" w:hAnsi="Times New Roman"/>
          <w:sz w:val="13"/>
          <w:szCs w:val="13"/>
          <w:color w:val="auto"/>
        </w:rPr>
        <w:t>During the nine months ended September 30, 2022, the Group granted equity settled share-based payments to employees in the form of free shares, restricted stock units (“RSU”), and performance stock units (“PSU”) through the 2022 Omnibus Incentive Plan. The Group also granted equity settled share-based payments in exchange for certain marketing services through November 1, 2023 and the service of a public listing of the Group on the Nasdaq through the merger with GGI. Refer to Note 9 - Reverse recapitalization for detail on the merger with GGI. Refer to Note 11 - Share-based payments for more detail on the 2022 Omnibus Incentive Plan and marketing service agreement.</w:t>
      </w:r>
    </w:p>
    <w:p>
      <w:pPr>
        <w:spacing w:after="0" w:line="8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15</w:t>
      </w:r>
    </w:p>
    <w:p>
      <w:pPr>
        <w:sectPr>
          <w:pgSz w:w="11900" w:h="16838" w:orient="portrait"/>
          <w:cols w:equalWidth="0" w:num="1">
            <w:col w:w="9019"/>
          </w:cols>
          <w:pgMar w:left="1440" w:top="231" w:right="1440" w:bottom="1440" w:gutter="0" w:footer="0" w:header="0"/>
        </w:sectPr>
      </w:pPr>
    </w:p>
    <w:bookmarkStart w:id="72" w:name="page73"/>
    <w:bookmarkEnd w:id="72"/>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1"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Use of estimates and judgements</w:t>
      </w:r>
    </w:p>
    <w:p>
      <w:pPr>
        <w:spacing w:after="0" w:line="80" w:lineRule="exact"/>
        <w:rPr>
          <w:sz w:val="20"/>
          <w:szCs w:val="20"/>
          <w:color w:val="auto"/>
        </w:rPr>
      </w:pPr>
    </w:p>
    <w:p>
      <w:pPr>
        <w:ind w:left="640" w:right="659"/>
        <w:spacing w:after="0" w:line="248" w:lineRule="auto"/>
        <w:rPr>
          <w:sz w:val="20"/>
          <w:szCs w:val="20"/>
          <w:color w:val="auto"/>
        </w:rPr>
      </w:pPr>
      <w:r>
        <w:rPr>
          <w:rFonts w:ascii="Times New Roman" w:cs="Times New Roman" w:eastAsia="Times New Roman" w:hAnsi="Times New Roman"/>
          <w:sz w:val="13"/>
          <w:szCs w:val="13"/>
          <w:color w:val="auto"/>
        </w:rPr>
        <w:t>The preparation of these Unaudited Condensed Consolidated Financial Statements, in accordance with IAS 34, requires management to make judgements, estimates, and assumptions that affect the application of the Group’s accounting policies, the reported amount of assets, liabilities, revenues, expenses, and other related financial items. Management reviews its estimates and assumptions on a continuous basis; changes in accounting estimates are recognized in the period in which the estimates are revised, and prospectively thereafter. Details of new critical estimates and judgements which the Group considers to have a significant impact on these Unaudited Condensed Consolidated Financial Statements are set out below and the corresponding impacts can be seen in the following notes:</w:t>
      </w:r>
    </w:p>
    <w:p>
      <w:pPr>
        <w:spacing w:after="0" w:line="59" w:lineRule="exact"/>
        <w:rPr>
          <w:sz w:val="20"/>
          <w:szCs w:val="20"/>
          <w:color w:val="auto"/>
        </w:rPr>
      </w:pPr>
    </w:p>
    <w:p>
      <w:pPr>
        <w:ind w:left="640" w:right="1199" w:hanging="3"/>
        <w:spacing w:after="0" w:line="267" w:lineRule="auto"/>
        <w:tabs>
          <w:tab w:leader="none" w:pos="770" w:val="left"/>
        </w:tabs>
        <w:numPr>
          <w:ilvl w:val="0"/>
          <w:numId w:val="12"/>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Valuation of the financial liability for the Class C-1 Shares and Class C-2 Shares (collectively, “Class C Shares”) - refer to Note 9 - Reverse recapitalization.</w:t>
      </w:r>
    </w:p>
    <w:p>
      <w:pPr>
        <w:spacing w:after="0" w:line="46" w:lineRule="exact"/>
        <w:rPr>
          <w:rFonts w:ascii="Times New Roman" w:cs="Times New Roman" w:eastAsia="Times New Roman" w:hAnsi="Times New Roman"/>
          <w:sz w:val="13"/>
          <w:szCs w:val="13"/>
          <w:color w:val="auto"/>
        </w:rPr>
      </w:pPr>
    </w:p>
    <w:p>
      <w:pPr>
        <w:ind w:left="780" w:hanging="143"/>
        <w:spacing w:after="0"/>
        <w:tabs>
          <w:tab w:leader="none" w:pos="780" w:val="left"/>
        </w:tabs>
        <w:numPr>
          <w:ilvl w:val="0"/>
          <w:numId w:val="12"/>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Valuation of the financial liability for the Former Parent’s contingent earn out right - refer to Note 9 - Reverse recapitalization.</w:t>
      </w:r>
    </w:p>
    <w:p>
      <w:pPr>
        <w:spacing w:after="0" w:line="15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Actual results could differ materially from those estimates using different assumptions or under different conditions.</w:t>
      </w:r>
    </w:p>
    <w:p>
      <w:pPr>
        <w:spacing w:after="0" w:line="22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Fair value measurement</w:t>
      </w:r>
    </w:p>
    <w:p>
      <w:pPr>
        <w:spacing w:after="0" w:line="7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Valuation methodology for the fair value of the financial liability related to the Class C-2 Shares</w:t>
      </w:r>
    </w:p>
    <w:p>
      <w:pPr>
        <w:spacing w:after="0" w:line="80" w:lineRule="exact"/>
        <w:rPr>
          <w:sz w:val="20"/>
          <w:szCs w:val="20"/>
          <w:color w:val="auto"/>
        </w:rPr>
      </w:pPr>
    </w:p>
    <w:p>
      <w:pPr>
        <w:ind w:left="640" w:right="699"/>
        <w:spacing w:after="0" w:line="268" w:lineRule="auto"/>
        <w:rPr>
          <w:sz w:val="20"/>
          <w:szCs w:val="20"/>
          <w:color w:val="auto"/>
        </w:rPr>
      </w:pPr>
      <w:r>
        <w:rPr>
          <w:rFonts w:ascii="Times New Roman" w:cs="Times New Roman" w:eastAsia="Times New Roman" w:hAnsi="Times New Roman"/>
          <w:sz w:val="12"/>
          <w:szCs w:val="12"/>
          <w:color w:val="auto"/>
        </w:rPr>
        <w:t>The Class C-2 Shares represents a derivative financial instrument that is carried at fair value through profit and loss (“FVTPL”) by reference to Level 2 measurement inputs because an observable price for the Class C-1 Shares, which are almost identical instruments, is available in the active market. Class C Shares are presented in current liabilities within the Unaudited Condensed Consolidated Statement of Financial Position as they can be exercised by the holder at any time. The related liability is measured at fair value, with any changes in fair value recognized in earnings. The fair value of the Class C-2 Shares is determined using a binomial lattice option pricing model in a risk-neutral framework whereby the future prices of the Class A Shares are calculated assuming a geometric Brownian motion (“GBM”). For each future price, the Class C-2 payoff amount is calculated based on the contractual terms of the Class C-2 Shares, including assumptions for optimal early exercise and redemption, and then discounted at the term-matched risk-free rate. The final fair value of the Class C-2 Shares is calculated as the probability-weighted present value over all modeled future payoff amounts. As of September 30, 2022, the fair value of the Class C-2 Shares was determined to equal approximately $9,900 by leveraging the closing price of the Class C-1 Shares on the Nasdaq of $1.10 per share, an implied volatility of 88.8%, a risk-free rate of 4.04%, a dividend yield of nil, and a 1,000 time-steps for the binomial lattice option pricing model. Refer to Note 9 - Reverse recapitalization for more detail on the Class C-2 Shares.</w:t>
      </w:r>
    </w:p>
    <w:p>
      <w:pPr>
        <w:spacing w:after="0" w:line="7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16</w:t>
      </w:r>
    </w:p>
    <w:p>
      <w:pPr>
        <w:sectPr>
          <w:pgSz w:w="11900" w:h="16838" w:orient="portrait"/>
          <w:cols w:equalWidth="0" w:num="1">
            <w:col w:w="9019"/>
          </w:cols>
          <w:pgMar w:left="1440" w:top="231" w:right="1440" w:bottom="1440" w:gutter="0" w:footer="0" w:header="0"/>
        </w:sectPr>
      </w:pPr>
    </w:p>
    <w:bookmarkStart w:id="73" w:name="page74"/>
    <w:bookmarkEnd w:id="73"/>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1"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Valuation methodology for the fair value of the financial liability related to the Former Parent’s contingent earn-out rights</w:t>
      </w:r>
    </w:p>
    <w:p>
      <w:pPr>
        <w:spacing w:after="0" w:line="80" w:lineRule="exact"/>
        <w:rPr>
          <w:sz w:val="20"/>
          <w:szCs w:val="20"/>
          <w:color w:val="auto"/>
        </w:rPr>
      </w:pPr>
    </w:p>
    <w:p>
      <w:pPr>
        <w:ind w:left="640" w:right="659"/>
        <w:spacing w:after="0" w:line="246" w:lineRule="auto"/>
        <w:rPr>
          <w:sz w:val="20"/>
          <w:szCs w:val="20"/>
          <w:color w:val="auto"/>
        </w:rPr>
      </w:pPr>
      <w:r>
        <w:rPr>
          <w:rFonts w:ascii="Times New Roman" w:cs="Times New Roman" w:eastAsia="Times New Roman" w:hAnsi="Times New Roman"/>
          <w:sz w:val="13"/>
          <w:szCs w:val="13"/>
          <w:color w:val="auto"/>
        </w:rPr>
        <w:t>The Former Parent’s contingent earn out right represents a derivative financial instrument that is carried at FVTPL by reference to Level 3 measurement inputs because a quoted or observable price for the instrument or an identical instrument is not available in active markets. The earn-out liability is presented in non-current liabilities within the Unaudited Condensed Consolidated Statement of Financial Position to align with the expected timing of the underlying earn-out payments. The fair value of the earn out is determined using a Monte Carlo simulation that incorporates a term of 5.23 years, the five earn-out tranches, and the probability of the Class A Shares in ListCo reaching certain daily volume weighted average prices during the earn-out period resulting in the issuance of each tranche of Class A Shares and Class B Shares in ListCo to the Former Parent. As of September 30, 2022, the fair value of the earn-out was determined to equal approximately $534,970 by leveraging an implied volatility of 70% and a risk-free rate of 4.01%. The implied volatility represents the most significant unobservable input utilized in this Level 3 valuation technique. The calculated fair value would increase (decrease) if the implied volatility were higher (lower). Refer to Note 9 - Reverse recapitalization for more detail on the Former Parent’s earn-out rights.</w:t>
      </w:r>
    </w:p>
    <w:p>
      <w:pPr>
        <w:spacing w:after="0" w:line="209"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Valuation methodology for the fair value of RSUs and PSUs granted to employees under the 2022 Omnibus Incentive Plan</w:t>
      </w:r>
    </w:p>
    <w:p>
      <w:pPr>
        <w:spacing w:after="0" w:line="80" w:lineRule="exact"/>
        <w:rPr>
          <w:sz w:val="20"/>
          <w:szCs w:val="20"/>
          <w:color w:val="auto"/>
        </w:rPr>
      </w:pPr>
    </w:p>
    <w:p>
      <w:pPr>
        <w:ind w:left="640" w:right="659"/>
        <w:spacing w:after="0" w:line="245" w:lineRule="auto"/>
        <w:rPr>
          <w:sz w:val="20"/>
          <w:szCs w:val="20"/>
          <w:color w:val="auto"/>
        </w:rPr>
      </w:pPr>
      <w:r>
        <w:rPr>
          <w:rFonts w:ascii="Times New Roman" w:cs="Times New Roman" w:eastAsia="Times New Roman" w:hAnsi="Times New Roman"/>
          <w:sz w:val="13"/>
          <w:szCs w:val="13"/>
          <w:color w:val="auto"/>
        </w:rPr>
        <w:t>The fair value of the RSUs granted was determined by reference to the Group’s share price of $6.72 on the grant date (i.e., $6.72 per RSU). The fair value of PSUs granted was determined by calculating the weighted-average fair value of the 214,705 units linked to market-based vesting conditions and the 644,116 units linked to non-market-based vesting conditions. The units linked to non-market-based vesting conditions were fair valued by reference to the Group’s share price of $6.72 on the grant date (i.e., $6.72 per unit). The units linked to market-based vesting conditions were fair valued using a Monte Carlo simulation in a risk-neutral option pricing framework whereby the future share prices of Polestar’s Class A Shares and shares of the peer group over the performance period were calculated assuming a GBM. For each simulation path, the payoff amount of the awards was calculated as the simulated price of the Class A Shares multiplied by the simulated total shareholder return vesting (i.e., the number of awards simulated to vest based on the probability of achievement of certain performance conditions) and then discounted to the grant date at the term-matched risk-free rate. The fair value per unit of the units linked to non-market-based vesting conditions was determined to be $7.93 by leveraging an implied volatility of 70%, a peer group historical average volatility of 81.9%, a risk-free rate of 3.5%, a simulation term of 2.3 years, a dividend yield of nil, and a 100,000 simulation iterations. As such, the weighted-average fair value per PSU was calculated to be $7.02. Refer to Note 11 - Share-based payments for more detail on the 2022 Omnibus Incentive Plan.</w:t>
      </w:r>
    </w:p>
    <w:p>
      <w:pPr>
        <w:spacing w:after="0" w:line="21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Note 2 - Revenue</w:t>
      </w:r>
    </w:p>
    <w:p>
      <w:pPr>
        <w:spacing w:after="0" w:line="80" w:lineRule="exact"/>
        <w:rPr>
          <w:sz w:val="20"/>
          <w:szCs w:val="20"/>
          <w:color w:val="auto"/>
        </w:rPr>
      </w:pPr>
    </w:p>
    <w:p>
      <w:pPr>
        <w:ind w:left="640" w:right="1059"/>
        <w:spacing w:after="0" w:line="267" w:lineRule="auto"/>
        <w:rPr>
          <w:sz w:val="20"/>
          <w:szCs w:val="20"/>
          <w:color w:val="auto"/>
        </w:rPr>
      </w:pPr>
      <w:r>
        <w:rPr>
          <w:rFonts w:ascii="Times New Roman" w:cs="Times New Roman" w:eastAsia="Times New Roman" w:hAnsi="Times New Roman"/>
          <w:sz w:val="13"/>
          <w:szCs w:val="13"/>
          <w:color w:val="auto"/>
        </w:rPr>
        <w:t>Polestar Group disaggregates revenue by major category based on the primary economic factors that may impact the nature, amount, timing, and uncertainty of revenue and cash flows from these customer contracts as seen in the table below:</w:t>
      </w:r>
    </w:p>
    <w:p>
      <w:pPr>
        <w:spacing w:after="0" w:line="7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17</w:t>
      </w:r>
    </w:p>
    <w:p>
      <w:pPr>
        <w:sectPr>
          <w:pgSz w:w="11900" w:h="16838" w:orient="portrait"/>
          <w:cols w:equalWidth="0" w:num="1">
            <w:col w:w="9019"/>
          </w:cols>
          <w:pgMar w:left="1440" w:top="231" w:right="1440" w:bottom="1440" w:gutter="0" w:footer="0" w:header="0"/>
        </w:sectPr>
      </w:pPr>
    </w:p>
    <w:bookmarkStart w:id="74" w:name="page75"/>
    <w:bookmarkEnd w:id="74"/>
    <w:p>
      <w:pPr>
        <w:jc w:val="center"/>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79" w:lineRule="exact"/>
        <w:rPr>
          <w:sz w:val="20"/>
          <w:szCs w:val="20"/>
          <w:color w:val="auto"/>
        </w:rPr>
      </w:pPr>
    </w:p>
    <w:tbl>
      <w:tblPr>
        <w:tblLayout w:type="fixed"/>
        <w:tblInd w:w="1260" w:type="dxa"/>
        <w:tblCellMar>
          <w:top w:w="0" w:type="dxa"/>
          <w:left w:w="0" w:type="dxa"/>
          <w:bottom w:w="0" w:type="dxa"/>
          <w:right w:w="0" w:type="dxa"/>
        </w:tblCellMar>
      </w:tblPr>
      <w:tr>
        <w:trPr>
          <w:trHeight w:val="115"/>
        </w:trPr>
        <w:tc>
          <w:tcPr>
            <w:tcW w:w="3840" w:type="dxa"/>
            <w:vAlign w:val="bottom"/>
          </w:tcPr>
          <w:p>
            <w:pPr>
              <w:spacing w:after="0"/>
              <w:rPr>
                <w:sz w:val="10"/>
                <w:szCs w:val="10"/>
                <w:color w:val="auto"/>
              </w:rPr>
            </w:pPr>
          </w:p>
        </w:tc>
        <w:tc>
          <w:tcPr>
            <w:tcW w:w="1240" w:type="dxa"/>
            <w:vAlign w:val="bottom"/>
            <w:gridSpan w:val="3"/>
          </w:tcPr>
          <w:p>
            <w:pPr>
              <w:jc w:val="right"/>
              <w:spacing w:after="0"/>
              <w:rPr>
                <w:sz w:val="20"/>
                <w:szCs w:val="20"/>
                <w:color w:val="auto"/>
              </w:rPr>
            </w:pPr>
            <w:r>
              <w:rPr>
                <w:rFonts w:ascii="Times New Roman" w:cs="Times New Roman" w:eastAsia="Times New Roman" w:hAnsi="Times New Roman"/>
                <w:sz w:val="10"/>
                <w:szCs w:val="10"/>
                <w:b w:val="1"/>
                <w:bCs w:val="1"/>
                <w:color w:val="auto"/>
              </w:rPr>
              <w:t>For the three months ended</w:t>
            </w:r>
          </w:p>
        </w:tc>
        <w:tc>
          <w:tcPr>
            <w:tcW w:w="160" w:type="dxa"/>
            <w:vAlign w:val="bottom"/>
          </w:tcPr>
          <w:p>
            <w:pPr>
              <w:spacing w:after="0"/>
              <w:rPr>
                <w:sz w:val="10"/>
                <w:szCs w:val="10"/>
                <w:color w:val="auto"/>
              </w:rPr>
            </w:pPr>
          </w:p>
        </w:tc>
        <w:tc>
          <w:tcPr>
            <w:tcW w:w="1260" w:type="dxa"/>
            <w:vAlign w:val="bottom"/>
            <w:gridSpan w:val="4"/>
          </w:tcPr>
          <w:p>
            <w:pPr>
              <w:jc w:val="center"/>
              <w:ind w:right="60"/>
              <w:spacing w:after="0"/>
              <w:rPr>
                <w:sz w:val="20"/>
                <w:szCs w:val="20"/>
                <w:color w:val="auto"/>
              </w:rPr>
            </w:pPr>
            <w:r>
              <w:rPr>
                <w:rFonts w:ascii="Times New Roman" w:cs="Times New Roman" w:eastAsia="Times New Roman" w:hAnsi="Times New Roman"/>
                <w:sz w:val="10"/>
                <w:szCs w:val="10"/>
                <w:b w:val="1"/>
                <w:bCs w:val="1"/>
                <w:color w:val="auto"/>
              </w:rPr>
              <w:t>For the nine months ended</w:t>
            </w:r>
          </w:p>
        </w:tc>
      </w:tr>
      <w:tr>
        <w:trPr>
          <w:trHeight w:val="121"/>
        </w:trPr>
        <w:tc>
          <w:tcPr>
            <w:tcW w:w="3840" w:type="dxa"/>
            <w:vAlign w:val="bottom"/>
          </w:tcPr>
          <w:p>
            <w:pPr>
              <w:spacing w:after="0"/>
              <w:rPr>
                <w:sz w:val="10"/>
                <w:szCs w:val="10"/>
                <w:color w:val="auto"/>
              </w:rPr>
            </w:pPr>
          </w:p>
        </w:tc>
        <w:tc>
          <w:tcPr>
            <w:tcW w:w="1240" w:type="dxa"/>
            <w:vAlign w:val="bottom"/>
            <w:gridSpan w:val="3"/>
          </w:tcPr>
          <w:p>
            <w:pPr>
              <w:jc w:val="right"/>
              <w:ind w:right="257"/>
              <w:spacing w:after="0"/>
              <w:rPr>
                <w:sz w:val="20"/>
                <w:szCs w:val="20"/>
                <w:color w:val="auto"/>
              </w:rPr>
            </w:pPr>
            <w:r>
              <w:rPr>
                <w:rFonts w:ascii="Times New Roman" w:cs="Times New Roman" w:eastAsia="Times New Roman" w:hAnsi="Times New Roman"/>
                <w:sz w:val="10"/>
                <w:szCs w:val="10"/>
                <w:b w:val="1"/>
                <w:bCs w:val="1"/>
                <w:color w:val="auto"/>
              </w:rPr>
              <w:t>September 30,</w:t>
            </w:r>
          </w:p>
        </w:tc>
        <w:tc>
          <w:tcPr>
            <w:tcW w:w="160" w:type="dxa"/>
            <w:vAlign w:val="bottom"/>
          </w:tcPr>
          <w:p>
            <w:pPr>
              <w:spacing w:after="0"/>
              <w:rPr>
                <w:sz w:val="10"/>
                <w:szCs w:val="10"/>
                <w:color w:val="auto"/>
              </w:rPr>
            </w:pPr>
          </w:p>
        </w:tc>
        <w:tc>
          <w:tcPr>
            <w:tcW w:w="1260" w:type="dxa"/>
            <w:vAlign w:val="bottom"/>
            <w:gridSpan w:val="4"/>
          </w:tcPr>
          <w:p>
            <w:pPr>
              <w:jc w:val="center"/>
              <w:ind w:right="40"/>
              <w:spacing w:after="0"/>
              <w:rPr>
                <w:sz w:val="20"/>
                <w:szCs w:val="20"/>
                <w:color w:val="auto"/>
              </w:rPr>
            </w:pPr>
            <w:r>
              <w:rPr>
                <w:rFonts w:ascii="Times New Roman" w:cs="Times New Roman" w:eastAsia="Times New Roman" w:hAnsi="Times New Roman"/>
                <w:sz w:val="10"/>
                <w:szCs w:val="10"/>
                <w:b w:val="1"/>
                <w:bCs w:val="1"/>
                <w:color w:val="auto"/>
              </w:rPr>
              <w:t>September 30,</w:t>
            </w:r>
          </w:p>
        </w:tc>
      </w:tr>
      <w:tr>
        <w:trPr>
          <w:trHeight w:val="94"/>
        </w:trPr>
        <w:tc>
          <w:tcPr>
            <w:tcW w:w="3840" w:type="dxa"/>
            <w:vAlign w:val="bottom"/>
          </w:tcPr>
          <w:p>
            <w:pPr>
              <w:spacing w:after="0"/>
              <w:rPr>
                <w:sz w:val="8"/>
                <w:szCs w:val="8"/>
                <w:color w:val="auto"/>
              </w:rPr>
            </w:pPr>
          </w:p>
        </w:tc>
        <w:tc>
          <w:tcPr>
            <w:tcW w:w="540" w:type="dxa"/>
            <w:vAlign w:val="bottom"/>
            <w:tcBorders>
              <w:top w:val="single" w:sz="8" w:color="auto"/>
            </w:tcBorders>
          </w:tcPr>
          <w:p>
            <w:pPr>
              <w:jc w:val="right"/>
              <w:ind w:right="121"/>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700" w:type="dxa"/>
            <w:vAlign w:val="bottom"/>
            <w:tcBorders>
              <w:top w:val="single" w:sz="8" w:color="auto"/>
            </w:tcBorders>
            <w:gridSpan w:val="2"/>
          </w:tcPr>
          <w:p>
            <w:pPr>
              <w:jc w:val="right"/>
              <w:ind w:right="117"/>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160" w:type="dxa"/>
            <w:vAlign w:val="bottom"/>
          </w:tcPr>
          <w:p>
            <w:pPr>
              <w:spacing w:after="0"/>
              <w:rPr>
                <w:sz w:val="8"/>
                <w:szCs w:val="8"/>
                <w:color w:val="auto"/>
              </w:rPr>
            </w:pPr>
          </w:p>
        </w:tc>
        <w:tc>
          <w:tcPr>
            <w:tcW w:w="580" w:type="dxa"/>
            <w:vAlign w:val="bottom"/>
            <w:tcBorders>
              <w:top w:val="single" w:sz="8" w:color="auto"/>
            </w:tcBorders>
          </w:tcPr>
          <w:p>
            <w:pPr>
              <w:jc w:val="right"/>
              <w:ind w:right="144"/>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640" w:type="dxa"/>
            <w:vAlign w:val="bottom"/>
            <w:tcBorders>
              <w:top w:val="single" w:sz="8" w:color="auto"/>
            </w:tcBorders>
            <w:gridSpan w:val="2"/>
          </w:tcPr>
          <w:p>
            <w:pPr>
              <w:jc w:val="right"/>
              <w:ind w:right="77"/>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40" w:type="dxa"/>
            <w:vAlign w:val="bottom"/>
          </w:tcPr>
          <w:p>
            <w:pPr>
              <w:spacing w:after="0"/>
              <w:rPr>
                <w:sz w:val="8"/>
                <w:szCs w:val="8"/>
                <w:color w:val="auto"/>
              </w:rPr>
            </w:pPr>
          </w:p>
        </w:tc>
      </w:tr>
      <w:tr>
        <w:trPr>
          <w:trHeight w:val="141"/>
        </w:trPr>
        <w:tc>
          <w:tcPr>
            <w:tcW w:w="3840" w:type="dxa"/>
            <w:vAlign w:val="bottom"/>
            <w:tcBorders>
              <w:top w:val="single" w:sz="8" w:color="CCEEFF"/>
            </w:tcBorders>
            <w:shd w:val="clear" w:color="auto" w:fill="CCEEFF"/>
          </w:tcPr>
          <w:p>
            <w:pPr>
              <w:spacing w:after="0" w:line="142" w:lineRule="exact"/>
              <w:rPr>
                <w:sz w:val="20"/>
                <w:szCs w:val="20"/>
                <w:color w:val="auto"/>
              </w:rPr>
            </w:pPr>
            <w:r>
              <w:rPr>
                <w:rFonts w:ascii="Times New Roman" w:cs="Times New Roman" w:eastAsia="Times New Roman" w:hAnsi="Times New Roman"/>
                <w:sz w:val="11"/>
                <w:szCs w:val="11"/>
                <w:color w:val="auto"/>
              </w:rPr>
              <w:t>Sales of vehicles and related services</w:t>
            </w:r>
            <w:r>
              <w:rPr>
                <w:rFonts w:ascii="Times New Roman" w:cs="Times New Roman" w:eastAsia="Times New Roman" w:hAnsi="Times New Roman"/>
                <w:sz w:val="16"/>
                <w:szCs w:val="16"/>
                <w:color w:val="auto"/>
                <w:vertAlign w:val="superscript"/>
              </w:rPr>
              <w:t>1</w:t>
            </w:r>
          </w:p>
        </w:tc>
        <w:tc>
          <w:tcPr>
            <w:tcW w:w="54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425,299</w:t>
            </w:r>
          </w:p>
        </w:tc>
        <w:tc>
          <w:tcPr>
            <w:tcW w:w="160" w:type="dxa"/>
            <w:vAlign w:val="bottom"/>
            <w:tcBorders>
              <w:top w:val="single" w:sz="8" w:color="CCEEFF"/>
            </w:tcBorders>
            <w:shd w:val="clear" w:color="auto" w:fill="CCEEFF"/>
          </w:tcPr>
          <w:p>
            <w:pPr>
              <w:spacing w:after="0"/>
              <w:rPr>
                <w:sz w:val="12"/>
                <w:szCs w:val="12"/>
                <w:color w:val="auto"/>
              </w:rPr>
            </w:pPr>
          </w:p>
        </w:tc>
        <w:tc>
          <w:tcPr>
            <w:tcW w:w="54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204,869</w:t>
            </w:r>
          </w:p>
        </w:tc>
        <w:tc>
          <w:tcPr>
            <w:tcW w:w="160" w:type="dxa"/>
            <w:vAlign w:val="bottom"/>
            <w:tcBorders>
              <w:top w:val="single" w:sz="8" w:color="CCEEFF"/>
            </w:tcBorders>
            <w:shd w:val="clear" w:color="auto" w:fill="CCEEFF"/>
          </w:tcPr>
          <w:p>
            <w:pPr>
              <w:spacing w:after="0"/>
              <w:rPr>
                <w:sz w:val="12"/>
                <w:szCs w:val="12"/>
                <w:color w:val="auto"/>
              </w:rPr>
            </w:pPr>
          </w:p>
        </w:tc>
        <w:tc>
          <w:tcPr>
            <w:tcW w:w="58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1,442,116</w:t>
            </w:r>
          </w:p>
        </w:tc>
        <w:tc>
          <w:tcPr>
            <w:tcW w:w="160" w:type="dxa"/>
            <w:vAlign w:val="bottom"/>
            <w:tcBorders>
              <w:top w:val="single" w:sz="8" w:color="CCEEFF"/>
            </w:tcBorders>
            <w:shd w:val="clear" w:color="auto" w:fill="CCEEFF"/>
          </w:tcPr>
          <w:p>
            <w:pPr>
              <w:spacing w:after="0"/>
              <w:rPr>
                <w:sz w:val="12"/>
                <w:szCs w:val="12"/>
                <w:color w:val="auto"/>
              </w:rPr>
            </w:pPr>
          </w:p>
        </w:tc>
        <w:tc>
          <w:tcPr>
            <w:tcW w:w="48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722,152</w:t>
            </w:r>
          </w:p>
        </w:tc>
        <w:tc>
          <w:tcPr>
            <w:tcW w:w="40" w:type="dxa"/>
            <w:vAlign w:val="bottom"/>
            <w:tcBorders>
              <w:top w:val="single" w:sz="8" w:color="CCEEFF"/>
            </w:tcBorders>
            <w:shd w:val="clear" w:color="auto" w:fill="CCEEFF"/>
          </w:tcPr>
          <w:p>
            <w:pPr>
              <w:spacing w:after="0"/>
              <w:rPr>
                <w:sz w:val="12"/>
                <w:szCs w:val="12"/>
                <w:color w:val="auto"/>
              </w:rPr>
            </w:pPr>
          </w:p>
        </w:tc>
      </w:tr>
      <w:tr>
        <w:trPr>
          <w:trHeight w:val="152"/>
        </w:trPr>
        <w:tc>
          <w:tcPr>
            <w:tcW w:w="3840" w:type="dxa"/>
            <w:vAlign w:val="bottom"/>
          </w:tcPr>
          <w:p>
            <w:pPr>
              <w:spacing w:after="0"/>
              <w:rPr>
                <w:sz w:val="20"/>
                <w:szCs w:val="20"/>
                <w:color w:val="auto"/>
              </w:rPr>
            </w:pPr>
            <w:r>
              <w:rPr>
                <w:rFonts w:ascii="Times New Roman" w:cs="Times New Roman" w:eastAsia="Times New Roman" w:hAnsi="Times New Roman"/>
                <w:sz w:val="13"/>
                <w:szCs w:val="13"/>
                <w:color w:val="auto"/>
              </w:rPr>
              <w:t>Sales of software and performance engineered kits</w:t>
            </w:r>
          </w:p>
        </w:tc>
        <w:tc>
          <w:tcPr>
            <w:tcW w:w="5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4,451</w:t>
            </w: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5,537</w:t>
            </w: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15,313</w:t>
            </w:r>
          </w:p>
        </w:tc>
        <w:tc>
          <w:tcPr>
            <w:tcW w:w="64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19,817</w:t>
            </w:r>
          </w:p>
        </w:tc>
        <w:tc>
          <w:tcPr>
            <w:tcW w:w="40" w:type="dxa"/>
            <w:vAlign w:val="bottom"/>
          </w:tcPr>
          <w:p>
            <w:pPr>
              <w:spacing w:after="0"/>
              <w:rPr>
                <w:sz w:val="13"/>
                <w:szCs w:val="13"/>
                <w:color w:val="auto"/>
              </w:rPr>
            </w:pPr>
          </w:p>
        </w:tc>
      </w:tr>
      <w:tr>
        <w:trPr>
          <w:trHeight w:val="152"/>
        </w:trPr>
        <w:tc>
          <w:tcPr>
            <w:tcW w:w="38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Sales of carbon credits</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162</w:t>
            </w:r>
          </w:p>
        </w:tc>
        <w:tc>
          <w:tcPr>
            <w:tcW w:w="160" w:type="dxa"/>
            <w:vAlign w:val="bottom"/>
            <w:shd w:val="clear" w:color="auto" w:fill="CCEEFF"/>
          </w:tcPr>
          <w:p>
            <w:pPr>
              <w:spacing w:after="0"/>
              <w:rPr>
                <w:sz w:val="13"/>
                <w:szCs w:val="13"/>
                <w:color w:val="auto"/>
              </w:rPr>
            </w:pP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7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1,475</w:t>
            </w:r>
          </w:p>
        </w:tc>
        <w:tc>
          <w:tcPr>
            <w:tcW w:w="160" w:type="dxa"/>
            <w:vAlign w:val="bottom"/>
            <w:shd w:val="clear" w:color="auto" w:fill="CCEEFF"/>
          </w:tcPr>
          <w:p>
            <w:pPr>
              <w:spacing w:after="0"/>
              <w:rPr>
                <w:sz w:val="13"/>
                <w:szCs w:val="13"/>
                <w:color w:val="auto"/>
              </w:rPr>
            </w:pPr>
          </w:p>
        </w:tc>
        <w:tc>
          <w:tcPr>
            <w:tcW w:w="520" w:type="dxa"/>
            <w:vAlign w:val="bottom"/>
            <w:gridSpan w:val="2"/>
            <w:shd w:val="clear" w:color="auto" w:fill="CCEEFF"/>
          </w:tcPr>
          <w:p>
            <w:pPr>
              <w:ind w:left="280"/>
              <w:spacing w:after="0"/>
              <w:rPr>
                <w:sz w:val="20"/>
                <w:szCs w:val="20"/>
                <w:color w:val="auto"/>
              </w:rPr>
            </w:pPr>
            <w:r>
              <w:rPr>
                <w:rFonts w:ascii="Times New Roman" w:cs="Times New Roman" w:eastAsia="Times New Roman" w:hAnsi="Times New Roman"/>
                <w:sz w:val="13"/>
                <w:szCs w:val="13"/>
                <w:color w:val="auto"/>
              </w:rPr>
              <w:t>—</w:t>
            </w:r>
          </w:p>
        </w:tc>
      </w:tr>
      <w:tr>
        <w:trPr>
          <w:trHeight w:val="152"/>
        </w:trPr>
        <w:tc>
          <w:tcPr>
            <w:tcW w:w="3840" w:type="dxa"/>
            <w:vAlign w:val="bottom"/>
          </w:tcPr>
          <w:p>
            <w:pPr>
              <w:spacing w:after="0"/>
              <w:rPr>
                <w:sz w:val="20"/>
                <w:szCs w:val="20"/>
                <w:color w:val="auto"/>
              </w:rPr>
            </w:pPr>
            <w:r>
              <w:rPr>
                <w:rFonts w:ascii="Times New Roman" w:cs="Times New Roman" w:eastAsia="Times New Roman" w:hAnsi="Times New Roman"/>
                <w:sz w:val="13"/>
                <w:szCs w:val="13"/>
                <w:color w:val="auto"/>
              </w:rPr>
              <w:t>Vehicle leasing revenue</w:t>
            </w:r>
          </w:p>
        </w:tc>
        <w:tc>
          <w:tcPr>
            <w:tcW w:w="5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4,559</w:t>
            </w: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2,001</w:t>
            </w: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12,493</w:t>
            </w:r>
          </w:p>
        </w:tc>
        <w:tc>
          <w:tcPr>
            <w:tcW w:w="64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2,155</w:t>
            </w:r>
          </w:p>
        </w:tc>
        <w:tc>
          <w:tcPr>
            <w:tcW w:w="40" w:type="dxa"/>
            <w:vAlign w:val="bottom"/>
          </w:tcPr>
          <w:p>
            <w:pPr>
              <w:spacing w:after="0"/>
              <w:rPr>
                <w:sz w:val="13"/>
                <w:szCs w:val="13"/>
                <w:color w:val="auto"/>
              </w:rPr>
            </w:pPr>
          </w:p>
        </w:tc>
      </w:tr>
      <w:tr>
        <w:trPr>
          <w:trHeight w:val="152"/>
        </w:trPr>
        <w:tc>
          <w:tcPr>
            <w:tcW w:w="38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Other revenue</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978</w:t>
            </w:r>
          </w:p>
        </w:tc>
        <w:tc>
          <w:tcPr>
            <w:tcW w:w="7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489</w:t>
            </w:r>
          </w:p>
        </w:tc>
        <w:tc>
          <w:tcPr>
            <w:tcW w:w="7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5,349</w:t>
            </w:r>
          </w:p>
        </w:tc>
        <w:tc>
          <w:tcPr>
            <w:tcW w:w="6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3,550</w:t>
            </w:r>
          </w:p>
        </w:tc>
        <w:tc>
          <w:tcPr>
            <w:tcW w:w="40" w:type="dxa"/>
            <w:vAlign w:val="bottom"/>
            <w:shd w:val="clear" w:color="auto" w:fill="CCEEFF"/>
          </w:tcPr>
          <w:p>
            <w:pPr>
              <w:spacing w:after="0"/>
              <w:rPr>
                <w:sz w:val="13"/>
                <w:szCs w:val="13"/>
                <w:color w:val="auto"/>
              </w:rPr>
            </w:pPr>
          </w:p>
        </w:tc>
      </w:tr>
      <w:tr>
        <w:trPr>
          <w:trHeight w:val="151"/>
        </w:trPr>
        <w:tc>
          <w:tcPr>
            <w:tcW w:w="384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Total</w:t>
            </w:r>
          </w:p>
        </w:tc>
        <w:tc>
          <w:tcPr>
            <w:tcW w:w="5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435,449</w:t>
            </w:r>
          </w:p>
        </w:tc>
        <w:tc>
          <w:tcPr>
            <w:tcW w:w="160" w:type="dxa"/>
            <w:vAlign w:val="bottom"/>
          </w:tcPr>
          <w:p>
            <w:pPr>
              <w:spacing w:after="0"/>
              <w:rPr>
                <w:sz w:val="13"/>
                <w:szCs w:val="13"/>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212,896</w:t>
            </w:r>
          </w:p>
        </w:tc>
        <w:tc>
          <w:tcPr>
            <w:tcW w:w="160" w:type="dxa"/>
            <w:vAlign w:val="bottom"/>
          </w:tcPr>
          <w:p>
            <w:pPr>
              <w:spacing w:after="0"/>
              <w:rPr>
                <w:sz w:val="13"/>
                <w:szCs w:val="13"/>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1,476,746</w:t>
            </w:r>
          </w:p>
        </w:tc>
        <w:tc>
          <w:tcPr>
            <w:tcW w:w="160" w:type="dxa"/>
            <w:vAlign w:val="bottom"/>
          </w:tcPr>
          <w:p>
            <w:pPr>
              <w:spacing w:after="0"/>
              <w:rPr>
                <w:sz w:val="13"/>
                <w:szCs w:val="13"/>
                <w:color w:val="auto"/>
              </w:rPr>
            </w:pPr>
          </w:p>
        </w:tc>
        <w:tc>
          <w:tcPr>
            <w:tcW w:w="4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747,674</w:t>
            </w:r>
          </w:p>
        </w:tc>
        <w:tc>
          <w:tcPr>
            <w:tcW w:w="40" w:type="dxa"/>
            <w:vAlign w:val="bottom"/>
          </w:tcPr>
          <w:p>
            <w:pPr>
              <w:spacing w:after="0"/>
              <w:rPr>
                <w:sz w:val="13"/>
                <w:szCs w:val="13"/>
                <w:color w:val="auto"/>
              </w:rPr>
            </w:pPr>
          </w:p>
        </w:tc>
      </w:tr>
    </w:tbl>
    <w:p>
      <w:pPr>
        <w:spacing w:after="0" w:line="14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1 - Revenue related to sale of vehicles are inclusive of extended and connected services recognized over time.</w:t>
      </w:r>
    </w:p>
    <w:p>
      <w:pPr>
        <w:spacing w:after="0" w:line="154" w:lineRule="exact"/>
        <w:rPr>
          <w:sz w:val="20"/>
          <w:szCs w:val="20"/>
          <w:color w:val="auto"/>
        </w:rPr>
      </w:pPr>
    </w:p>
    <w:p>
      <w:pPr>
        <w:ind w:left="640" w:right="879"/>
        <w:spacing w:after="0" w:line="267" w:lineRule="auto"/>
        <w:rPr>
          <w:sz w:val="20"/>
          <w:szCs w:val="20"/>
          <w:color w:val="auto"/>
        </w:rPr>
      </w:pPr>
      <w:r>
        <w:rPr>
          <w:rFonts w:ascii="Times New Roman" w:cs="Times New Roman" w:eastAsia="Times New Roman" w:hAnsi="Times New Roman"/>
          <w:sz w:val="13"/>
          <w:szCs w:val="13"/>
          <w:color w:val="auto"/>
        </w:rPr>
        <w:t>For the three and nine months ended September 30, 2022 and 2021, other revenue primarily consisted of license revenue generated from sales-based royalties received from Volvo Cars on sales of parts and accessories for Polestar vehicles.</w:t>
      </w:r>
    </w:p>
    <w:p>
      <w:pPr>
        <w:spacing w:after="0" w:line="122" w:lineRule="exact"/>
        <w:rPr>
          <w:sz w:val="20"/>
          <w:szCs w:val="20"/>
          <w:color w:val="auto"/>
        </w:rPr>
      </w:pPr>
    </w:p>
    <w:p>
      <w:pPr>
        <w:ind w:left="640" w:right="659"/>
        <w:spacing w:after="0" w:line="255" w:lineRule="auto"/>
        <w:rPr>
          <w:sz w:val="20"/>
          <w:szCs w:val="20"/>
          <w:color w:val="auto"/>
        </w:rPr>
      </w:pPr>
      <w:r>
        <w:rPr>
          <w:rFonts w:ascii="Times New Roman" w:cs="Times New Roman" w:eastAsia="Times New Roman" w:hAnsi="Times New Roman"/>
          <w:sz w:val="13"/>
          <w:szCs w:val="13"/>
          <w:color w:val="auto"/>
        </w:rPr>
        <w:t>For the three and nine months ended September 30, 2022, no sole customer, that are not related parties, exceeded 10% of total revenue. The Group’s two largest customers that are not related parties accounted for $95,148 (12.73%) and $82,867 (11.08%) of revenue, respectively, for the three and nine months ended September 2021. Refer to Note 8 - Related party transactions for further details on revenues from related parties.</w:t>
      </w:r>
    </w:p>
    <w:p>
      <w:pPr>
        <w:spacing w:after="0" w:line="20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Contract liabilities</w:t>
      </w:r>
    </w:p>
    <w:p>
      <w:pPr>
        <w:spacing w:after="0" w:line="160" w:lineRule="exact"/>
        <w:rPr>
          <w:sz w:val="20"/>
          <w:szCs w:val="20"/>
          <w:color w:val="auto"/>
        </w:rPr>
      </w:pPr>
    </w:p>
    <w:tbl>
      <w:tblPr>
        <w:tblLayout w:type="fixed"/>
        <w:tblInd w:w="640" w:type="dxa"/>
        <w:tblCellMar>
          <w:top w:w="0" w:type="dxa"/>
          <w:left w:w="0" w:type="dxa"/>
          <w:bottom w:w="0" w:type="dxa"/>
          <w:right w:w="0" w:type="dxa"/>
        </w:tblCellMar>
      </w:tblPr>
      <w:tr>
        <w:trPr>
          <w:trHeight w:val="115"/>
        </w:trPr>
        <w:tc>
          <w:tcPr>
            <w:tcW w:w="490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60" w:type="dxa"/>
            <w:vAlign w:val="bottom"/>
            <w:gridSpan w:val="2"/>
            <w:vMerge w:val="restart"/>
          </w:tcPr>
          <w:p>
            <w:pPr>
              <w:jc w:val="center"/>
              <w:ind w:right="140"/>
              <w:spacing w:after="0"/>
              <w:rPr>
                <w:sz w:val="20"/>
                <w:szCs w:val="20"/>
                <w:color w:val="auto"/>
              </w:rPr>
            </w:pPr>
            <w:r>
              <w:rPr>
                <w:rFonts w:ascii="Times New Roman" w:cs="Times New Roman" w:eastAsia="Times New Roman" w:hAnsi="Times New Roman"/>
                <w:sz w:val="10"/>
                <w:szCs w:val="10"/>
                <w:b w:val="1"/>
                <w:bCs w:val="1"/>
                <w:color w:val="auto"/>
                <w:w w:val="99"/>
              </w:rPr>
              <w:t>Deferred</w:t>
            </w:r>
          </w:p>
        </w:tc>
        <w:tc>
          <w:tcPr>
            <w:tcW w:w="600" w:type="dxa"/>
            <w:vAlign w:val="bottom"/>
            <w:gridSpan w:val="2"/>
            <w:vMerge w:val="restart"/>
          </w:tcPr>
          <w:p>
            <w:pPr>
              <w:jc w:val="center"/>
              <w:ind w:right="160"/>
              <w:spacing w:after="0"/>
              <w:rPr>
                <w:sz w:val="20"/>
                <w:szCs w:val="20"/>
                <w:color w:val="auto"/>
              </w:rPr>
            </w:pPr>
            <w:r>
              <w:rPr>
                <w:rFonts w:ascii="Times New Roman" w:cs="Times New Roman" w:eastAsia="Times New Roman" w:hAnsi="Times New Roman"/>
                <w:sz w:val="10"/>
                <w:szCs w:val="10"/>
                <w:b w:val="1"/>
                <w:bCs w:val="1"/>
                <w:color w:val="auto"/>
              </w:rPr>
              <w:t>Deferred</w:t>
            </w:r>
          </w:p>
        </w:tc>
        <w:tc>
          <w:tcPr>
            <w:tcW w:w="580" w:type="dxa"/>
            <w:vAlign w:val="bottom"/>
            <w:gridSpan w:val="2"/>
          </w:tcPr>
          <w:p>
            <w:pPr>
              <w:jc w:val="center"/>
              <w:ind w:right="160"/>
              <w:spacing w:after="0"/>
              <w:rPr>
                <w:sz w:val="20"/>
                <w:szCs w:val="20"/>
                <w:color w:val="auto"/>
              </w:rPr>
            </w:pPr>
            <w:r>
              <w:rPr>
                <w:rFonts w:ascii="Times New Roman" w:cs="Times New Roman" w:eastAsia="Times New Roman" w:hAnsi="Times New Roman"/>
                <w:sz w:val="10"/>
                <w:szCs w:val="10"/>
                <w:b w:val="1"/>
                <w:bCs w:val="1"/>
                <w:color w:val="auto"/>
                <w:w w:val="99"/>
              </w:rPr>
              <w:t>Deferred</w:t>
            </w:r>
          </w:p>
        </w:tc>
        <w:tc>
          <w:tcPr>
            <w:tcW w:w="4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4"/>
        </w:trPr>
        <w:tc>
          <w:tcPr>
            <w:tcW w:w="4900" w:type="dxa"/>
            <w:vAlign w:val="bottom"/>
          </w:tcPr>
          <w:p>
            <w:pPr>
              <w:spacing w:after="0"/>
              <w:rPr>
                <w:sz w:val="9"/>
                <w:szCs w:val="9"/>
                <w:color w:val="auto"/>
              </w:rPr>
            </w:pPr>
          </w:p>
        </w:tc>
        <w:tc>
          <w:tcPr>
            <w:tcW w:w="580" w:type="dxa"/>
            <w:vAlign w:val="bottom"/>
            <w:gridSpan w:val="2"/>
            <w:vMerge w:val="restart"/>
          </w:tcPr>
          <w:p>
            <w:pPr>
              <w:jc w:val="right"/>
              <w:ind w:right="260"/>
              <w:spacing w:after="0"/>
              <w:rPr>
                <w:sz w:val="20"/>
                <w:szCs w:val="20"/>
                <w:color w:val="auto"/>
              </w:rPr>
            </w:pPr>
            <w:r>
              <w:rPr>
                <w:rFonts w:ascii="Times New Roman" w:cs="Times New Roman" w:eastAsia="Times New Roman" w:hAnsi="Times New Roman"/>
                <w:sz w:val="10"/>
                <w:szCs w:val="10"/>
                <w:b w:val="1"/>
                <w:bCs w:val="1"/>
                <w:color w:val="auto"/>
              </w:rPr>
              <w:t>Sales</w:t>
            </w:r>
          </w:p>
        </w:tc>
        <w:tc>
          <w:tcPr>
            <w:tcW w:w="560" w:type="dxa"/>
            <w:vAlign w:val="bottom"/>
            <w:gridSpan w:val="2"/>
            <w:vMerge w:val="continue"/>
          </w:tcPr>
          <w:p>
            <w:pPr>
              <w:spacing w:after="0"/>
              <w:rPr>
                <w:sz w:val="9"/>
                <w:szCs w:val="9"/>
                <w:color w:val="auto"/>
              </w:rPr>
            </w:pPr>
          </w:p>
        </w:tc>
        <w:tc>
          <w:tcPr>
            <w:tcW w:w="600" w:type="dxa"/>
            <w:vAlign w:val="bottom"/>
            <w:gridSpan w:val="2"/>
            <w:vMerge w:val="continue"/>
          </w:tcPr>
          <w:p>
            <w:pPr>
              <w:spacing w:after="0"/>
              <w:rPr>
                <w:sz w:val="9"/>
                <w:szCs w:val="9"/>
                <w:color w:val="auto"/>
              </w:rPr>
            </w:pPr>
          </w:p>
        </w:tc>
        <w:tc>
          <w:tcPr>
            <w:tcW w:w="580" w:type="dxa"/>
            <w:vAlign w:val="bottom"/>
            <w:gridSpan w:val="2"/>
          </w:tcPr>
          <w:p>
            <w:pPr>
              <w:jc w:val="center"/>
              <w:ind w:right="180"/>
              <w:spacing w:after="0" w:line="104" w:lineRule="exact"/>
              <w:rPr>
                <w:sz w:val="20"/>
                <w:szCs w:val="20"/>
                <w:color w:val="auto"/>
              </w:rPr>
            </w:pPr>
            <w:r>
              <w:rPr>
                <w:rFonts w:ascii="Times New Roman" w:cs="Times New Roman" w:eastAsia="Times New Roman" w:hAnsi="Times New Roman"/>
                <w:sz w:val="10"/>
                <w:szCs w:val="10"/>
                <w:b w:val="1"/>
                <w:bCs w:val="1"/>
                <w:color w:val="auto"/>
              </w:rPr>
              <w:t>revenue -</w:t>
            </w:r>
          </w:p>
        </w:tc>
        <w:tc>
          <w:tcPr>
            <w:tcW w:w="44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4"/>
        </w:trPr>
        <w:tc>
          <w:tcPr>
            <w:tcW w:w="4900" w:type="dxa"/>
            <w:vAlign w:val="bottom"/>
          </w:tcPr>
          <w:p>
            <w:pPr>
              <w:spacing w:after="0"/>
              <w:rPr>
                <w:sz w:val="9"/>
                <w:szCs w:val="9"/>
                <w:color w:val="auto"/>
              </w:rPr>
            </w:pPr>
          </w:p>
        </w:tc>
        <w:tc>
          <w:tcPr>
            <w:tcW w:w="580" w:type="dxa"/>
            <w:vAlign w:val="bottom"/>
            <w:gridSpan w:val="2"/>
            <w:vMerge w:val="continue"/>
          </w:tcPr>
          <w:p>
            <w:pPr>
              <w:spacing w:after="0"/>
              <w:rPr>
                <w:sz w:val="9"/>
                <w:szCs w:val="9"/>
                <w:color w:val="auto"/>
              </w:rPr>
            </w:pPr>
          </w:p>
        </w:tc>
        <w:tc>
          <w:tcPr>
            <w:tcW w:w="560" w:type="dxa"/>
            <w:vAlign w:val="bottom"/>
            <w:gridSpan w:val="2"/>
          </w:tcPr>
          <w:p>
            <w:pPr>
              <w:jc w:val="center"/>
              <w:ind w:right="160"/>
              <w:spacing w:after="0" w:line="104" w:lineRule="exact"/>
              <w:rPr>
                <w:sz w:val="20"/>
                <w:szCs w:val="20"/>
                <w:color w:val="auto"/>
              </w:rPr>
            </w:pPr>
            <w:r>
              <w:rPr>
                <w:rFonts w:ascii="Times New Roman" w:cs="Times New Roman" w:eastAsia="Times New Roman" w:hAnsi="Times New Roman"/>
                <w:sz w:val="10"/>
                <w:szCs w:val="10"/>
                <w:b w:val="1"/>
                <w:bCs w:val="1"/>
                <w:color w:val="auto"/>
              </w:rPr>
              <w:t>revenue -</w:t>
            </w:r>
          </w:p>
        </w:tc>
        <w:tc>
          <w:tcPr>
            <w:tcW w:w="600" w:type="dxa"/>
            <w:vAlign w:val="bottom"/>
            <w:gridSpan w:val="2"/>
          </w:tcPr>
          <w:p>
            <w:pPr>
              <w:jc w:val="center"/>
              <w:ind w:right="160"/>
              <w:spacing w:after="0" w:line="104" w:lineRule="exact"/>
              <w:rPr>
                <w:sz w:val="20"/>
                <w:szCs w:val="20"/>
                <w:color w:val="auto"/>
              </w:rPr>
            </w:pPr>
            <w:r>
              <w:rPr>
                <w:rFonts w:ascii="Times New Roman" w:cs="Times New Roman" w:eastAsia="Times New Roman" w:hAnsi="Times New Roman"/>
                <w:sz w:val="10"/>
                <w:szCs w:val="10"/>
                <w:b w:val="1"/>
                <w:bCs w:val="1"/>
                <w:color w:val="auto"/>
              </w:rPr>
              <w:t>revenue -</w:t>
            </w:r>
          </w:p>
        </w:tc>
        <w:tc>
          <w:tcPr>
            <w:tcW w:w="580" w:type="dxa"/>
            <w:vAlign w:val="bottom"/>
            <w:gridSpan w:val="2"/>
          </w:tcPr>
          <w:p>
            <w:pPr>
              <w:jc w:val="center"/>
              <w:ind w:right="160"/>
              <w:spacing w:after="0" w:line="104" w:lineRule="exact"/>
              <w:rPr>
                <w:sz w:val="20"/>
                <w:szCs w:val="20"/>
                <w:color w:val="auto"/>
              </w:rPr>
            </w:pPr>
            <w:r>
              <w:rPr>
                <w:rFonts w:ascii="Times New Roman" w:cs="Times New Roman" w:eastAsia="Times New Roman" w:hAnsi="Times New Roman"/>
                <w:sz w:val="10"/>
                <w:szCs w:val="10"/>
                <w:b w:val="1"/>
                <w:bCs w:val="1"/>
                <w:color w:val="auto"/>
              </w:rPr>
              <w:t>operating</w:t>
            </w:r>
          </w:p>
        </w:tc>
        <w:tc>
          <w:tcPr>
            <w:tcW w:w="44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4"/>
        </w:trPr>
        <w:tc>
          <w:tcPr>
            <w:tcW w:w="4900" w:type="dxa"/>
            <w:vAlign w:val="bottom"/>
          </w:tcPr>
          <w:p>
            <w:pPr>
              <w:spacing w:after="0"/>
              <w:rPr>
                <w:sz w:val="9"/>
                <w:szCs w:val="9"/>
                <w:color w:val="auto"/>
              </w:rPr>
            </w:pPr>
          </w:p>
        </w:tc>
        <w:tc>
          <w:tcPr>
            <w:tcW w:w="580" w:type="dxa"/>
            <w:vAlign w:val="bottom"/>
            <w:gridSpan w:val="2"/>
          </w:tcPr>
          <w:p>
            <w:pPr>
              <w:jc w:val="right"/>
              <w:ind w:right="160"/>
              <w:spacing w:after="0" w:line="104" w:lineRule="exact"/>
              <w:rPr>
                <w:sz w:val="20"/>
                <w:szCs w:val="20"/>
                <w:color w:val="auto"/>
              </w:rPr>
            </w:pPr>
            <w:r>
              <w:rPr>
                <w:rFonts w:ascii="Times New Roman" w:cs="Times New Roman" w:eastAsia="Times New Roman" w:hAnsi="Times New Roman"/>
                <w:sz w:val="10"/>
                <w:szCs w:val="10"/>
                <w:b w:val="1"/>
                <w:bCs w:val="1"/>
                <w:color w:val="auto"/>
                <w:w w:val="94"/>
              </w:rPr>
              <w:t>generated</w:t>
            </w:r>
          </w:p>
        </w:tc>
        <w:tc>
          <w:tcPr>
            <w:tcW w:w="560" w:type="dxa"/>
            <w:vAlign w:val="bottom"/>
            <w:gridSpan w:val="2"/>
          </w:tcPr>
          <w:p>
            <w:pPr>
              <w:jc w:val="center"/>
              <w:ind w:right="140"/>
              <w:spacing w:after="0" w:line="104" w:lineRule="exact"/>
              <w:rPr>
                <w:sz w:val="20"/>
                <w:szCs w:val="20"/>
                <w:color w:val="auto"/>
              </w:rPr>
            </w:pPr>
            <w:r>
              <w:rPr>
                <w:rFonts w:ascii="Times New Roman" w:cs="Times New Roman" w:eastAsia="Times New Roman" w:hAnsi="Times New Roman"/>
                <w:sz w:val="10"/>
                <w:szCs w:val="10"/>
                <w:b w:val="1"/>
                <w:bCs w:val="1"/>
                <w:color w:val="auto"/>
                <w:w w:val="99"/>
              </w:rPr>
              <w:t>extended</w:t>
            </w:r>
          </w:p>
        </w:tc>
        <w:tc>
          <w:tcPr>
            <w:tcW w:w="600" w:type="dxa"/>
            <w:vAlign w:val="bottom"/>
            <w:gridSpan w:val="2"/>
          </w:tcPr>
          <w:p>
            <w:pPr>
              <w:jc w:val="center"/>
              <w:ind w:right="160"/>
              <w:spacing w:after="0" w:line="104" w:lineRule="exact"/>
              <w:rPr>
                <w:sz w:val="20"/>
                <w:szCs w:val="20"/>
                <w:color w:val="auto"/>
              </w:rPr>
            </w:pPr>
            <w:r>
              <w:rPr>
                <w:rFonts w:ascii="Times New Roman" w:cs="Times New Roman" w:eastAsia="Times New Roman" w:hAnsi="Times New Roman"/>
                <w:sz w:val="10"/>
                <w:szCs w:val="10"/>
                <w:b w:val="1"/>
                <w:bCs w:val="1"/>
                <w:color w:val="auto"/>
              </w:rPr>
              <w:t>connected</w:t>
            </w:r>
          </w:p>
        </w:tc>
        <w:tc>
          <w:tcPr>
            <w:tcW w:w="580" w:type="dxa"/>
            <w:vAlign w:val="bottom"/>
            <w:gridSpan w:val="2"/>
          </w:tcPr>
          <w:p>
            <w:pPr>
              <w:jc w:val="center"/>
              <w:ind w:right="160"/>
              <w:spacing w:after="0" w:line="104" w:lineRule="exact"/>
              <w:rPr>
                <w:sz w:val="20"/>
                <w:szCs w:val="20"/>
                <w:color w:val="auto"/>
              </w:rPr>
            </w:pPr>
            <w:r>
              <w:rPr>
                <w:rFonts w:ascii="Times New Roman" w:cs="Times New Roman" w:eastAsia="Times New Roman" w:hAnsi="Times New Roman"/>
                <w:sz w:val="10"/>
                <w:szCs w:val="10"/>
                <w:b w:val="1"/>
                <w:bCs w:val="1"/>
                <w:color w:val="auto"/>
                <w:w w:val="96"/>
              </w:rPr>
              <w:t>leases &amp;</w:t>
            </w:r>
          </w:p>
        </w:tc>
        <w:tc>
          <w:tcPr>
            <w:tcW w:w="520" w:type="dxa"/>
            <w:vAlign w:val="bottom"/>
            <w:gridSpan w:val="2"/>
            <w:vMerge w:val="restart"/>
          </w:tcPr>
          <w:p>
            <w:pPr>
              <w:jc w:val="right"/>
              <w:ind w:right="200"/>
              <w:spacing w:after="0"/>
              <w:rPr>
                <w:sz w:val="20"/>
                <w:szCs w:val="20"/>
                <w:color w:val="auto"/>
              </w:rPr>
            </w:pPr>
            <w:r>
              <w:rPr>
                <w:rFonts w:ascii="Times New Roman" w:cs="Times New Roman" w:eastAsia="Times New Roman" w:hAnsi="Times New Roman"/>
                <w:sz w:val="10"/>
                <w:szCs w:val="10"/>
                <w:b w:val="1"/>
                <w:bCs w:val="1"/>
                <w:color w:val="auto"/>
              </w:rPr>
              <w:t>Total</w:t>
            </w:r>
          </w:p>
        </w:tc>
        <w:tc>
          <w:tcPr>
            <w:tcW w:w="0" w:type="dxa"/>
            <w:vAlign w:val="bottom"/>
          </w:tcPr>
          <w:p>
            <w:pPr>
              <w:spacing w:after="0"/>
              <w:rPr>
                <w:sz w:val="1"/>
                <w:szCs w:val="1"/>
                <w:color w:val="auto"/>
              </w:rPr>
            </w:pPr>
          </w:p>
        </w:tc>
      </w:tr>
      <w:tr>
        <w:trPr>
          <w:trHeight w:val="121"/>
        </w:trPr>
        <w:tc>
          <w:tcPr>
            <w:tcW w:w="4900" w:type="dxa"/>
            <w:vAlign w:val="bottom"/>
          </w:tcPr>
          <w:p>
            <w:pPr>
              <w:spacing w:after="0"/>
              <w:rPr>
                <w:sz w:val="10"/>
                <w:szCs w:val="10"/>
                <w:color w:val="auto"/>
              </w:rPr>
            </w:pPr>
          </w:p>
        </w:tc>
        <w:tc>
          <w:tcPr>
            <w:tcW w:w="580" w:type="dxa"/>
            <w:vAlign w:val="bottom"/>
            <w:gridSpan w:val="2"/>
          </w:tcPr>
          <w:p>
            <w:pPr>
              <w:jc w:val="right"/>
              <w:ind w:right="140"/>
              <w:spacing w:after="0"/>
              <w:rPr>
                <w:sz w:val="20"/>
                <w:szCs w:val="20"/>
                <w:color w:val="auto"/>
              </w:rPr>
            </w:pPr>
            <w:r>
              <w:rPr>
                <w:rFonts w:ascii="Times New Roman" w:cs="Times New Roman" w:eastAsia="Times New Roman" w:hAnsi="Times New Roman"/>
                <w:sz w:val="10"/>
                <w:szCs w:val="10"/>
                <w:b w:val="1"/>
                <w:bCs w:val="1"/>
                <w:color w:val="auto"/>
                <w:w w:val="98"/>
              </w:rPr>
              <w:t>obligation</w:t>
            </w:r>
          </w:p>
        </w:tc>
        <w:tc>
          <w:tcPr>
            <w:tcW w:w="560" w:type="dxa"/>
            <w:vAlign w:val="bottom"/>
            <w:gridSpan w:val="2"/>
          </w:tcPr>
          <w:p>
            <w:pPr>
              <w:jc w:val="center"/>
              <w:ind w:right="140"/>
              <w:spacing w:after="0"/>
              <w:rPr>
                <w:sz w:val="20"/>
                <w:szCs w:val="20"/>
                <w:color w:val="auto"/>
              </w:rPr>
            </w:pPr>
            <w:r>
              <w:rPr>
                <w:rFonts w:ascii="Times New Roman" w:cs="Times New Roman" w:eastAsia="Times New Roman" w:hAnsi="Times New Roman"/>
                <w:sz w:val="10"/>
                <w:szCs w:val="10"/>
                <w:b w:val="1"/>
                <w:bCs w:val="1"/>
                <w:color w:val="auto"/>
              </w:rPr>
              <w:t>service</w:t>
            </w:r>
          </w:p>
        </w:tc>
        <w:tc>
          <w:tcPr>
            <w:tcW w:w="600" w:type="dxa"/>
            <w:vAlign w:val="bottom"/>
            <w:gridSpan w:val="2"/>
          </w:tcPr>
          <w:p>
            <w:pPr>
              <w:jc w:val="center"/>
              <w:ind w:right="160"/>
              <w:spacing w:after="0"/>
              <w:rPr>
                <w:sz w:val="20"/>
                <w:szCs w:val="20"/>
                <w:color w:val="auto"/>
              </w:rPr>
            </w:pPr>
            <w:r>
              <w:rPr>
                <w:rFonts w:ascii="Times New Roman" w:cs="Times New Roman" w:eastAsia="Times New Roman" w:hAnsi="Times New Roman"/>
                <w:sz w:val="10"/>
                <w:szCs w:val="10"/>
                <w:b w:val="1"/>
                <w:bCs w:val="1"/>
                <w:color w:val="auto"/>
                <w:w w:val="95"/>
              </w:rPr>
              <w:t>services</w:t>
            </w:r>
          </w:p>
        </w:tc>
        <w:tc>
          <w:tcPr>
            <w:tcW w:w="580" w:type="dxa"/>
            <w:vAlign w:val="bottom"/>
            <w:gridSpan w:val="2"/>
          </w:tcPr>
          <w:p>
            <w:pPr>
              <w:jc w:val="center"/>
              <w:ind w:right="160"/>
              <w:spacing w:after="0"/>
              <w:rPr>
                <w:sz w:val="20"/>
                <w:szCs w:val="20"/>
                <w:color w:val="auto"/>
              </w:rPr>
            </w:pPr>
            <w:r>
              <w:rPr>
                <w:rFonts w:ascii="Times New Roman" w:cs="Times New Roman" w:eastAsia="Times New Roman" w:hAnsi="Times New Roman"/>
                <w:sz w:val="10"/>
                <w:szCs w:val="10"/>
                <w:b w:val="1"/>
                <w:bCs w:val="1"/>
                <w:color w:val="auto"/>
                <w:w w:val="96"/>
              </w:rPr>
              <w:t>other</w:t>
            </w:r>
          </w:p>
        </w:tc>
        <w:tc>
          <w:tcPr>
            <w:tcW w:w="520" w:type="dxa"/>
            <w:vAlign w:val="bottom"/>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41"/>
        </w:trPr>
        <w:tc>
          <w:tcPr>
            <w:tcW w:w="4900" w:type="dxa"/>
            <w:vAlign w:val="bottom"/>
            <w:tcBorders>
              <w:top w:val="single" w:sz="8" w:color="CCEEFF"/>
            </w:tcBorders>
            <w:shd w:val="clear" w:color="auto" w:fill="CCEEFF"/>
          </w:tcPr>
          <w:p>
            <w:pPr>
              <w:spacing w:after="0" w:line="141" w:lineRule="exact"/>
              <w:rPr>
                <w:sz w:val="20"/>
                <w:szCs w:val="20"/>
                <w:color w:val="auto"/>
              </w:rPr>
            </w:pPr>
            <w:r>
              <w:rPr>
                <w:rFonts w:ascii="Times New Roman" w:cs="Times New Roman" w:eastAsia="Times New Roman" w:hAnsi="Times New Roman"/>
                <w:sz w:val="13"/>
                <w:szCs w:val="13"/>
                <w:b w:val="1"/>
                <w:bCs w:val="1"/>
                <w:color w:val="auto"/>
              </w:rPr>
              <w:t>Balance as of January 1, 2022</w:t>
            </w:r>
          </w:p>
        </w:tc>
        <w:tc>
          <w:tcPr>
            <w:tcW w:w="44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b w:val="1"/>
                <w:bCs w:val="1"/>
                <w:color w:val="auto"/>
              </w:rPr>
              <w:t>24,702</w:t>
            </w:r>
          </w:p>
        </w:tc>
        <w:tc>
          <w:tcPr>
            <w:tcW w:w="140" w:type="dxa"/>
            <w:vAlign w:val="bottom"/>
            <w:tcBorders>
              <w:top w:val="single" w:sz="8" w:color="CCEEFF"/>
            </w:tcBorders>
            <w:shd w:val="clear" w:color="auto" w:fill="CCEEFF"/>
          </w:tcPr>
          <w:p>
            <w:pPr>
              <w:spacing w:after="0"/>
              <w:rPr>
                <w:sz w:val="12"/>
                <w:szCs w:val="12"/>
                <w:color w:val="auto"/>
              </w:rPr>
            </w:pPr>
          </w:p>
        </w:tc>
        <w:tc>
          <w:tcPr>
            <w:tcW w:w="42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b w:val="1"/>
                <w:bCs w:val="1"/>
                <w:color w:val="auto"/>
              </w:rPr>
              <w:t>23,680</w:t>
            </w:r>
          </w:p>
        </w:tc>
        <w:tc>
          <w:tcPr>
            <w:tcW w:w="140" w:type="dxa"/>
            <w:vAlign w:val="bottom"/>
            <w:tcBorders>
              <w:top w:val="single" w:sz="8" w:color="CCEEFF"/>
            </w:tcBorders>
            <w:shd w:val="clear" w:color="auto" w:fill="CCEEFF"/>
          </w:tcPr>
          <w:p>
            <w:pPr>
              <w:spacing w:after="0"/>
              <w:rPr>
                <w:sz w:val="12"/>
                <w:szCs w:val="12"/>
                <w:color w:val="auto"/>
              </w:rPr>
            </w:pPr>
          </w:p>
        </w:tc>
        <w:tc>
          <w:tcPr>
            <w:tcW w:w="44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b w:val="1"/>
                <w:bCs w:val="1"/>
                <w:color w:val="auto"/>
              </w:rPr>
              <w:t>18,593</w:t>
            </w:r>
          </w:p>
        </w:tc>
        <w:tc>
          <w:tcPr>
            <w:tcW w:w="160" w:type="dxa"/>
            <w:vAlign w:val="bottom"/>
            <w:tcBorders>
              <w:top w:val="single" w:sz="8" w:color="CCEEFF"/>
            </w:tcBorders>
            <w:shd w:val="clear" w:color="auto" w:fill="CCEEFF"/>
          </w:tcPr>
          <w:p>
            <w:pPr>
              <w:spacing w:after="0"/>
              <w:rPr>
                <w:sz w:val="12"/>
                <w:szCs w:val="12"/>
                <w:color w:val="auto"/>
              </w:rPr>
            </w:pPr>
          </w:p>
        </w:tc>
        <w:tc>
          <w:tcPr>
            <w:tcW w:w="42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b w:val="1"/>
                <w:bCs w:val="1"/>
                <w:color w:val="auto"/>
              </w:rPr>
              <w:t>20,315</w:t>
            </w:r>
          </w:p>
        </w:tc>
        <w:tc>
          <w:tcPr>
            <w:tcW w:w="160" w:type="dxa"/>
            <w:vAlign w:val="bottom"/>
            <w:tcBorders>
              <w:top w:val="single" w:sz="8" w:color="CCEEFF"/>
            </w:tcBorders>
            <w:shd w:val="clear" w:color="auto" w:fill="CCEEFF"/>
          </w:tcPr>
          <w:p>
            <w:pPr>
              <w:spacing w:after="0"/>
              <w:rPr>
                <w:sz w:val="12"/>
                <w:szCs w:val="12"/>
                <w:color w:val="auto"/>
              </w:rPr>
            </w:pPr>
          </w:p>
        </w:tc>
        <w:tc>
          <w:tcPr>
            <w:tcW w:w="44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b w:val="1"/>
                <w:bCs w:val="1"/>
                <w:color w:val="auto"/>
              </w:rPr>
              <w:t>87,290</w:t>
            </w:r>
          </w:p>
        </w:tc>
        <w:tc>
          <w:tcPr>
            <w:tcW w:w="8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2"/>
        </w:trPr>
        <w:tc>
          <w:tcPr>
            <w:tcW w:w="4900" w:type="dxa"/>
            <w:vAlign w:val="bottom"/>
          </w:tcPr>
          <w:p>
            <w:pPr>
              <w:spacing w:after="0"/>
              <w:rPr>
                <w:sz w:val="20"/>
                <w:szCs w:val="20"/>
                <w:color w:val="auto"/>
              </w:rPr>
            </w:pPr>
            <w:r>
              <w:rPr>
                <w:rFonts w:ascii="Times New Roman" w:cs="Times New Roman" w:eastAsia="Times New Roman" w:hAnsi="Times New Roman"/>
                <w:sz w:val="13"/>
                <w:szCs w:val="13"/>
                <w:color w:val="auto"/>
              </w:rPr>
              <w:t>Provided for during the period</w:t>
            </w:r>
          </w:p>
        </w:tc>
        <w:tc>
          <w:tcPr>
            <w:tcW w:w="58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color w:val="auto"/>
              </w:rPr>
              <w:t>49,410</w:t>
            </w:r>
          </w:p>
        </w:tc>
        <w:tc>
          <w:tcPr>
            <w:tcW w:w="56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color w:val="auto"/>
              </w:rPr>
              <w:t>19,408</w:t>
            </w:r>
          </w:p>
        </w:tc>
        <w:tc>
          <w:tcPr>
            <w:tcW w:w="600" w:type="dxa"/>
            <w:vAlign w:val="bottom"/>
            <w:gridSpan w:val="2"/>
          </w:tcPr>
          <w:p>
            <w:pPr>
              <w:jc w:val="right"/>
              <w:ind w:right="160"/>
              <w:spacing w:after="0"/>
              <w:rPr>
                <w:sz w:val="20"/>
                <w:szCs w:val="20"/>
                <w:color w:val="auto"/>
              </w:rPr>
            </w:pPr>
            <w:r>
              <w:rPr>
                <w:rFonts w:ascii="Times New Roman" w:cs="Times New Roman" w:eastAsia="Times New Roman" w:hAnsi="Times New Roman"/>
                <w:sz w:val="13"/>
                <w:szCs w:val="13"/>
                <w:color w:val="auto"/>
              </w:rPr>
              <w:t>10,215</w:t>
            </w:r>
          </w:p>
        </w:tc>
        <w:tc>
          <w:tcPr>
            <w:tcW w:w="580" w:type="dxa"/>
            <w:vAlign w:val="bottom"/>
            <w:gridSpan w:val="2"/>
          </w:tcPr>
          <w:p>
            <w:pPr>
              <w:jc w:val="right"/>
              <w:ind w:right="160"/>
              <w:spacing w:after="0"/>
              <w:rPr>
                <w:sz w:val="20"/>
                <w:szCs w:val="20"/>
                <w:color w:val="auto"/>
              </w:rPr>
            </w:pPr>
            <w:r>
              <w:rPr>
                <w:rFonts w:ascii="Times New Roman" w:cs="Times New Roman" w:eastAsia="Times New Roman" w:hAnsi="Times New Roman"/>
                <w:sz w:val="13"/>
                <w:szCs w:val="13"/>
                <w:color w:val="auto"/>
              </w:rPr>
              <w:t>6,964</w:t>
            </w:r>
          </w:p>
        </w:tc>
        <w:tc>
          <w:tcPr>
            <w:tcW w:w="52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rPr>
              <w:t>85,997</w:t>
            </w:r>
          </w:p>
        </w:tc>
        <w:tc>
          <w:tcPr>
            <w:tcW w:w="0" w:type="dxa"/>
            <w:vAlign w:val="bottom"/>
          </w:tcPr>
          <w:p>
            <w:pPr>
              <w:spacing w:after="0"/>
              <w:rPr>
                <w:sz w:val="1"/>
                <w:szCs w:val="1"/>
                <w:color w:val="auto"/>
              </w:rPr>
            </w:pPr>
          </w:p>
        </w:tc>
      </w:tr>
      <w:tr>
        <w:trPr>
          <w:trHeight w:val="152"/>
        </w:trPr>
        <w:tc>
          <w:tcPr>
            <w:tcW w:w="49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Settled during the period</w:t>
            </w:r>
          </w:p>
        </w:tc>
        <w:tc>
          <w:tcPr>
            <w:tcW w:w="5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(54,478)</w:t>
            </w:r>
          </w:p>
        </w:tc>
        <w:tc>
          <w:tcPr>
            <w:tcW w:w="56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6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58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5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(54,478)</w:t>
            </w:r>
          </w:p>
        </w:tc>
        <w:tc>
          <w:tcPr>
            <w:tcW w:w="0" w:type="dxa"/>
            <w:vAlign w:val="bottom"/>
          </w:tcPr>
          <w:p>
            <w:pPr>
              <w:spacing w:after="0"/>
              <w:rPr>
                <w:sz w:val="1"/>
                <w:szCs w:val="1"/>
                <w:color w:val="auto"/>
              </w:rPr>
            </w:pPr>
          </w:p>
        </w:tc>
      </w:tr>
      <w:tr>
        <w:trPr>
          <w:trHeight w:val="152"/>
        </w:trPr>
        <w:tc>
          <w:tcPr>
            <w:tcW w:w="4900" w:type="dxa"/>
            <w:vAlign w:val="bottom"/>
          </w:tcPr>
          <w:p>
            <w:pPr>
              <w:spacing w:after="0"/>
              <w:rPr>
                <w:sz w:val="20"/>
                <w:szCs w:val="20"/>
                <w:color w:val="auto"/>
              </w:rPr>
            </w:pPr>
            <w:r>
              <w:rPr>
                <w:rFonts w:ascii="Times New Roman" w:cs="Times New Roman" w:eastAsia="Times New Roman" w:hAnsi="Times New Roman"/>
                <w:sz w:val="13"/>
                <w:szCs w:val="13"/>
                <w:color w:val="auto"/>
              </w:rPr>
              <w:t>Released during the period</w:t>
            </w:r>
          </w:p>
        </w:tc>
        <w:tc>
          <w:tcPr>
            <w:tcW w:w="580" w:type="dxa"/>
            <w:vAlign w:val="bottom"/>
            <w:gridSpan w:val="2"/>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56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(8,818)</w:t>
            </w:r>
          </w:p>
        </w:tc>
        <w:tc>
          <w:tcPr>
            <w:tcW w:w="60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(2,535)</w:t>
            </w:r>
          </w:p>
        </w:tc>
        <w:tc>
          <w:tcPr>
            <w:tcW w:w="58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w w:val="98"/>
              </w:rPr>
              <w:t>(16,226)</w:t>
            </w:r>
          </w:p>
        </w:tc>
        <w:tc>
          <w:tcPr>
            <w:tcW w:w="52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(27,579)</w:t>
            </w:r>
          </w:p>
        </w:tc>
        <w:tc>
          <w:tcPr>
            <w:tcW w:w="0" w:type="dxa"/>
            <w:vAlign w:val="bottom"/>
          </w:tcPr>
          <w:p>
            <w:pPr>
              <w:spacing w:after="0"/>
              <w:rPr>
                <w:sz w:val="1"/>
                <w:szCs w:val="1"/>
                <w:color w:val="auto"/>
              </w:rPr>
            </w:pPr>
          </w:p>
        </w:tc>
      </w:tr>
      <w:tr>
        <w:trPr>
          <w:trHeight w:val="152"/>
        </w:trPr>
        <w:tc>
          <w:tcPr>
            <w:tcW w:w="49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Translation differences and other</w:t>
            </w:r>
          </w:p>
        </w:tc>
        <w:tc>
          <w:tcPr>
            <w:tcW w:w="5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(1,220)</w:t>
            </w:r>
          </w:p>
        </w:tc>
        <w:tc>
          <w:tcPr>
            <w:tcW w:w="5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(3,957)</w:t>
            </w:r>
          </w:p>
        </w:tc>
        <w:tc>
          <w:tcPr>
            <w:tcW w:w="6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(2,874)</w:t>
            </w:r>
          </w:p>
        </w:tc>
        <w:tc>
          <w:tcPr>
            <w:tcW w:w="5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(1,275)</w:t>
            </w:r>
          </w:p>
        </w:tc>
        <w:tc>
          <w:tcPr>
            <w:tcW w:w="5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(9,326)</w:t>
            </w:r>
          </w:p>
        </w:tc>
        <w:tc>
          <w:tcPr>
            <w:tcW w:w="0" w:type="dxa"/>
            <w:vAlign w:val="bottom"/>
          </w:tcPr>
          <w:p>
            <w:pPr>
              <w:spacing w:after="0"/>
              <w:rPr>
                <w:sz w:val="1"/>
                <w:szCs w:val="1"/>
                <w:color w:val="auto"/>
              </w:rPr>
            </w:pPr>
          </w:p>
        </w:tc>
      </w:tr>
      <w:tr>
        <w:trPr>
          <w:trHeight w:val="151"/>
        </w:trPr>
        <w:tc>
          <w:tcPr>
            <w:tcW w:w="490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Balance as of September 30, 2022</w:t>
            </w:r>
          </w:p>
        </w:tc>
        <w:tc>
          <w:tcPr>
            <w:tcW w:w="4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18,414</w:t>
            </w:r>
          </w:p>
        </w:tc>
        <w:tc>
          <w:tcPr>
            <w:tcW w:w="140" w:type="dxa"/>
            <w:vAlign w:val="bottom"/>
          </w:tcPr>
          <w:p>
            <w:pPr>
              <w:spacing w:after="0"/>
              <w:rPr>
                <w:sz w:val="13"/>
                <w:szCs w:val="13"/>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30,313</w:t>
            </w:r>
          </w:p>
        </w:tc>
        <w:tc>
          <w:tcPr>
            <w:tcW w:w="140" w:type="dxa"/>
            <w:vAlign w:val="bottom"/>
          </w:tcPr>
          <w:p>
            <w:pPr>
              <w:spacing w:after="0"/>
              <w:rPr>
                <w:sz w:val="13"/>
                <w:szCs w:val="13"/>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23,399</w:t>
            </w:r>
          </w:p>
        </w:tc>
        <w:tc>
          <w:tcPr>
            <w:tcW w:w="160" w:type="dxa"/>
            <w:vAlign w:val="bottom"/>
          </w:tcPr>
          <w:p>
            <w:pPr>
              <w:spacing w:after="0"/>
              <w:rPr>
                <w:sz w:val="13"/>
                <w:szCs w:val="13"/>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9,778</w:t>
            </w:r>
          </w:p>
        </w:tc>
        <w:tc>
          <w:tcPr>
            <w:tcW w:w="160" w:type="dxa"/>
            <w:vAlign w:val="bottom"/>
          </w:tcPr>
          <w:p>
            <w:pPr>
              <w:spacing w:after="0"/>
              <w:rPr>
                <w:sz w:val="13"/>
                <w:szCs w:val="13"/>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81,904</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49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of which current</w:t>
            </w:r>
          </w:p>
        </w:tc>
        <w:tc>
          <w:tcPr>
            <w:tcW w:w="5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color w:val="auto"/>
              </w:rPr>
              <w:t>18,414</w:t>
            </w:r>
          </w:p>
        </w:tc>
        <w:tc>
          <w:tcPr>
            <w:tcW w:w="56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color w:val="auto"/>
              </w:rPr>
              <w:t>14,999</w:t>
            </w:r>
          </w:p>
        </w:tc>
        <w:tc>
          <w:tcPr>
            <w:tcW w:w="4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3,412</w:t>
            </w:r>
          </w:p>
        </w:tc>
        <w:tc>
          <w:tcPr>
            <w:tcW w:w="160" w:type="dxa"/>
            <w:vAlign w:val="bottom"/>
            <w:shd w:val="clear" w:color="auto" w:fill="CCEEFF"/>
          </w:tcPr>
          <w:p>
            <w:pPr>
              <w:spacing w:after="0"/>
              <w:rPr>
                <w:sz w:val="13"/>
                <w:szCs w:val="13"/>
                <w:color w:val="auto"/>
              </w:rPr>
            </w:pPr>
          </w:p>
        </w:tc>
        <w:tc>
          <w:tcPr>
            <w:tcW w:w="58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3"/>
                <w:szCs w:val="13"/>
                <w:color w:val="auto"/>
              </w:rPr>
              <w:t>8,796</w:t>
            </w:r>
          </w:p>
        </w:tc>
        <w:tc>
          <w:tcPr>
            <w:tcW w:w="52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3"/>
                <w:szCs w:val="13"/>
                <w:color w:val="auto"/>
              </w:rPr>
              <w:t>45,621</w:t>
            </w:r>
          </w:p>
        </w:tc>
        <w:tc>
          <w:tcPr>
            <w:tcW w:w="0" w:type="dxa"/>
            <w:vAlign w:val="bottom"/>
          </w:tcPr>
          <w:p>
            <w:pPr>
              <w:spacing w:after="0"/>
              <w:rPr>
                <w:sz w:val="1"/>
                <w:szCs w:val="1"/>
                <w:color w:val="auto"/>
              </w:rPr>
            </w:pPr>
          </w:p>
        </w:tc>
      </w:tr>
      <w:tr>
        <w:trPr>
          <w:trHeight w:val="165"/>
        </w:trPr>
        <w:tc>
          <w:tcPr>
            <w:tcW w:w="4900" w:type="dxa"/>
            <w:vAlign w:val="bottom"/>
          </w:tcPr>
          <w:p>
            <w:pPr>
              <w:spacing w:after="0"/>
              <w:rPr>
                <w:sz w:val="20"/>
                <w:szCs w:val="20"/>
                <w:color w:val="auto"/>
              </w:rPr>
            </w:pPr>
            <w:r>
              <w:rPr>
                <w:rFonts w:ascii="Times New Roman" w:cs="Times New Roman" w:eastAsia="Times New Roman" w:hAnsi="Times New Roman"/>
                <w:sz w:val="13"/>
                <w:szCs w:val="13"/>
                <w:color w:val="auto"/>
              </w:rPr>
              <w:t>of which non-current</w:t>
            </w:r>
          </w:p>
        </w:tc>
        <w:tc>
          <w:tcPr>
            <w:tcW w:w="580" w:type="dxa"/>
            <w:vAlign w:val="bottom"/>
            <w:gridSpan w:val="2"/>
          </w:tcPr>
          <w:p>
            <w:pPr>
              <w:jc w:val="right"/>
              <w:ind w:right="220"/>
              <w:spacing w:after="0"/>
              <w:rPr>
                <w:sz w:val="20"/>
                <w:szCs w:val="20"/>
                <w:color w:val="auto"/>
              </w:rPr>
            </w:pPr>
            <w:r>
              <w:rPr>
                <w:rFonts w:ascii="Times New Roman" w:cs="Times New Roman" w:eastAsia="Times New Roman" w:hAnsi="Times New Roman"/>
                <w:sz w:val="13"/>
                <w:szCs w:val="13"/>
                <w:color w:val="auto"/>
              </w:rPr>
              <w:t>—</w:t>
            </w:r>
          </w:p>
        </w:tc>
        <w:tc>
          <w:tcPr>
            <w:tcW w:w="56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color w:val="auto"/>
              </w:rPr>
              <w:t>15,314</w:t>
            </w:r>
          </w:p>
        </w:tc>
        <w:tc>
          <w:tcPr>
            <w:tcW w:w="600" w:type="dxa"/>
            <w:vAlign w:val="bottom"/>
            <w:gridSpan w:val="2"/>
          </w:tcPr>
          <w:p>
            <w:pPr>
              <w:jc w:val="right"/>
              <w:ind w:right="160"/>
              <w:spacing w:after="0"/>
              <w:rPr>
                <w:sz w:val="20"/>
                <w:szCs w:val="20"/>
                <w:color w:val="auto"/>
              </w:rPr>
            </w:pPr>
            <w:r>
              <w:rPr>
                <w:rFonts w:ascii="Times New Roman" w:cs="Times New Roman" w:eastAsia="Times New Roman" w:hAnsi="Times New Roman"/>
                <w:sz w:val="13"/>
                <w:szCs w:val="13"/>
                <w:color w:val="auto"/>
              </w:rPr>
              <w:t>19,987</w:t>
            </w:r>
          </w:p>
        </w:tc>
        <w:tc>
          <w:tcPr>
            <w:tcW w:w="580" w:type="dxa"/>
            <w:vAlign w:val="bottom"/>
            <w:gridSpan w:val="2"/>
          </w:tcPr>
          <w:p>
            <w:pPr>
              <w:jc w:val="right"/>
              <w:ind w:right="160"/>
              <w:spacing w:after="0"/>
              <w:rPr>
                <w:sz w:val="20"/>
                <w:szCs w:val="20"/>
                <w:color w:val="auto"/>
              </w:rPr>
            </w:pPr>
            <w:r>
              <w:rPr>
                <w:rFonts w:ascii="Times New Roman" w:cs="Times New Roman" w:eastAsia="Times New Roman" w:hAnsi="Times New Roman"/>
                <w:sz w:val="13"/>
                <w:szCs w:val="13"/>
                <w:color w:val="auto"/>
              </w:rPr>
              <w:t>982</w:t>
            </w:r>
          </w:p>
        </w:tc>
        <w:tc>
          <w:tcPr>
            <w:tcW w:w="52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rPr>
              <w:t>36,283</w:t>
            </w:r>
          </w:p>
        </w:tc>
        <w:tc>
          <w:tcPr>
            <w:tcW w:w="0" w:type="dxa"/>
            <w:vAlign w:val="bottom"/>
          </w:tcPr>
          <w:p>
            <w:pPr>
              <w:spacing w:after="0"/>
              <w:rPr>
                <w:sz w:val="1"/>
                <w:szCs w:val="1"/>
                <w:color w:val="auto"/>
              </w:rPr>
            </w:pPr>
          </w:p>
        </w:tc>
      </w:tr>
    </w:tbl>
    <w:p>
      <w:pPr>
        <w:spacing w:after="0" w:line="126" w:lineRule="exact"/>
        <w:rPr>
          <w:sz w:val="20"/>
          <w:szCs w:val="20"/>
          <w:color w:val="auto"/>
        </w:rPr>
      </w:pPr>
    </w:p>
    <w:p>
      <w:pPr>
        <w:jc w:val="both"/>
        <w:ind w:left="640" w:right="659"/>
        <w:spacing w:after="0" w:line="255" w:lineRule="auto"/>
        <w:rPr>
          <w:sz w:val="20"/>
          <w:szCs w:val="20"/>
          <w:color w:val="auto"/>
        </w:rPr>
      </w:pPr>
      <w:r>
        <w:rPr>
          <w:rFonts w:ascii="Times New Roman" w:cs="Times New Roman" w:eastAsia="Times New Roman" w:hAnsi="Times New Roman"/>
          <w:sz w:val="13"/>
          <w:szCs w:val="13"/>
          <w:color w:val="auto"/>
        </w:rPr>
        <w:t>As of September 30, 2022, contract liabilities amounted to $81,904, of which $18,414 was related to variable consideration payable to fleet customers in the form of volume related bonuses and $63,490 was related to remaining performance obligations associated with sales of vehicles and vehicle leasing revenue.</w:t>
      </w:r>
    </w:p>
    <w:p>
      <w:pPr>
        <w:spacing w:after="0" w:line="8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18</w:t>
      </w:r>
    </w:p>
    <w:p>
      <w:pPr>
        <w:sectPr>
          <w:pgSz w:w="11900" w:h="16838" w:orient="portrait"/>
          <w:cols w:equalWidth="0" w:num="1">
            <w:col w:w="9019"/>
          </w:cols>
          <w:pgMar w:left="1440" w:top="231" w:right="1440" w:bottom="1440" w:gutter="0" w:footer="0" w:header="0"/>
        </w:sectPr>
      </w:pPr>
    </w:p>
    <w:bookmarkStart w:id="75" w:name="page76"/>
    <w:bookmarkEnd w:id="75"/>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1"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Note 3 - Leases</w:t>
      </w:r>
    </w:p>
    <w:p>
      <w:pPr>
        <w:spacing w:after="0" w:line="80"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The following table depicts the changes in the Group’s right-of-use assets, which are included within Property, plant, and equipment:</w:t>
      </w:r>
    </w:p>
    <w:p>
      <w:pPr>
        <w:spacing w:after="0" w:line="158" w:lineRule="exact"/>
        <w:rPr>
          <w:sz w:val="20"/>
          <w:szCs w:val="20"/>
          <w:color w:val="auto"/>
        </w:rPr>
      </w:pPr>
    </w:p>
    <w:tbl>
      <w:tblPr>
        <w:tblLayout w:type="fixed"/>
        <w:tblInd w:w="1260" w:type="dxa"/>
        <w:tblCellMar>
          <w:top w:w="0" w:type="dxa"/>
          <w:left w:w="0" w:type="dxa"/>
          <w:bottom w:w="0" w:type="dxa"/>
          <w:right w:w="0" w:type="dxa"/>
        </w:tblCellMar>
      </w:tblPr>
      <w:tr>
        <w:trPr>
          <w:trHeight w:val="115"/>
        </w:trPr>
        <w:tc>
          <w:tcPr>
            <w:tcW w:w="2900" w:type="dxa"/>
            <w:vAlign w:val="bottom"/>
          </w:tcPr>
          <w:p>
            <w:pPr>
              <w:spacing w:after="0"/>
              <w:rPr>
                <w:sz w:val="10"/>
                <w:szCs w:val="10"/>
                <w:color w:val="auto"/>
              </w:rPr>
            </w:pPr>
          </w:p>
        </w:tc>
        <w:tc>
          <w:tcPr>
            <w:tcW w:w="1780" w:type="dxa"/>
            <w:vAlign w:val="bottom"/>
          </w:tcPr>
          <w:p>
            <w:pPr>
              <w:spacing w:after="0"/>
              <w:rPr>
                <w:sz w:val="10"/>
                <w:szCs w:val="10"/>
                <w:color w:val="auto"/>
              </w:rPr>
            </w:pPr>
          </w:p>
        </w:tc>
        <w:tc>
          <w:tcPr>
            <w:tcW w:w="540" w:type="dxa"/>
            <w:vAlign w:val="bottom"/>
            <w:gridSpan w:val="2"/>
            <w:vMerge w:val="restart"/>
          </w:tcPr>
          <w:p>
            <w:pPr>
              <w:jc w:val="right"/>
              <w:ind w:right="115"/>
              <w:spacing w:after="0"/>
              <w:rPr>
                <w:sz w:val="20"/>
                <w:szCs w:val="20"/>
                <w:color w:val="auto"/>
              </w:rPr>
            </w:pPr>
            <w:r>
              <w:rPr>
                <w:rFonts w:ascii="Times New Roman" w:cs="Times New Roman" w:eastAsia="Times New Roman" w:hAnsi="Times New Roman"/>
                <w:sz w:val="10"/>
                <w:szCs w:val="10"/>
                <w:b w:val="1"/>
                <w:bCs w:val="1"/>
                <w:color w:val="auto"/>
                <w:w w:val="98"/>
              </w:rPr>
              <w:t>Buildings</w:t>
            </w:r>
          </w:p>
        </w:tc>
        <w:tc>
          <w:tcPr>
            <w:tcW w:w="760" w:type="dxa"/>
            <w:vAlign w:val="bottom"/>
            <w:gridSpan w:val="3"/>
          </w:tcPr>
          <w:p>
            <w:pPr>
              <w:jc w:val="center"/>
              <w:ind w:right="120"/>
              <w:spacing w:after="0"/>
              <w:rPr>
                <w:sz w:val="20"/>
                <w:szCs w:val="20"/>
                <w:color w:val="auto"/>
              </w:rPr>
            </w:pPr>
            <w:r>
              <w:rPr>
                <w:rFonts w:ascii="Times New Roman" w:cs="Times New Roman" w:eastAsia="Times New Roman" w:hAnsi="Times New Roman"/>
                <w:sz w:val="10"/>
                <w:szCs w:val="10"/>
                <w:b w:val="1"/>
                <w:bCs w:val="1"/>
                <w:color w:val="auto"/>
              </w:rPr>
              <w:t>Machinery</w:t>
            </w:r>
          </w:p>
        </w:tc>
        <w:tc>
          <w:tcPr>
            <w:tcW w:w="4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4"/>
        </w:trPr>
        <w:tc>
          <w:tcPr>
            <w:tcW w:w="2900" w:type="dxa"/>
            <w:vAlign w:val="bottom"/>
          </w:tcPr>
          <w:p>
            <w:pPr>
              <w:spacing w:after="0"/>
              <w:rPr>
                <w:sz w:val="9"/>
                <w:szCs w:val="9"/>
                <w:color w:val="auto"/>
              </w:rPr>
            </w:pPr>
          </w:p>
        </w:tc>
        <w:tc>
          <w:tcPr>
            <w:tcW w:w="1780" w:type="dxa"/>
            <w:vAlign w:val="bottom"/>
          </w:tcPr>
          <w:p>
            <w:pPr>
              <w:spacing w:after="0"/>
              <w:rPr>
                <w:sz w:val="9"/>
                <w:szCs w:val="9"/>
                <w:color w:val="auto"/>
              </w:rPr>
            </w:pPr>
          </w:p>
        </w:tc>
        <w:tc>
          <w:tcPr>
            <w:tcW w:w="540" w:type="dxa"/>
            <w:vAlign w:val="bottom"/>
            <w:gridSpan w:val="2"/>
            <w:vMerge w:val="continue"/>
          </w:tcPr>
          <w:p>
            <w:pPr>
              <w:spacing w:after="0"/>
              <w:rPr>
                <w:sz w:val="9"/>
                <w:szCs w:val="9"/>
                <w:color w:val="auto"/>
              </w:rPr>
            </w:pPr>
          </w:p>
        </w:tc>
        <w:tc>
          <w:tcPr>
            <w:tcW w:w="80" w:type="dxa"/>
            <w:vAlign w:val="bottom"/>
          </w:tcPr>
          <w:p>
            <w:pPr>
              <w:spacing w:after="0"/>
              <w:rPr>
                <w:sz w:val="9"/>
                <w:szCs w:val="9"/>
                <w:color w:val="auto"/>
              </w:rPr>
            </w:pPr>
          </w:p>
        </w:tc>
        <w:tc>
          <w:tcPr>
            <w:tcW w:w="680" w:type="dxa"/>
            <w:vAlign w:val="bottom"/>
            <w:gridSpan w:val="2"/>
          </w:tcPr>
          <w:p>
            <w:pPr>
              <w:jc w:val="center"/>
              <w:ind w:right="200"/>
              <w:spacing w:after="0" w:line="104" w:lineRule="exact"/>
              <w:rPr>
                <w:sz w:val="20"/>
                <w:szCs w:val="20"/>
                <w:color w:val="auto"/>
              </w:rPr>
            </w:pPr>
            <w:r>
              <w:rPr>
                <w:rFonts w:ascii="Times New Roman" w:cs="Times New Roman" w:eastAsia="Times New Roman" w:hAnsi="Times New Roman"/>
                <w:sz w:val="10"/>
                <w:szCs w:val="10"/>
                <w:b w:val="1"/>
                <w:bCs w:val="1"/>
                <w:color w:val="auto"/>
                <w:w w:val="98"/>
              </w:rPr>
              <w:t>and</w:t>
            </w:r>
          </w:p>
        </w:tc>
        <w:tc>
          <w:tcPr>
            <w:tcW w:w="520" w:type="dxa"/>
            <w:vAlign w:val="bottom"/>
            <w:gridSpan w:val="2"/>
            <w:vMerge w:val="restart"/>
          </w:tcPr>
          <w:p>
            <w:pPr>
              <w:jc w:val="right"/>
              <w:ind w:right="158"/>
              <w:spacing w:after="0"/>
              <w:rPr>
                <w:sz w:val="20"/>
                <w:szCs w:val="20"/>
                <w:color w:val="auto"/>
              </w:rPr>
            </w:pPr>
            <w:r>
              <w:rPr>
                <w:rFonts w:ascii="Times New Roman" w:cs="Times New Roman" w:eastAsia="Times New Roman" w:hAnsi="Times New Roman"/>
                <w:sz w:val="10"/>
                <w:szCs w:val="10"/>
                <w:b w:val="1"/>
                <w:bCs w:val="1"/>
                <w:color w:val="auto"/>
              </w:rPr>
              <w:t>Total</w:t>
            </w:r>
          </w:p>
        </w:tc>
        <w:tc>
          <w:tcPr>
            <w:tcW w:w="0" w:type="dxa"/>
            <w:vAlign w:val="bottom"/>
          </w:tcPr>
          <w:p>
            <w:pPr>
              <w:spacing w:after="0"/>
              <w:rPr>
                <w:sz w:val="1"/>
                <w:szCs w:val="1"/>
                <w:color w:val="auto"/>
              </w:rPr>
            </w:pPr>
          </w:p>
        </w:tc>
      </w:tr>
      <w:tr>
        <w:trPr>
          <w:trHeight w:val="121"/>
        </w:trPr>
        <w:tc>
          <w:tcPr>
            <w:tcW w:w="2900" w:type="dxa"/>
            <w:vAlign w:val="bottom"/>
          </w:tcPr>
          <w:p>
            <w:pPr>
              <w:spacing w:after="0"/>
              <w:rPr>
                <w:sz w:val="10"/>
                <w:szCs w:val="10"/>
                <w:color w:val="auto"/>
              </w:rPr>
            </w:pPr>
          </w:p>
        </w:tc>
        <w:tc>
          <w:tcPr>
            <w:tcW w:w="1780" w:type="dxa"/>
            <w:vAlign w:val="bottom"/>
          </w:tcPr>
          <w:p>
            <w:pPr>
              <w:spacing w:after="0"/>
              <w:rPr>
                <w:sz w:val="10"/>
                <w:szCs w:val="10"/>
                <w:color w:val="auto"/>
              </w:rPr>
            </w:pPr>
          </w:p>
        </w:tc>
        <w:tc>
          <w:tcPr>
            <w:tcW w:w="540" w:type="dxa"/>
            <w:vAlign w:val="bottom"/>
            <w:gridSpan w:val="2"/>
          </w:tcPr>
          <w:p>
            <w:pPr>
              <w:jc w:val="right"/>
              <w:ind w:right="135"/>
              <w:spacing w:after="0"/>
              <w:rPr>
                <w:sz w:val="20"/>
                <w:szCs w:val="20"/>
                <w:color w:val="auto"/>
              </w:rPr>
            </w:pPr>
            <w:r>
              <w:rPr>
                <w:rFonts w:ascii="Times New Roman" w:cs="Times New Roman" w:eastAsia="Times New Roman" w:hAnsi="Times New Roman"/>
                <w:sz w:val="10"/>
                <w:szCs w:val="10"/>
                <w:b w:val="1"/>
                <w:bCs w:val="1"/>
                <w:color w:val="auto"/>
              </w:rPr>
              <w:t>and land</w:t>
            </w:r>
          </w:p>
        </w:tc>
        <w:tc>
          <w:tcPr>
            <w:tcW w:w="80" w:type="dxa"/>
            <w:vAlign w:val="bottom"/>
          </w:tcPr>
          <w:p>
            <w:pPr>
              <w:spacing w:after="0"/>
              <w:rPr>
                <w:sz w:val="10"/>
                <w:szCs w:val="10"/>
                <w:color w:val="auto"/>
              </w:rPr>
            </w:pPr>
          </w:p>
        </w:tc>
        <w:tc>
          <w:tcPr>
            <w:tcW w:w="680" w:type="dxa"/>
            <w:vAlign w:val="bottom"/>
            <w:gridSpan w:val="2"/>
          </w:tcPr>
          <w:p>
            <w:pPr>
              <w:jc w:val="center"/>
              <w:ind w:right="180"/>
              <w:spacing w:after="0"/>
              <w:rPr>
                <w:sz w:val="20"/>
                <w:szCs w:val="20"/>
                <w:color w:val="auto"/>
              </w:rPr>
            </w:pPr>
            <w:r>
              <w:rPr>
                <w:rFonts w:ascii="Times New Roman" w:cs="Times New Roman" w:eastAsia="Times New Roman" w:hAnsi="Times New Roman"/>
                <w:sz w:val="10"/>
                <w:szCs w:val="10"/>
                <w:b w:val="1"/>
                <w:bCs w:val="1"/>
                <w:color w:val="auto"/>
              </w:rPr>
              <w:t>equipment</w:t>
            </w:r>
          </w:p>
        </w:tc>
        <w:tc>
          <w:tcPr>
            <w:tcW w:w="520" w:type="dxa"/>
            <w:vAlign w:val="bottom"/>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32"/>
        </w:trPr>
        <w:tc>
          <w:tcPr>
            <w:tcW w:w="2900" w:type="dxa"/>
            <w:vAlign w:val="bottom"/>
            <w:tcBorders>
              <w:top w:val="single" w:sz="8" w:color="CCEEFF"/>
            </w:tcBorders>
            <w:shd w:val="clear" w:color="auto" w:fill="CCEEFF"/>
          </w:tcPr>
          <w:p>
            <w:pPr>
              <w:spacing w:after="0" w:line="132" w:lineRule="exact"/>
              <w:rPr>
                <w:sz w:val="20"/>
                <w:szCs w:val="20"/>
                <w:color w:val="auto"/>
              </w:rPr>
            </w:pPr>
            <w:r>
              <w:rPr>
                <w:rFonts w:ascii="Times New Roman" w:cs="Times New Roman" w:eastAsia="Times New Roman" w:hAnsi="Times New Roman"/>
                <w:sz w:val="13"/>
                <w:szCs w:val="13"/>
                <w:b w:val="1"/>
                <w:bCs w:val="1"/>
                <w:color w:val="auto"/>
              </w:rPr>
              <w:t>Acquisition cost</w:t>
            </w:r>
          </w:p>
        </w:tc>
        <w:tc>
          <w:tcPr>
            <w:tcW w:w="1780" w:type="dxa"/>
            <w:vAlign w:val="bottom"/>
            <w:tcBorders>
              <w:top w:val="single" w:sz="8" w:color="CCEEFF"/>
            </w:tcBorders>
            <w:shd w:val="clear" w:color="auto" w:fill="CCEEFF"/>
          </w:tcPr>
          <w:p>
            <w:pPr>
              <w:spacing w:after="0"/>
              <w:rPr>
                <w:sz w:val="11"/>
                <w:szCs w:val="11"/>
                <w:color w:val="auto"/>
              </w:rPr>
            </w:pPr>
          </w:p>
        </w:tc>
        <w:tc>
          <w:tcPr>
            <w:tcW w:w="44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480" w:type="dxa"/>
            <w:vAlign w:val="bottom"/>
            <w:tcBorders>
              <w:top w:val="single" w:sz="8" w:color="auto"/>
            </w:tcBorders>
            <w:shd w:val="clear" w:color="auto" w:fill="CCEEFF"/>
          </w:tcPr>
          <w:p>
            <w:pPr>
              <w:spacing w:after="0"/>
              <w:rPr>
                <w:sz w:val="11"/>
                <w:szCs w:val="11"/>
                <w:color w:val="auto"/>
              </w:rPr>
            </w:pPr>
          </w:p>
        </w:tc>
        <w:tc>
          <w:tcPr>
            <w:tcW w:w="200" w:type="dxa"/>
            <w:vAlign w:val="bottom"/>
            <w:tcBorders>
              <w:top w:val="single" w:sz="8" w:color="CCEEFF"/>
            </w:tcBorders>
            <w:shd w:val="clear" w:color="auto" w:fill="CCEEFF"/>
          </w:tcPr>
          <w:p>
            <w:pPr>
              <w:spacing w:after="0"/>
              <w:rPr>
                <w:sz w:val="11"/>
                <w:szCs w:val="11"/>
                <w:color w:val="auto"/>
              </w:rPr>
            </w:pPr>
          </w:p>
        </w:tc>
        <w:tc>
          <w:tcPr>
            <w:tcW w:w="44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2"/>
        </w:trPr>
        <w:tc>
          <w:tcPr>
            <w:tcW w:w="2900" w:type="dxa"/>
            <w:vAlign w:val="bottom"/>
          </w:tcPr>
          <w:p>
            <w:pPr>
              <w:spacing w:after="0"/>
              <w:rPr>
                <w:sz w:val="20"/>
                <w:szCs w:val="20"/>
                <w:color w:val="auto"/>
              </w:rPr>
            </w:pPr>
            <w:r>
              <w:rPr>
                <w:rFonts w:ascii="Times New Roman" w:cs="Times New Roman" w:eastAsia="Times New Roman" w:hAnsi="Times New Roman"/>
                <w:sz w:val="13"/>
                <w:szCs w:val="13"/>
                <w:color w:val="auto"/>
              </w:rPr>
              <w:t>Balance as of January 1, 2022</w:t>
            </w:r>
          </w:p>
        </w:tc>
        <w:tc>
          <w:tcPr>
            <w:tcW w:w="222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45,113</w:t>
            </w:r>
          </w:p>
        </w:tc>
        <w:tc>
          <w:tcPr>
            <w:tcW w:w="100" w:type="dxa"/>
            <w:vAlign w:val="bottom"/>
          </w:tcPr>
          <w:p>
            <w:pPr>
              <w:spacing w:after="0"/>
              <w:rPr>
                <w:sz w:val="13"/>
                <w:szCs w:val="13"/>
                <w:color w:val="auto"/>
              </w:rPr>
            </w:pPr>
          </w:p>
        </w:tc>
        <w:tc>
          <w:tcPr>
            <w:tcW w:w="56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50,099</w:t>
            </w:r>
          </w:p>
        </w:tc>
        <w:tc>
          <w:tcPr>
            <w:tcW w:w="200" w:type="dxa"/>
            <w:vAlign w:val="bottom"/>
          </w:tcPr>
          <w:p>
            <w:pPr>
              <w:spacing w:after="0"/>
              <w:rPr>
                <w:sz w:val="13"/>
                <w:szCs w:val="13"/>
                <w:color w:val="auto"/>
              </w:rPr>
            </w:pPr>
          </w:p>
        </w:tc>
        <w:tc>
          <w:tcPr>
            <w:tcW w:w="4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95,212</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29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Additions</w:t>
            </w:r>
          </w:p>
        </w:tc>
        <w:tc>
          <w:tcPr>
            <w:tcW w:w="22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31,957</w:t>
            </w:r>
          </w:p>
        </w:tc>
        <w:tc>
          <w:tcPr>
            <w:tcW w:w="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3"/>
                <w:szCs w:val="13"/>
                <w:color w:val="auto"/>
              </w:rPr>
              <w:t>—</w:t>
            </w:r>
          </w:p>
        </w:tc>
        <w:tc>
          <w:tcPr>
            <w:tcW w:w="4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31,957</w:t>
            </w: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2900" w:type="dxa"/>
            <w:vAlign w:val="bottom"/>
          </w:tcPr>
          <w:p>
            <w:pPr>
              <w:spacing w:after="0"/>
              <w:rPr>
                <w:sz w:val="20"/>
                <w:szCs w:val="20"/>
                <w:color w:val="auto"/>
              </w:rPr>
            </w:pPr>
            <w:r>
              <w:rPr>
                <w:rFonts w:ascii="Times New Roman" w:cs="Times New Roman" w:eastAsia="Times New Roman" w:hAnsi="Times New Roman"/>
                <w:sz w:val="13"/>
                <w:szCs w:val="13"/>
                <w:color w:val="auto"/>
              </w:rPr>
              <w:t>Reclassification</w:t>
            </w:r>
          </w:p>
        </w:tc>
        <w:tc>
          <w:tcPr>
            <w:tcW w:w="1780" w:type="dxa"/>
            <w:vAlign w:val="bottom"/>
          </w:tcPr>
          <w:p>
            <w:pPr>
              <w:spacing w:after="0"/>
              <w:rPr>
                <w:sz w:val="13"/>
                <w:szCs w:val="13"/>
                <w:color w:val="auto"/>
              </w:rPr>
            </w:pPr>
          </w:p>
        </w:tc>
        <w:tc>
          <w:tcPr>
            <w:tcW w:w="540" w:type="dxa"/>
            <w:vAlign w:val="bottom"/>
            <w:gridSpan w:val="2"/>
          </w:tcPr>
          <w:p>
            <w:pPr>
              <w:jc w:val="right"/>
              <w:ind w:right="175"/>
              <w:spacing w:after="0"/>
              <w:rPr>
                <w:sz w:val="20"/>
                <w:szCs w:val="20"/>
                <w:color w:val="auto"/>
              </w:rPr>
            </w:pPr>
            <w:r>
              <w:rPr>
                <w:rFonts w:ascii="Times New Roman" w:cs="Times New Roman" w:eastAsia="Times New Roman" w:hAnsi="Times New Roman"/>
                <w:sz w:val="13"/>
                <w:szCs w:val="13"/>
                <w:color w:val="auto"/>
              </w:rPr>
              <w:t>—</w:t>
            </w:r>
          </w:p>
        </w:tc>
        <w:tc>
          <w:tcPr>
            <w:tcW w:w="760" w:type="dxa"/>
            <w:vAlign w:val="bottom"/>
            <w:gridSpan w:val="3"/>
          </w:tcPr>
          <w:p>
            <w:pPr>
              <w:jc w:val="right"/>
              <w:ind w:right="160"/>
              <w:spacing w:after="0"/>
              <w:rPr>
                <w:sz w:val="20"/>
                <w:szCs w:val="20"/>
                <w:color w:val="auto"/>
              </w:rPr>
            </w:pPr>
            <w:r>
              <w:rPr>
                <w:rFonts w:ascii="Times New Roman" w:cs="Times New Roman" w:eastAsia="Times New Roman" w:hAnsi="Times New Roman"/>
                <w:sz w:val="13"/>
                <w:szCs w:val="13"/>
                <w:color w:val="auto"/>
              </w:rPr>
              <w:t>(847)</w:t>
            </w:r>
          </w:p>
        </w:tc>
        <w:tc>
          <w:tcPr>
            <w:tcW w:w="52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(847)</w:t>
            </w:r>
          </w:p>
        </w:tc>
        <w:tc>
          <w:tcPr>
            <w:tcW w:w="0" w:type="dxa"/>
            <w:vAlign w:val="bottom"/>
          </w:tcPr>
          <w:p>
            <w:pPr>
              <w:spacing w:after="0"/>
              <w:rPr>
                <w:sz w:val="1"/>
                <w:szCs w:val="1"/>
                <w:color w:val="auto"/>
              </w:rPr>
            </w:pPr>
          </w:p>
        </w:tc>
      </w:tr>
      <w:tr>
        <w:trPr>
          <w:trHeight w:val="152"/>
        </w:trPr>
        <w:tc>
          <w:tcPr>
            <w:tcW w:w="29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Effect of foreign currency exchange rate differences</w:t>
            </w:r>
          </w:p>
        </w:tc>
        <w:tc>
          <w:tcPr>
            <w:tcW w:w="2320" w:type="dxa"/>
            <w:vAlign w:val="bottom"/>
            <w:gridSpan w:val="3"/>
            <w:shd w:val="clear" w:color="auto" w:fill="CCEEFF"/>
          </w:tcPr>
          <w:p>
            <w:pPr>
              <w:jc w:val="right"/>
              <w:ind w:right="75"/>
              <w:spacing w:after="0"/>
              <w:rPr>
                <w:sz w:val="20"/>
                <w:szCs w:val="20"/>
                <w:color w:val="auto"/>
              </w:rPr>
            </w:pPr>
            <w:r>
              <w:rPr>
                <w:rFonts w:ascii="Times New Roman" w:cs="Times New Roman" w:eastAsia="Times New Roman" w:hAnsi="Times New Roman"/>
                <w:sz w:val="13"/>
                <w:szCs w:val="13"/>
                <w:color w:val="auto"/>
              </w:rPr>
              <w:t>(9,366)</w:t>
            </w:r>
          </w:p>
        </w:tc>
        <w:tc>
          <w:tcPr>
            <w:tcW w:w="760" w:type="dxa"/>
            <w:vAlign w:val="bottom"/>
            <w:gridSpan w:val="3"/>
            <w:shd w:val="clear" w:color="auto" w:fill="CCEEFF"/>
          </w:tcPr>
          <w:p>
            <w:pPr>
              <w:jc w:val="right"/>
              <w:ind w:right="160"/>
              <w:spacing w:after="0"/>
              <w:rPr>
                <w:sz w:val="20"/>
                <w:szCs w:val="20"/>
                <w:color w:val="auto"/>
              </w:rPr>
            </w:pPr>
            <w:r>
              <w:rPr>
                <w:rFonts w:ascii="Times New Roman" w:cs="Times New Roman" w:eastAsia="Times New Roman" w:hAnsi="Times New Roman"/>
                <w:sz w:val="13"/>
                <w:szCs w:val="13"/>
                <w:color w:val="auto"/>
              </w:rPr>
              <w:t>(5,312)</w:t>
            </w:r>
          </w:p>
        </w:tc>
        <w:tc>
          <w:tcPr>
            <w:tcW w:w="5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(14,678)</w:t>
            </w:r>
          </w:p>
        </w:tc>
        <w:tc>
          <w:tcPr>
            <w:tcW w:w="0" w:type="dxa"/>
            <w:vAlign w:val="bottom"/>
          </w:tcPr>
          <w:p>
            <w:pPr>
              <w:spacing w:after="0"/>
              <w:rPr>
                <w:sz w:val="1"/>
                <w:szCs w:val="1"/>
                <w:color w:val="auto"/>
              </w:rPr>
            </w:pPr>
          </w:p>
        </w:tc>
      </w:tr>
      <w:tr>
        <w:trPr>
          <w:trHeight w:val="151"/>
        </w:trPr>
        <w:tc>
          <w:tcPr>
            <w:tcW w:w="290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Balance as of September 30, 2022</w:t>
            </w:r>
          </w:p>
        </w:tc>
        <w:tc>
          <w:tcPr>
            <w:tcW w:w="1780" w:type="dxa"/>
            <w:vAlign w:val="bottom"/>
          </w:tcPr>
          <w:p>
            <w:pPr>
              <w:spacing w:after="0"/>
              <w:rPr>
                <w:sz w:val="13"/>
                <w:szCs w:val="13"/>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67,704</w:t>
            </w: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43,940</w:t>
            </w:r>
          </w:p>
        </w:tc>
        <w:tc>
          <w:tcPr>
            <w:tcW w:w="200" w:type="dxa"/>
            <w:vAlign w:val="bottom"/>
          </w:tcPr>
          <w:p>
            <w:pPr>
              <w:spacing w:after="0"/>
              <w:rPr>
                <w:sz w:val="13"/>
                <w:szCs w:val="13"/>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w w:val="99"/>
              </w:rPr>
              <w:t>111,644</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29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Accumulated depreciation</w:t>
            </w:r>
          </w:p>
        </w:tc>
        <w:tc>
          <w:tcPr>
            <w:tcW w:w="1780" w:type="dxa"/>
            <w:vAlign w:val="bottom"/>
            <w:shd w:val="clear" w:color="auto" w:fill="CCEEFF"/>
          </w:tcPr>
          <w:p>
            <w:pPr>
              <w:spacing w:after="0"/>
              <w:rPr>
                <w:sz w:val="13"/>
                <w:szCs w:val="13"/>
                <w:color w:val="auto"/>
              </w:rPr>
            </w:pPr>
          </w:p>
        </w:tc>
        <w:tc>
          <w:tcPr>
            <w:tcW w:w="4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4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2900" w:type="dxa"/>
            <w:vAlign w:val="bottom"/>
          </w:tcPr>
          <w:p>
            <w:pPr>
              <w:spacing w:after="0"/>
              <w:rPr>
                <w:sz w:val="20"/>
                <w:szCs w:val="20"/>
                <w:color w:val="auto"/>
              </w:rPr>
            </w:pPr>
            <w:r>
              <w:rPr>
                <w:rFonts w:ascii="Times New Roman" w:cs="Times New Roman" w:eastAsia="Times New Roman" w:hAnsi="Times New Roman"/>
                <w:sz w:val="13"/>
                <w:szCs w:val="13"/>
                <w:color w:val="auto"/>
              </w:rPr>
              <w:t>Balance as of January 1, 2022</w:t>
            </w:r>
          </w:p>
        </w:tc>
        <w:tc>
          <w:tcPr>
            <w:tcW w:w="2320" w:type="dxa"/>
            <w:vAlign w:val="bottom"/>
            <w:gridSpan w:val="3"/>
          </w:tcPr>
          <w:p>
            <w:pPr>
              <w:jc w:val="right"/>
              <w:ind w:right="75"/>
              <w:spacing w:after="0"/>
              <w:rPr>
                <w:sz w:val="20"/>
                <w:szCs w:val="20"/>
                <w:color w:val="auto"/>
              </w:rPr>
            </w:pPr>
            <w:r>
              <w:rPr>
                <w:rFonts w:ascii="Times New Roman" w:cs="Times New Roman" w:eastAsia="Times New Roman" w:hAnsi="Times New Roman"/>
                <w:sz w:val="13"/>
                <w:szCs w:val="13"/>
                <w:color w:val="auto"/>
              </w:rPr>
              <w:t>(10,159)</w:t>
            </w:r>
          </w:p>
        </w:tc>
        <w:tc>
          <w:tcPr>
            <w:tcW w:w="760" w:type="dxa"/>
            <w:vAlign w:val="bottom"/>
            <w:gridSpan w:val="3"/>
          </w:tcPr>
          <w:p>
            <w:pPr>
              <w:jc w:val="right"/>
              <w:ind w:right="160"/>
              <w:spacing w:after="0"/>
              <w:rPr>
                <w:sz w:val="20"/>
                <w:szCs w:val="20"/>
                <w:color w:val="auto"/>
              </w:rPr>
            </w:pPr>
            <w:r>
              <w:rPr>
                <w:rFonts w:ascii="Times New Roman" w:cs="Times New Roman" w:eastAsia="Times New Roman" w:hAnsi="Times New Roman"/>
                <w:sz w:val="13"/>
                <w:szCs w:val="13"/>
                <w:color w:val="auto"/>
              </w:rPr>
              <w:t>(15,447)</w:t>
            </w:r>
          </w:p>
        </w:tc>
        <w:tc>
          <w:tcPr>
            <w:tcW w:w="52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(25,606)</w:t>
            </w:r>
          </w:p>
        </w:tc>
        <w:tc>
          <w:tcPr>
            <w:tcW w:w="0" w:type="dxa"/>
            <w:vAlign w:val="bottom"/>
          </w:tcPr>
          <w:p>
            <w:pPr>
              <w:spacing w:after="0"/>
              <w:rPr>
                <w:sz w:val="1"/>
                <w:szCs w:val="1"/>
                <w:color w:val="auto"/>
              </w:rPr>
            </w:pPr>
          </w:p>
        </w:tc>
      </w:tr>
      <w:tr>
        <w:trPr>
          <w:trHeight w:val="152"/>
        </w:trPr>
        <w:tc>
          <w:tcPr>
            <w:tcW w:w="29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Depreciation expense</w:t>
            </w:r>
          </w:p>
        </w:tc>
        <w:tc>
          <w:tcPr>
            <w:tcW w:w="2320" w:type="dxa"/>
            <w:vAlign w:val="bottom"/>
            <w:gridSpan w:val="3"/>
            <w:shd w:val="clear" w:color="auto" w:fill="CCEEFF"/>
          </w:tcPr>
          <w:p>
            <w:pPr>
              <w:jc w:val="right"/>
              <w:ind w:right="75"/>
              <w:spacing w:after="0"/>
              <w:rPr>
                <w:sz w:val="20"/>
                <w:szCs w:val="20"/>
                <w:color w:val="auto"/>
              </w:rPr>
            </w:pPr>
            <w:r>
              <w:rPr>
                <w:rFonts w:ascii="Times New Roman" w:cs="Times New Roman" w:eastAsia="Times New Roman" w:hAnsi="Times New Roman"/>
                <w:sz w:val="13"/>
                <w:szCs w:val="13"/>
                <w:color w:val="auto"/>
              </w:rPr>
              <w:t>(8,755)</w:t>
            </w:r>
          </w:p>
        </w:tc>
        <w:tc>
          <w:tcPr>
            <w:tcW w:w="760" w:type="dxa"/>
            <w:vAlign w:val="bottom"/>
            <w:gridSpan w:val="3"/>
            <w:shd w:val="clear" w:color="auto" w:fill="CCEEFF"/>
          </w:tcPr>
          <w:p>
            <w:pPr>
              <w:jc w:val="right"/>
              <w:ind w:right="160"/>
              <w:spacing w:after="0"/>
              <w:rPr>
                <w:sz w:val="20"/>
                <w:szCs w:val="20"/>
                <w:color w:val="auto"/>
              </w:rPr>
            </w:pPr>
            <w:r>
              <w:rPr>
                <w:rFonts w:ascii="Times New Roman" w:cs="Times New Roman" w:eastAsia="Times New Roman" w:hAnsi="Times New Roman"/>
                <w:sz w:val="13"/>
                <w:szCs w:val="13"/>
                <w:color w:val="auto"/>
              </w:rPr>
              <w:t>(6,054)</w:t>
            </w:r>
          </w:p>
        </w:tc>
        <w:tc>
          <w:tcPr>
            <w:tcW w:w="5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(14,809)</w:t>
            </w:r>
          </w:p>
        </w:tc>
        <w:tc>
          <w:tcPr>
            <w:tcW w:w="0" w:type="dxa"/>
            <w:vAlign w:val="bottom"/>
          </w:tcPr>
          <w:p>
            <w:pPr>
              <w:spacing w:after="0"/>
              <w:rPr>
                <w:sz w:val="1"/>
                <w:szCs w:val="1"/>
                <w:color w:val="auto"/>
              </w:rPr>
            </w:pPr>
          </w:p>
        </w:tc>
      </w:tr>
      <w:tr>
        <w:trPr>
          <w:trHeight w:val="152"/>
        </w:trPr>
        <w:tc>
          <w:tcPr>
            <w:tcW w:w="2900" w:type="dxa"/>
            <w:vAlign w:val="bottom"/>
          </w:tcPr>
          <w:p>
            <w:pPr>
              <w:spacing w:after="0"/>
              <w:rPr>
                <w:sz w:val="20"/>
                <w:szCs w:val="20"/>
                <w:color w:val="auto"/>
              </w:rPr>
            </w:pPr>
            <w:r>
              <w:rPr>
                <w:rFonts w:ascii="Times New Roman" w:cs="Times New Roman" w:eastAsia="Times New Roman" w:hAnsi="Times New Roman"/>
                <w:sz w:val="13"/>
                <w:szCs w:val="13"/>
                <w:color w:val="auto"/>
              </w:rPr>
              <w:t>Reclassification</w:t>
            </w:r>
          </w:p>
        </w:tc>
        <w:tc>
          <w:tcPr>
            <w:tcW w:w="1780" w:type="dxa"/>
            <w:vAlign w:val="bottom"/>
          </w:tcPr>
          <w:p>
            <w:pPr>
              <w:spacing w:after="0"/>
              <w:rPr>
                <w:sz w:val="13"/>
                <w:szCs w:val="13"/>
                <w:color w:val="auto"/>
              </w:rPr>
            </w:pPr>
          </w:p>
        </w:tc>
        <w:tc>
          <w:tcPr>
            <w:tcW w:w="540" w:type="dxa"/>
            <w:vAlign w:val="bottom"/>
            <w:gridSpan w:val="2"/>
          </w:tcPr>
          <w:p>
            <w:pPr>
              <w:jc w:val="right"/>
              <w:ind w:right="175"/>
              <w:spacing w:after="0"/>
              <w:rPr>
                <w:sz w:val="20"/>
                <w:szCs w:val="20"/>
                <w:color w:val="auto"/>
              </w:rPr>
            </w:pPr>
            <w:r>
              <w:rPr>
                <w:rFonts w:ascii="Times New Roman" w:cs="Times New Roman" w:eastAsia="Times New Roman" w:hAnsi="Times New Roman"/>
                <w:sz w:val="13"/>
                <w:szCs w:val="13"/>
                <w:color w:val="auto"/>
              </w:rPr>
              <w:t>—</w:t>
            </w:r>
          </w:p>
        </w:tc>
        <w:tc>
          <w:tcPr>
            <w:tcW w:w="56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847</w:t>
            </w:r>
          </w:p>
        </w:tc>
        <w:tc>
          <w:tcPr>
            <w:tcW w:w="200" w:type="dxa"/>
            <w:vAlign w:val="bottom"/>
          </w:tcPr>
          <w:p>
            <w:pPr>
              <w:spacing w:after="0"/>
              <w:rPr>
                <w:sz w:val="13"/>
                <w:szCs w:val="13"/>
                <w:color w:val="auto"/>
              </w:rPr>
            </w:pPr>
          </w:p>
        </w:tc>
        <w:tc>
          <w:tcPr>
            <w:tcW w:w="44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847</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29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Effect of foreign currency exchange rate differences</w:t>
            </w:r>
          </w:p>
        </w:tc>
        <w:tc>
          <w:tcPr>
            <w:tcW w:w="22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1,840</w:t>
            </w:r>
          </w:p>
        </w:tc>
        <w:tc>
          <w:tcPr>
            <w:tcW w:w="10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2,052</w:t>
            </w:r>
          </w:p>
        </w:tc>
        <w:tc>
          <w:tcPr>
            <w:tcW w:w="200" w:type="dxa"/>
            <w:vAlign w:val="bottom"/>
            <w:shd w:val="clear" w:color="auto" w:fill="CCEEFF"/>
          </w:tcPr>
          <w:p>
            <w:pPr>
              <w:spacing w:after="0"/>
              <w:rPr>
                <w:sz w:val="13"/>
                <w:szCs w:val="13"/>
                <w:color w:val="auto"/>
              </w:rPr>
            </w:pPr>
          </w:p>
        </w:tc>
        <w:tc>
          <w:tcPr>
            <w:tcW w:w="4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3,892</w:t>
            </w: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290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Balance as of September 30, 2022</w:t>
            </w:r>
          </w:p>
        </w:tc>
        <w:tc>
          <w:tcPr>
            <w:tcW w:w="1780" w:type="dxa"/>
            <w:vAlign w:val="bottom"/>
          </w:tcPr>
          <w:p>
            <w:pPr>
              <w:spacing w:after="0"/>
              <w:rPr>
                <w:sz w:val="13"/>
                <w:szCs w:val="13"/>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w w:val="99"/>
              </w:rPr>
              <w:t>(17,074</w:t>
            </w:r>
          </w:p>
        </w:tc>
        <w:tc>
          <w:tcPr>
            <w:tcW w:w="100" w:type="dxa"/>
            <w:vAlign w:val="bottom"/>
          </w:tcPr>
          <w:p>
            <w:pPr>
              <w:jc w:val="right"/>
              <w:ind w:right="75"/>
              <w:spacing w:after="0"/>
              <w:rPr>
                <w:sz w:val="20"/>
                <w:szCs w:val="20"/>
                <w:color w:val="auto"/>
              </w:rPr>
            </w:pPr>
            <w:r>
              <w:rPr>
                <w:rFonts w:ascii="Times New Roman" w:cs="Times New Roman" w:eastAsia="Times New Roman" w:hAnsi="Times New Roman"/>
                <w:sz w:val="1"/>
                <w:szCs w:val="1"/>
                <w:b w:val="1"/>
                <w:bCs w:val="1"/>
                <w:color w:val="auto"/>
                <w:w w:val="4294967281"/>
              </w:rPr>
              <w:t>)</w:t>
            </w:r>
          </w:p>
        </w:tc>
        <w:tc>
          <w:tcPr>
            <w:tcW w:w="80" w:type="dxa"/>
            <w:vAlign w:val="bottom"/>
          </w:tcPr>
          <w:p>
            <w:pPr>
              <w:spacing w:after="0"/>
              <w:rPr>
                <w:sz w:val="13"/>
                <w:szCs w:val="13"/>
                <w:color w:val="auto"/>
              </w:rPr>
            </w:pPr>
          </w:p>
        </w:tc>
        <w:tc>
          <w:tcPr>
            <w:tcW w:w="4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(18,602)</w:t>
            </w:r>
          </w:p>
        </w:tc>
        <w:tc>
          <w:tcPr>
            <w:tcW w:w="200" w:type="dxa"/>
            <w:vAlign w:val="bottom"/>
          </w:tcPr>
          <w:p>
            <w:pPr>
              <w:spacing w:after="0"/>
              <w:rPr>
                <w:sz w:val="13"/>
                <w:szCs w:val="13"/>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(35,676</w:t>
            </w:r>
          </w:p>
        </w:tc>
        <w:tc>
          <w:tcPr>
            <w:tcW w:w="80" w:type="dxa"/>
            <w:vAlign w:val="bottom"/>
          </w:tcPr>
          <w:p>
            <w:pPr>
              <w:jc w:val="right"/>
              <w:spacing w:after="0"/>
              <w:rPr>
                <w:sz w:val="20"/>
                <w:szCs w:val="20"/>
                <w:color w:val="auto"/>
              </w:rPr>
            </w:pPr>
            <w:r>
              <w:rPr>
                <w:rFonts w:ascii="Times New Roman" w:cs="Times New Roman" w:eastAsia="Times New Roman" w:hAnsi="Times New Roman"/>
                <w:sz w:val="8"/>
                <w:szCs w:val="8"/>
                <w:b w:val="1"/>
                <w:bCs w:val="1"/>
                <w:color w:val="auto"/>
                <w:w w:val="73"/>
              </w:rPr>
              <w:t>)</w:t>
            </w:r>
          </w:p>
        </w:tc>
        <w:tc>
          <w:tcPr>
            <w:tcW w:w="0" w:type="dxa"/>
            <w:vAlign w:val="bottom"/>
          </w:tcPr>
          <w:p>
            <w:pPr>
              <w:spacing w:after="0"/>
              <w:rPr>
                <w:sz w:val="1"/>
                <w:szCs w:val="1"/>
                <w:color w:val="auto"/>
              </w:rPr>
            </w:pPr>
          </w:p>
        </w:tc>
      </w:tr>
      <w:tr>
        <w:trPr>
          <w:trHeight w:val="151"/>
        </w:trPr>
        <w:tc>
          <w:tcPr>
            <w:tcW w:w="29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Carrying amount as of September 30, 2022</w:t>
            </w:r>
          </w:p>
        </w:tc>
        <w:tc>
          <w:tcPr>
            <w:tcW w:w="22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50,630</w:t>
            </w:r>
          </w:p>
        </w:tc>
        <w:tc>
          <w:tcPr>
            <w:tcW w:w="10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25,338</w:t>
            </w:r>
          </w:p>
        </w:tc>
        <w:tc>
          <w:tcPr>
            <w:tcW w:w="200" w:type="dxa"/>
            <w:vAlign w:val="bottom"/>
            <w:shd w:val="clear" w:color="auto" w:fill="CCEEFF"/>
          </w:tcPr>
          <w:p>
            <w:pPr>
              <w:spacing w:after="0"/>
              <w:rPr>
                <w:sz w:val="13"/>
                <w:szCs w:val="13"/>
                <w:color w:val="auto"/>
              </w:rPr>
            </w:pPr>
          </w:p>
        </w:tc>
        <w:tc>
          <w:tcPr>
            <w:tcW w:w="4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75,968</w:t>
            </w: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55"/>
        </w:trPr>
        <w:tc>
          <w:tcPr>
            <w:tcW w:w="2900" w:type="dxa"/>
            <w:vAlign w:val="bottom"/>
          </w:tcPr>
          <w:p>
            <w:pPr>
              <w:spacing w:after="0"/>
              <w:rPr>
                <w:sz w:val="22"/>
                <w:szCs w:val="22"/>
                <w:color w:val="auto"/>
              </w:rPr>
            </w:pPr>
          </w:p>
        </w:tc>
        <w:tc>
          <w:tcPr>
            <w:tcW w:w="1780" w:type="dxa"/>
            <w:vAlign w:val="bottom"/>
          </w:tcPr>
          <w:p>
            <w:pPr>
              <w:jc w:val="right"/>
              <w:ind w:right="1317"/>
              <w:spacing w:after="0"/>
              <w:rPr>
                <w:sz w:val="20"/>
                <w:szCs w:val="20"/>
                <w:color w:val="auto"/>
              </w:rPr>
            </w:pPr>
            <w:r>
              <w:rPr>
                <w:rFonts w:ascii="Times New Roman" w:cs="Times New Roman" w:eastAsia="Times New Roman" w:hAnsi="Times New Roman"/>
                <w:sz w:val="13"/>
                <w:szCs w:val="13"/>
                <w:color w:val="auto"/>
              </w:rPr>
              <w:t>19</w:t>
            </w:r>
          </w:p>
        </w:tc>
        <w:tc>
          <w:tcPr>
            <w:tcW w:w="440" w:type="dxa"/>
            <w:vAlign w:val="bottom"/>
            <w:tcBorders>
              <w:top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480" w:type="dxa"/>
            <w:vAlign w:val="bottom"/>
            <w:tcBorders>
              <w:top w:val="single" w:sz="8" w:color="auto"/>
            </w:tcBorders>
          </w:tcPr>
          <w:p>
            <w:pPr>
              <w:spacing w:after="0"/>
              <w:rPr>
                <w:sz w:val="22"/>
                <w:szCs w:val="22"/>
                <w:color w:val="auto"/>
              </w:rPr>
            </w:pPr>
          </w:p>
        </w:tc>
        <w:tc>
          <w:tcPr>
            <w:tcW w:w="200" w:type="dxa"/>
            <w:vAlign w:val="bottom"/>
          </w:tcPr>
          <w:p>
            <w:pPr>
              <w:spacing w:after="0"/>
              <w:rPr>
                <w:sz w:val="22"/>
                <w:szCs w:val="22"/>
                <w:color w:val="auto"/>
              </w:rPr>
            </w:pPr>
          </w:p>
        </w:tc>
        <w:tc>
          <w:tcPr>
            <w:tcW w:w="440" w:type="dxa"/>
            <w:vAlign w:val="bottom"/>
            <w:tcBorders>
              <w:top w:val="single" w:sz="8" w:color="auto"/>
            </w:tcBorders>
          </w:tcPr>
          <w:p>
            <w:pPr>
              <w:spacing w:after="0"/>
              <w:rPr>
                <w:sz w:val="22"/>
                <w:szCs w:val="22"/>
                <w:color w:val="auto"/>
              </w:rPr>
            </w:pP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31" w:right="1440" w:bottom="1440" w:gutter="0" w:footer="0" w:header="0"/>
        </w:sectPr>
      </w:pPr>
    </w:p>
    <w:bookmarkStart w:id="76" w:name="page77"/>
    <w:bookmarkEnd w:id="76"/>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2"/>
          <w:szCs w:val="12"/>
          <w:color w:val="auto"/>
        </w:rPr>
        <w:t>Amounts related to leases recognized in the Unaudited Condensed Consolidated Statement of Income and Comprehensive Income (Loss) are as follows:</w:t>
      </w:r>
    </w:p>
    <w:p>
      <w:pPr>
        <w:spacing w:after="0" w:line="170" w:lineRule="exact"/>
        <w:rPr>
          <w:sz w:val="20"/>
          <w:szCs w:val="20"/>
          <w:color w:val="auto"/>
        </w:rPr>
      </w:pPr>
    </w:p>
    <w:tbl>
      <w:tblPr>
        <w:tblLayout w:type="fixed"/>
        <w:tblInd w:w="640" w:type="dxa"/>
        <w:tblCellMar>
          <w:top w:w="0" w:type="dxa"/>
          <w:left w:w="0" w:type="dxa"/>
          <w:bottom w:w="0" w:type="dxa"/>
          <w:right w:w="0" w:type="dxa"/>
        </w:tblCellMar>
      </w:tblPr>
      <w:tr>
        <w:trPr>
          <w:trHeight w:val="115"/>
        </w:trPr>
        <w:tc>
          <w:tcPr>
            <w:tcW w:w="32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3540" w:type="dxa"/>
            <w:vAlign w:val="bottom"/>
          </w:tcPr>
          <w:p>
            <w:pPr>
              <w:spacing w:after="0"/>
              <w:rPr>
                <w:sz w:val="10"/>
                <w:szCs w:val="10"/>
                <w:color w:val="auto"/>
              </w:rPr>
            </w:pPr>
          </w:p>
        </w:tc>
        <w:tc>
          <w:tcPr>
            <w:tcW w:w="1620" w:type="dxa"/>
            <w:vAlign w:val="bottom"/>
            <w:gridSpan w:val="6"/>
          </w:tcPr>
          <w:p>
            <w:pPr>
              <w:jc w:val="right"/>
              <w:ind w:right="360"/>
              <w:spacing w:after="0"/>
              <w:rPr>
                <w:sz w:val="20"/>
                <w:szCs w:val="20"/>
                <w:color w:val="auto"/>
              </w:rPr>
            </w:pPr>
            <w:r>
              <w:rPr>
                <w:rFonts w:ascii="Times New Roman" w:cs="Times New Roman" w:eastAsia="Times New Roman" w:hAnsi="Times New Roman"/>
                <w:sz w:val="10"/>
                <w:szCs w:val="10"/>
                <w:b w:val="1"/>
                <w:bCs w:val="1"/>
                <w:color w:val="auto"/>
              </w:rPr>
              <w:t>For the three months ended</w:t>
            </w:r>
          </w:p>
        </w:tc>
        <w:tc>
          <w:tcPr>
            <w:tcW w:w="1340" w:type="dxa"/>
            <w:vAlign w:val="bottom"/>
            <w:gridSpan w:val="6"/>
          </w:tcPr>
          <w:p>
            <w:pPr>
              <w:jc w:val="right"/>
              <w:ind w:right="120"/>
              <w:spacing w:after="0"/>
              <w:rPr>
                <w:sz w:val="20"/>
                <w:szCs w:val="20"/>
                <w:color w:val="auto"/>
              </w:rPr>
            </w:pPr>
            <w:r>
              <w:rPr>
                <w:rFonts w:ascii="Times New Roman" w:cs="Times New Roman" w:eastAsia="Times New Roman" w:hAnsi="Times New Roman"/>
                <w:sz w:val="10"/>
                <w:szCs w:val="10"/>
                <w:b w:val="1"/>
                <w:bCs w:val="1"/>
                <w:color w:val="auto"/>
              </w:rPr>
              <w:t>For the nine months ended</w:t>
            </w:r>
          </w:p>
        </w:tc>
      </w:tr>
      <w:tr>
        <w:trPr>
          <w:trHeight w:val="104"/>
        </w:trPr>
        <w:tc>
          <w:tcPr>
            <w:tcW w:w="320" w:type="dxa"/>
            <w:vAlign w:val="bottom"/>
          </w:tcPr>
          <w:p>
            <w:pPr>
              <w:spacing w:after="0"/>
              <w:rPr>
                <w:sz w:val="9"/>
                <w:szCs w:val="9"/>
                <w:color w:val="auto"/>
              </w:rPr>
            </w:pPr>
          </w:p>
        </w:tc>
        <w:tc>
          <w:tcPr>
            <w:tcW w:w="600" w:type="dxa"/>
            <w:vAlign w:val="bottom"/>
          </w:tcPr>
          <w:p>
            <w:pPr>
              <w:spacing w:after="0"/>
              <w:rPr>
                <w:sz w:val="9"/>
                <w:szCs w:val="9"/>
                <w:color w:val="auto"/>
              </w:rPr>
            </w:pPr>
          </w:p>
        </w:tc>
        <w:tc>
          <w:tcPr>
            <w:tcW w:w="3540" w:type="dxa"/>
            <w:vAlign w:val="bottom"/>
          </w:tcPr>
          <w:p>
            <w:pPr>
              <w:spacing w:after="0"/>
              <w:rPr>
                <w:sz w:val="9"/>
                <w:szCs w:val="9"/>
                <w:color w:val="auto"/>
              </w:rPr>
            </w:pPr>
          </w:p>
        </w:tc>
        <w:tc>
          <w:tcPr>
            <w:tcW w:w="1620" w:type="dxa"/>
            <w:vAlign w:val="bottom"/>
            <w:gridSpan w:val="6"/>
          </w:tcPr>
          <w:p>
            <w:pPr>
              <w:jc w:val="right"/>
              <w:ind w:right="660"/>
              <w:spacing w:after="0" w:line="104" w:lineRule="exact"/>
              <w:rPr>
                <w:sz w:val="20"/>
                <w:szCs w:val="20"/>
                <w:color w:val="auto"/>
              </w:rPr>
            </w:pPr>
            <w:r>
              <w:rPr>
                <w:rFonts w:ascii="Times New Roman" w:cs="Times New Roman" w:eastAsia="Times New Roman" w:hAnsi="Times New Roman"/>
                <w:sz w:val="10"/>
                <w:szCs w:val="10"/>
                <w:b w:val="1"/>
                <w:bCs w:val="1"/>
                <w:color w:val="auto"/>
              </w:rPr>
              <w:t>September 30,</w:t>
            </w:r>
          </w:p>
        </w:tc>
        <w:tc>
          <w:tcPr>
            <w:tcW w:w="100" w:type="dxa"/>
            <w:vAlign w:val="bottom"/>
          </w:tcPr>
          <w:p>
            <w:pPr>
              <w:spacing w:after="0"/>
              <w:rPr>
                <w:sz w:val="9"/>
                <w:szCs w:val="9"/>
                <w:color w:val="auto"/>
              </w:rPr>
            </w:pPr>
          </w:p>
        </w:tc>
        <w:tc>
          <w:tcPr>
            <w:tcW w:w="1240" w:type="dxa"/>
            <w:vAlign w:val="bottom"/>
            <w:gridSpan w:val="5"/>
          </w:tcPr>
          <w:p>
            <w:pPr>
              <w:jc w:val="right"/>
              <w:ind w:right="380"/>
              <w:spacing w:after="0" w:line="104" w:lineRule="exact"/>
              <w:rPr>
                <w:sz w:val="20"/>
                <w:szCs w:val="20"/>
                <w:color w:val="auto"/>
              </w:rPr>
            </w:pPr>
            <w:r>
              <w:rPr>
                <w:rFonts w:ascii="Times New Roman" w:cs="Times New Roman" w:eastAsia="Times New Roman" w:hAnsi="Times New Roman"/>
                <w:sz w:val="10"/>
                <w:szCs w:val="10"/>
                <w:b w:val="1"/>
                <w:bCs w:val="1"/>
                <w:color w:val="auto"/>
              </w:rPr>
              <w:t>September 30,</w:t>
            </w:r>
          </w:p>
        </w:tc>
      </w:tr>
      <w:tr>
        <w:trPr>
          <w:trHeight w:val="121"/>
        </w:trPr>
        <w:tc>
          <w:tcPr>
            <w:tcW w:w="32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3540" w:type="dxa"/>
            <w:vAlign w:val="bottom"/>
          </w:tcPr>
          <w:p>
            <w:pPr>
              <w:spacing w:after="0"/>
              <w:rPr>
                <w:sz w:val="10"/>
                <w:szCs w:val="10"/>
                <w:color w:val="auto"/>
              </w:rPr>
            </w:pPr>
          </w:p>
        </w:tc>
        <w:tc>
          <w:tcPr>
            <w:tcW w:w="500" w:type="dxa"/>
            <w:vAlign w:val="bottom"/>
          </w:tcPr>
          <w:p>
            <w:pPr>
              <w:jc w:val="right"/>
              <w:ind w:right="102"/>
              <w:spacing w:after="0"/>
              <w:rPr>
                <w:sz w:val="20"/>
                <w:szCs w:val="20"/>
                <w:color w:val="auto"/>
              </w:rPr>
            </w:pPr>
            <w:r>
              <w:rPr>
                <w:rFonts w:ascii="Times New Roman" w:cs="Times New Roman" w:eastAsia="Times New Roman" w:hAnsi="Times New Roman"/>
                <w:sz w:val="10"/>
                <w:szCs w:val="10"/>
                <w:b w:val="1"/>
                <w:bCs w:val="1"/>
                <w:color w:val="auto"/>
              </w:rPr>
              <w:t>2022</w:t>
            </w:r>
          </w:p>
        </w:tc>
        <w:tc>
          <w:tcPr>
            <w:tcW w:w="180" w:type="dxa"/>
            <w:vAlign w:val="bottom"/>
          </w:tcPr>
          <w:p>
            <w:pPr>
              <w:spacing w:after="0"/>
              <w:rPr>
                <w:sz w:val="10"/>
                <w:szCs w:val="10"/>
                <w:color w:val="auto"/>
              </w:rPr>
            </w:pPr>
          </w:p>
        </w:tc>
        <w:tc>
          <w:tcPr>
            <w:tcW w:w="620" w:type="dxa"/>
            <w:vAlign w:val="bottom"/>
            <w:gridSpan w:val="2"/>
          </w:tcPr>
          <w:p>
            <w:pPr>
              <w:jc w:val="right"/>
              <w:ind w:right="85"/>
              <w:spacing w:after="0"/>
              <w:rPr>
                <w:sz w:val="20"/>
                <w:szCs w:val="20"/>
                <w:color w:val="auto"/>
              </w:rPr>
            </w:pPr>
            <w:r>
              <w:rPr>
                <w:rFonts w:ascii="Times New Roman" w:cs="Times New Roman" w:eastAsia="Times New Roman" w:hAnsi="Times New Roman"/>
                <w:sz w:val="10"/>
                <w:szCs w:val="10"/>
                <w:b w:val="1"/>
                <w:bCs w:val="1"/>
                <w:color w:val="auto"/>
              </w:rPr>
              <w:t>2021</w:t>
            </w:r>
          </w:p>
        </w:tc>
        <w:tc>
          <w:tcPr>
            <w:tcW w:w="2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480" w:type="dxa"/>
            <w:vAlign w:val="bottom"/>
            <w:gridSpan w:val="2"/>
          </w:tcPr>
          <w:p>
            <w:pPr>
              <w:jc w:val="right"/>
              <w:ind w:right="83"/>
              <w:spacing w:after="0"/>
              <w:rPr>
                <w:sz w:val="20"/>
                <w:szCs w:val="20"/>
                <w:color w:val="auto"/>
              </w:rPr>
            </w:pPr>
            <w:r>
              <w:rPr>
                <w:rFonts w:ascii="Times New Roman" w:cs="Times New Roman" w:eastAsia="Times New Roman" w:hAnsi="Times New Roman"/>
                <w:sz w:val="10"/>
                <w:szCs w:val="10"/>
                <w:b w:val="1"/>
                <w:bCs w:val="1"/>
                <w:color w:val="auto"/>
              </w:rPr>
              <w:t>2022</w:t>
            </w:r>
          </w:p>
        </w:tc>
        <w:tc>
          <w:tcPr>
            <w:tcW w:w="2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20" w:type="dxa"/>
            <w:vAlign w:val="bottom"/>
          </w:tcPr>
          <w:p>
            <w:pPr>
              <w:jc w:val="right"/>
              <w:ind w:right="99"/>
              <w:spacing w:after="0"/>
              <w:rPr>
                <w:sz w:val="20"/>
                <w:szCs w:val="20"/>
                <w:color w:val="auto"/>
              </w:rPr>
            </w:pPr>
            <w:r>
              <w:rPr>
                <w:rFonts w:ascii="Times New Roman" w:cs="Times New Roman" w:eastAsia="Times New Roman" w:hAnsi="Times New Roman"/>
                <w:sz w:val="10"/>
                <w:szCs w:val="10"/>
                <w:b w:val="1"/>
                <w:bCs w:val="1"/>
                <w:color w:val="auto"/>
              </w:rPr>
              <w:t>2021</w:t>
            </w:r>
          </w:p>
        </w:tc>
        <w:tc>
          <w:tcPr>
            <w:tcW w:w="40" w:type="dxa"/>
            <w:vAlign w:val="bottom"/>
          </w:tcPr>
          <w:p>
            <w:pPr>
              <w:spacing w:after="0"/>
              <w:rPr>
                <w:sz w:val="10"/>
                <w:szCs w:val="10"/>
                <w:color w:val="auto"/>
              </w:rPr>
            </w:pPr>
          </w:p>
        </w:tc>
      </w:tr>
      <w:tr>
        <w:trPr>
          <w:trHeight w:val="141"/>
        </w:trPr>
        <w:tc>
          <w:tcPr>
            <w:tcW w:w="320" w:type="dxa"/>
            <w:vAlign w:val="bottom"/>
          </w:tcPr>
          <w:p>
            <w:pPr>
              <w:spacing w:after="0"/>
              <w:rPr>
                <w:sz w:val="12"/>
                <w:szCs w:val="12"/>
                <w:color w:val="auto"/>
              </w:rPr>
            </w:pPr>
          </w:p>
        </w:tc>
        <w:tc>
          <w:tcPr>
            <w:tcW w:w="4140" w:type="dxa"/>
            <w:vAlign w:val="bottom"/>
            <w:tcBorders>
              <w:top w:val="single" w:sz="8" w:color="CCEEFF"/>
            </w:tcBorders>
            <w:gridSpan w:val="2"/>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Expense relating to short-term leases</w:t>
            </w:r>
          </w:p>
        </w:tc>
        <w:tc>
          <w:tcPr>
            <w:tcW w:w="50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487</w:t>
            </w:r>
          </w:p>
        </w:tc>
        <w:tc>
          <w:tcPr>
            <w:tcW w:w="18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CCEEFF"/>
            </w:tcBorders>
            <w:shd w:val="clear" w:color="auto" w:fill="CCEEFF"/>
          </w:tcPr>
          <w:p>
            <w:pPr>
              <w:spacing w:after="0"/>
              <w:rPr>
                <w:sz w:val="12"/>
                <w:szCs w:val="12"/>
                <w:color w:val="auto"/>
              </w:rPr>
            </w:pPr>
          </w:p>
        </w:tc>
        <w:tc>
          <w:tcPr>
            <w:tcW w:w="520" w:type="dxa"/>
            <w:vAlign w:val="bottom"/>
            <w:tcBorders>
              <w:top w:val="single" w:sz="8" w:color="auto"/>
            </w:tcBorders>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79</w:t>
            </w:r>
          </w:p>
        </w:tc>
        <w:tc>
          <w:tcPr>
            <w:tcW w:w="300" w:type="dxa"/>
            <w:vAlign w:val="bottom"/>
            <w:tcBorders>
              <w:top w:val="single" w:sz="8" w:color="CCEEFF"/>
            </w:tcBorders>
            <w:shd w:val="clear" w:color="auto" w:fill="CCEEFF"/>
          </w:tcPr>
          <w:p>
            <w:pPr>
              <w:spacing w:after="0"/>
              <w:rPr>
                <w:sz w:val="12"/>
                <w:szCs w:val="12"/>
                <w:color w:val="auto"/>
              </w:rPr>
            </w:pPr>
          </w:p>
        </w:tc>
        <w:tc>
          <w:tcPr>
            <w:tcW w:w="480" w:type="dxa"/>
            <w:vAlign w:val="bottom"/>
            <w:tcBorders>
              <w:top w:val="single" w:sz="8" w:color="auto"/>
            </w:tcBorders>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1,322</w:t>
            </w:r>
          </w:p>
        </w:tc>
        <w:tc>
          <w:tcPr>
            <w:tcW w:w="20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left w:val="single" w:sz="8" w:color="CCEEFF"/>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208</w:t>
            </w:r>
          </w:p>
        </w:tc>
        <w:tc>
          <w:tcPr>
            <w:tcW w:w="40" w:type="dxa"/>
            <w:vAlign w:val="bottom"/>
            <w:tcBorders>
              <w:top w:val="single" w:sz="8" w:color="CCEEFF"/>
            </w:tcBorders>
            <w:shd w:val="clear" w:color="auto" w:fill="CCEEFF"/>
          </w:tcPr>
          <w:p>
            <w:pPr>
              <w:spacing w:after="0"/>
              <w:rPr>
                <w:sz w:val="12"/>
                <w:szCs w:val="12"/>
                <w:color w:val="auto"/>
              </w:rPr>
            </w:pPr>
          </w:p>
        </w:tc>
      </w:tr>
      <w:tr>
        <w:trPr>
          <w:trHeight w:val="152"/>
        </w:trPr>
        <w:tc>
          <w:tcPr>
            <w:tcW w:w="320" w:type="dxa"/>
            <w:vAlign w:val="bottom"/>
          </w:tcPr>
          <w:p>
            <w:pPr>
              <w:spacing w:after="0"/>
              <w:rPr>
                <w:sz w:val="13"/>
                <w:szCs w:val="13"/>
                <w:color w:val="auto"/>
              </w:rPr>
            </w:pPr>
          </w:p>
        </w:tc>
        <w:tc>
          <w:tcPr>
            <w:tcW w:w="4140" w:type="dxa"/>
            <w:vAlign w:val="bottom"/>
            <w:gridSpan w:val="2"/>
          </w:tcPr>
          <w:p>
            <w:pPr>
              <w:spacing w:after="0"/>
              <w:rPr>
                <w:sz w:val="20"/>
                <w:szCs w:val="20"/>
                <w:color w:val="auto"/>
              </w:rPr>
            </w:pPr>
            <w:r>
              <w:rPr>
                <w:rFonts w:ascii="Times New Roman" w:cs="Times New Roman" w:eastAsia="Times New Roman" w:hAnsi="Times New Roman"/>
                <w:sz w:val="13"/>
                <w:szCs w:val="13"/>
                <w:color w:val="auto"/>
              </w:rPr>
              <w:t>Expense relating to leases of low value assets</w:t>
            </w:r>
          </w:p>
        </w:tc>
        <w:tc>
          <w:tcPr>
            <w:tcW w:w="68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1,031</w:t>
            </w:r>
          </w:p>
        </w:tc>
        <w:tc>
          <w:tcPr>
            <w:tcW w:w="940" w:type="dxa"/>
            <w:vAlign w:val="bottom"/>
            <w:gridSpan w:val="4"/>
          </w:tcPr>
          <w:p>
            <w:pPr>
              <w:jc w:val="right"/>
              <w:ind w:right="300"/>
              <w:spacing w:after="0"/>
              <w:rPr>
                <w:sz w:val="20"/>
                <w:szCs w:val="20"/>
                <w:color w:val="auto"/>
              </w:rPr>
            </w:pPr>
            <w:r>
              <w:rPr>
                <w:rFonts w:ascii="Times New Roman" w:cs="Times New Roman" w:eastAsia="Times New Roman" w:hAnsi="Times New Roman"/>
                <w:sz w:val="13"/>
                <w:szCs w:val="13"/>
                <w:color w:val="auto"/>
              </w:rPr>
              <w:t>1,103</w:t>
            </w:r>
          </w:p>
        </w:tc>
        <w:tc>
          <w:tcPr>
            <w:tcW w:w="680" w:type="dxa"/>
            <w:vAlign w:val="bottom"/>
            <w:gridSpan w:val="3"/>
          </w:tcPr>
          <w:p>
            <w:pPr>
              <w:jc w:val="right"/>
              <w:ind w:right="200"/>
              <w:spacing w:after="0"/>
              <w:rPr>
                <w:sz w:val="20"/>
                <w:szCs w:val="20"/>
                <w:color w:val="auto"/>
              </w:rPr>
            </w:pPr>
            <w:r>
              <w:rPr>
                <w:rFonts w:ascii="Times New Roman" w:cs="Times New Roman" w:eastAsia="Times New Roman" w:hAnsi="Times New Roman"/>
                <w:sz w:val="13"/>
                <w:szCs w:val="13"/>
                <w:color w:val="auto"/>
              </w:rPr>
              <w:t>2,942</w:t>
            </w:r>
          </w:p>
        </w:tc>
        <w:tc>
          <w:tcPr>
            <w:tcW w:w="100" w:type="dxa"/>
            <w:vAlign w:val="bottom"/>
          </w:tcPr>
          <w:p>
            <w:pPr>
              <w:spacing w:after="0"/>
              <w:rPr>
                <w:sz w:val="13"/>
                <w:szCs w:val="13"/>
                <w:color w:val="auto"/>
              </w:rPr>
            </w:pPr>
          </w:p>
        </w:tc>
        <w:tc>
          <w:tcPr>
            <w:tcW w:w="56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3,139</w:t>
            </w:r>
          </w:p>
        </w:tc>
      </w:tr>
      <w:tr>
        <w:trPr>
          <w:trHeight w:val="152"/>
        </w:trPr>
        <w:tc>
          <w:tcPr>
            <w:tcW w:w="320" w:type="dxa"/>
            <w:vAlign w:val="bottom"/>
          </w:tcPr>
          <w:p>
            <w:pPr>
              <w:spacing w:after="0"/>
              <w:rPr>
                <w:sz w:val="13"/>
                <w:szCs w:val="13"/>
                <w:color w:val="auto"/>
              </w:rPr>
            </w:pPr>
          </w:p>
        </w:tc>
        <w:tc>
          <w:tcPr>
            <w:tcW w:w="414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3"/>
                <w:szCs w:val="13"/>
                <w:color w:val="auto"/>
              </w:rPr>
              <w:t>Interest expense on leases</w:t>
            </w:r>
          </w:p>
        </w:tc>
        <w:tc>
          <w:tcPr>
            <w:tcW w:w="68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698</w:t>
            </w:r>
          </w:p>
        </w:tc>
        <w:tc>
          <w:tcPr>
            <w:tcW w:w="940" w:type="dxa"/>
            <w:vAlign w:val="bottom"/>
            <w:gridSpan w:val="4"/>
            <w:shd w:val="clear" w:color="auto" w:fill="CCEEFF"/>
          </w:tcPr>
          <w:p>
            <w:pPr>
              <w:jc w:val="right"/>
              <w:ind w:right="300"/>
              <w:spacing w:after="0"/>
              <w:rPr>
                <w:sz w:val="20"/>
                <w:szCs w:val="20"/>
                <w:color w:val="auto"/>
              </w:rPr>
            </w:pPr>
            <w:r>
              <w:rPr>
                <w:rFonts w:ascii="Times New Roman" w:cs="Times New Roman" w:eastAsia="Times New Roman" w:hAnsi="Times New Roman"/>
                <w:sz w:val="13"/>
                <w:szCs w:val="13"/>
                <w:color w:val="auto"/>
              </w:rPr>
              <w:t>540</w:t>
            </w:r>
          </w:p>
        </w:tc>
        <w:tc>
          <w:tcPr>
            <w:tcW w:w="680" w:type="dxa"/>
            <w:vAlign w:val="bottom"/>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3"/>
                <w:szCs w:val="13"/>
                <w:color w:val="auto"/>
              </w:rPr>
              <w:t>2,398</w:t>
            </w:r>
          </w:p>
        </w:tc>
        <w:tc>
          <w:tcPr>
            <w:tcW w:w="100" w:type="dxa"/>
            <w:vAlign w:val="bottom"/>
            <w:tcBorders>
              <w:left w:val="single" w:sz="8" w:color="CCEEFF"/>
            </w:tcBorders>
            <w:shd w:val="clear" w:color="auto" w:fill="CCEEFF"/>
          </w:tcPr>
          <w:p>
            <w:pPr>
              <w:spacing w:after="0"/>
              <w:rPr>
                <w:sz w:val="13"/>
                <w:szCs w:val="13"/>
                <w:color w:val="auto"/>
              </w:rPr>
            </w:pPr>
          </w:p>
        </w:tc>
        <w:tc>
          <w:tcPr>
            <w:tcW w:w="56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1,689</w:t>
            </w:r>
          </w:p>
        </w:tc>
      </w:tr>
      <w:tr>
        <w:trPr>
          <w:trHeight w:val="165"/>
        </w:trPr>
        <w:tc>
          <w:tcPr>
            <w:tcW w:w="320" w:type="dxa"/>
            <w:vAlign w:val="bottom"/>
          </w:tcPr>
          <w:p>
            <w:pPr>
              <w:spacing w:after="0"/>
              <w:rPr>
                <w:sz w:val="14"/>
                <w:szCs w:val="14"/>
                <w:color w:val="auto"/>
              </w:rPr>
            </w:pPr>
          </w:p>
        </w:tc>
        <w:tc>
          <w:tcPr>
            <w:tcW w:w="4140" w:type="dxa"/>
            <w:vAlign w:val="bottom"/>
            <w:gridSpan w:val="2"/>
          </w:tcPr>
          <w:p>
            <w:pPr>
              <w:spacing w:after="0"/>
              <w:rPr>
                <w:sz w:val="20"/>
                <w:szCs w:val="20"/>
                <w:color w:val="auto"/>
              </w:rPr>
            </w:pPr>
            <w:r>
              <w:rPr>
                <w:rFonts w:ascii="Times New Roman" w:cs="Times New Roman" w:eastAsia="Times New Roman" w:hAnsi="Times New Roman"/>
                <w:sz w:val="13"/>
                <w:szCs w:val="13"/>
                <w:color w:val="auto"/>
              </w:rPr>
              <w:t>Income from sub-lease right of use assets</w:t>
            </w:r>
          </w:p>
        </w:tc>
        <w:tc>
          <w:tcPr>
            <w:tcW w:w="68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274</w:t>
            </w:r>
          </w:p>
        </w:tc>
        <w:tc>
          <w:tcPr>
            <w:tcW w:w="940" w:type="dxa"/>
            <w:vAlign w:val="bottom"/>
            <w:gridSpan w:val="4"/>
          </w:tcPr>
          <w:p>
            <w:pPr>
              <w:jc w:val="right"/>
              <w:ind w:right="300"/>
              <w:spacing w:after="0"/>
              <w:rPr>
                <w:sz w:val="20"/>
                <w:szCs w:val="20"/>
                <w:color w:val="auto"/>
              </w:rPr>
            </w:pPr>
            <w:r>
              <w:rPr>
                <w:rFonts w:ascii="Times New Roman" w:cs="Times New Roman" w:eastAsia="Times New Roman" w:hAnsi="Times New Roman"/>
                <w:sz w:val="13"/>
                <w:szCs w:val="13"/>
                <w:color w:val="auto"/>
              </w:rPr>
              <w:t>234</w:t>
            </w:r>
          </w:p>
        </w:tc>
        <w:tc>
          <w:tcPr>
            <w:tcW w:w="680" w:type="dxa"/>
            <w:vAlign w:val="bottom"/>
            <w:gridSpan w:val="3"/>
          </w:tcPr>
          <w:p>
            <w:pPr>
              <w:jc w:val="right"/>
              <w:ind w:right="200"/>
              <w:spacing w:after="0"/>
              <w:rPr>
                <w:sz w:val="20"/>
                <w:szCs w:val="20"/>
                <w:color w:val="auto"/>
              </w:rPr>
            </w:pPr>
            <w:r>
              <w:rPr>
                <w:rFonts w:ascii="Times New Roman" w:cs="Times New Roman" w:eastAsia="Times New Roman" w:hAnsi="Times New Roman"/>
                <w:sz w:val="13"/>
                <w:szCs w:val="13"/>
                <w:color w:val="auto"/>
              </w:rPr>
              <w:t>889</w:t>
            </w:r>
          </w:p>
        </w:tc>
        <w:tc>
          <w:tcPr>
            <w:tcW w:w="100" w:type="dxa"/>
            <w:vAlign w:val="bottom"/>
          </w:tcPr>
          <w:p>
            <w:pPr>
              <w:spacing w:after="0"/>
              <w:rPr>
                <w:sz w:val="14"/>
                <w:szCs w:val="14"/>
                <w:color w:val="auto"/>
              </w:rPr>
            </w:pPr>
          </w:p>
        </w:tc>
        <w:tc>
          <w:tcPr>
            <w:tcW w:w="56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234</w:t>
            </w:r>
          </w:p>
        </w:tc>
      </w:tr>
      <w:tr>
        <w:trPr>
          <w:trHeight w:val="290"/>
        </w:trPr>
        <w:tc>
          <w:tcPr>
            <w:tcW w:w="4460" w:type="dxa"/>
            <w:vAlign w:val="bottom"/>
            <w:gridSpan w:val="3"/>
          </w:tcPr>
          <w:p>
            <w:pPr>
              <w:spacing w:after="0"/>
              <w:rPr>
                <w:sz w:val="20"/>
                <w:szCs w:val="20"/>
                <w:color w:val="auto"/>
              </w:rPr>
            </w:pPr>
            <w:r>
              <w:rPr>
                <w:rFonts w:ascii="Times New Roman" w:cs="Times New Roman" w:eastAsia="Times New Roman" w:hAnsi="Times New Roman"/>
                <w:sz w:val="13"/>
                <w:szCs w:val="13"/>
                <w:color w:val="auto"/>
              </w:rPr>
              <w:t>The current and non-current portion of the Group’s lease liabilities are as follows:</w:t>
            </w:r>
          </w:p>
        </w:tc>
        <w:tc>
          <w:tcPr>
            <w:tcW w:w="5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0" w:type="dxa"/>
            <w:vAlign w:val="bottom"/>
          </w:tcPr>
          <w:p>
            <w:pPr>
              <w:spacing w:after="0"/>
              <w:rPr>
                <w:sz w:val="24"/>
                <w:szCs w:val="24"/>
                <w:color w:val="auto"/>
              </w:rPr>
            </w:pPr>
          </w:p>
        </w:tc>
      </w:tr>
      <w:tr>
        <w:trPr>
          <w:trHeight w:val="258"/>
        </w:trPr>
        <w:tc>
          <w:tcPr>
            <w:tcW w:w="32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354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20" w:type="dxa"/>
            <w:vAlign w:val="bottom"/>
            <w:gridSpan w:val="3"/>
          </w:tcPr>
          <w:p>
            <w:pPr>
              <w:jc w:val="center"/>
              <w:ind w:right="440"/>
              <w:spacing w:after="0"/>
              <w:rPr>
                <w:sz w:val="20"/>
                <w:szCs w:val="20"/>
                <w:color w:val="auto"/>
              </w:rPr>
            </w:pPr>
            <w:r>
              <w:rPr>
                <w:rFonts w:ascii="Times New Roman" w:cs="Times New Roman" w:eastAsia="Times New Roman" w:hAnsi="Times New Roman"/>
                <w:sz w:val="10"/>
                <w:szCs w:val="10"/>
                <w:b w:val="1"/>
                <w:bCs w:val="1"/>
                <w:color w:val="auto"/>
              </w:rPr>
              <w:t>As of</w:t>
            </w:r>
          </w:p>
        </w:tc>
        <w:tc>
          <w:tcPr>
            <w:tcW w:w="100" w:type="dxa"/>
            <w:vAlign w:val="bottom"/>
          </w:tcPr>
          <w:p>
            <w:pPr>
              <w:spacing w:after="0"/>
              <w:rPr>
                <w:sz w:val="22"/>
                <w:szCs w:val="22"/>
                <w:color w:val="auto"/>
              </w:rPr>
            </w:pPr>
          </w:p>
        </w:tc>
        <w:tc>
          <w:tcPr>
            <w:tcW w:w="680" w:type="dxa"/>
            <w:vAlign w:val="bottom"/>
            <w:gridSpan w:val="3"/>
          </w:tcPr>
          <w:p>
            <w:pPr>
              <w:jc w:val="center"/>
              <w:ind w:right="100"/>
              <w:spacing w:after="0"/>
              <w:rPr>
                <w:sz w:val="20"/>
                <w:szCs w:val="20"/>
                <w:color w:val="auto"/>
              </w:rPr>
            </w:pPr>
            <w:r>
              <w:rPr>
                <w:rFonts w:ascii="Times New Roman" w:cs="Times New Roman" w:eastAsia="Times New Roman" w:hAnsi="Times New Roman"/>
                <w:sz w:val="10"/>
                <w:szCs w:val="10"/>
                <w:b w:val="1"/>
                <w:bCs w:val="1"/>
                <w:color w:val="auto"/>
              </w:rPr>
              <w:t>As of</w:t>
            </w:r>
          </w:p>
        </w:tc>
        <w:tc>
          <w:tcPr>
            <w:tcW w:w="520" w:type="dxa"/>
            <w:vAlign w:val="bottom"/>
          </w:tcPr>
          <w:p>
            <w:pPr>
              <w:spacing w:after="0"/>
              <w:rPr>
                <w:sz w:val="22"/>
                <w:szCs w:val="22"/>
                <w:color w:val="auto"/>
              </w:rPr>
            </w:pPr>
          </w:p>
        </w:tc>
        <w:tc>
          <w:tcPr>
            <w:tcW w:w="40" w:type="dxa"/>
            <w:vAlign w:val="bottom"/>
          </w:tcPr>
          <w:p>
            <w:pPr>
              <w:spacing w:after="0"/>
              <w:rPr>
                <w:sz w:val="22"/>
                <w:szCs w:val="22"/>
                <w:color w:val="auto"/>
              </w:rPr>
            </w:pPr>
          </w:p>
        </w:tc>
      </w:tr>
      <w:tr>
        <w:trPr>
          <w:trHeight w:val="104"/>
        </w:trPr>
        <w:tc>
          <w:tcPr>
            <w:tcW w:w="320" w:type="dxa"/>
            <w:vAlign w:val="bottom"/>
          </w:tcPr>
          <w:p>
            <w:pPr>
              <w:spacing w:after="0"/>
              <w:rPr>
                <w:sz w:val="9"/>
                <w:szCs w:val="9"/>
                <w:color w:val="auto"/>
              </w:rPr>
            </w:pPr>
          </w:p>
        </w:tc>
        <w:tc>
          <w:tcPr>
            <w:tcW w:w="600" w:type="dxa"/>
            <w:vAlign w:val="bottom"/>
          </w:tcPr>
          <w:p>
            <w:pPr>
              <w:spacing w:after="0"/>
              <w:rPr>
                <w:sz w:val="9"/>
                <w:szCs w:val="9"/>
                <w:color w:val="auto"/>
              </w:rPr>
            </w:pPr>
          </w:p>
        </w:tc>
        <w:tc>
          <w:tcPr>
            <w:tcW w:w="3540" w:type="dxa"/>
            <w:vAlign w:val="bottom"/>
          </w:tcPr>
          <w:p>
            <w:pPr>
              <w:spacing w:after="0"/>
              <w:rPr>
                <w:sz w:val="9"/>
                <w:szCs w:val="9"/>
                <w:color w:val="auto"/>
              </w:rPr>
            </w:pPr>
          </w:p>
        </w:tc>
        <w:tc>
          <w:tcPr>
            <w:tcW w:w="500" w:type="dxa"/>
            <w:vAlign w:val="bottom"/>
          </w:tcPr>
          <w:p>
            <w:pPr>
              <w:spacing w:after="0"/>
              <w:rPr>
                <w:sz w:val="9"/>
                <w:szCs w:val="9"/>
                <w:color w:val="auto"/>
              </w:rPr>
            </w:pPr>
          </w:p>
        </w:tc>
        <w:tc>
          <w:tcPr>
            <w:tcW w:w="180" w:type="dxa"/>
            <w:vAlign w:val="bottom"/>
          </w:tcPr>
          <w:p>
            <w:pPr>
              <w:spacing w:after="0"/>
              <w:rPr>
                <w:sz w:val="9"/>
                <w:szCs w:val="9"/>
                <w:color w:val="auto"/>
              </w:rPr>
            </w:pPr>
          </w:p>
        </w:tc>
        <w:tc>
          <w:tcPr>
            <w:tcW w:w="940" w:type="dxa"/>
            <w:vAlign w:val="bottom"/>
            <w:gridSpan w:val="4"/>
          </w:tcPr>
          <w:p>
            <w:pPr>
              <w:jc w:val="center"/>
              <w:ind w:right="320"/>
              <w:spacing w:after="0" w:line="104" w:lineRule="exact"/>
              <w:rPr>
                <w:sz w:val="20"/>
                <w:szCs w:val="20"/>
                <w:color w:val="auto"/>
              </w:rPr>
            </w:pPr>
            <w:r>
              <w:rPr>
                <w:rFonts w:ascii="Times New Roman" w:cs="Times New Roman" w:eastAsia="Times New Roman" w:hAnsi="Times New Roman"/>
                <w:sz w:val="10"/>
                <w:szCs w:val="10"/>
                <w:b w:val="1"/>
                <w:bCs w:val="1"/>
                <w:color w:val="auto"/>
              </w:rPr>
              <w:t>September 30,</w:t>
            </w:r>
          </w:p>
        </w:tc>
        <w:tc>
          <w:tcPr>
            <w:tcW w:w="100" w:type="dxa"/>
            <w:vAlign w:val="bottom"/>
          </w:tcPr>
          <w:p>
            <w:pPr>
              <w:spacing w:after="0"/>
              <w:rPr>
                <w:sz w:val="9"/>
                <w:szCs w:val="9"/>
                <w:color w:val="auto"/>
              </w:rPr>
            </w:pPr>
          </w:p>
        </w:tc>
        <w:tc>
          <w:tcPr>
            <w:tcW w:w="680" w:type="dxa"/>
            <w:vAlign w:val="bottom"/>
            <w:gridSpan w:val="3"/>
          </w:tcPr>
          <w:p>
            <w:pPr>
              <w:jc w:val="center"/>
              <w:ind w:right="100"/>
              <w:spacing w:after="0" w:line="104" w:lineRule="exact"/>
              <w:rPr>
                <w:sz w:val="20"/>
                <w:szCs w:val="20"/>
                <w:color w:val="auto"/>
              </w:rPr>
            </w:pPr>
            <w:r>
              <w:rPr>
                <w:rFonts w:ascii="Times New Roman" w:cs="Times New Roman" w:eastAsia="Times New Roman" w:hAnsi="Times New Roman"/>
                <w:sz w:val="10"/>
                <w:szCs w:val="10"/>
                <w:b w:val="1"/>
                <w:bCs w:val="1"/>
                <w:color w:val="auto"/>
                <w:w w:val="99"/>
              </w:rPr>
              <w:t>December 31,</w:t>
            </w:r>
          </w:p>
        </w:tc>
        <w:tc>
          <w:tcPr>
            <w:tcW w:w="520" w:type="dxa"/>
            <w:vAlign w:val="bottom"/>
          </w:tcPr>
          <w:p>
            <w:pPr>
              <w:spacing w:after="0"/>
              <w:rPr>
                <w:sz w:val="9"/>
                <w:szCs w:val="9"/>
                <w:color w:val="auto"/>
              </w:rPr>
            </w:pPr>
          </w:p>
        </w:tc>
        <w:tc>
          <w:tcPr>
            <w:tcW w:w="40" w:type="dxa"/>
            <w:vAlign w:val="bottom"/>
          </w:tcPr>
          <w:p>
            <w:pPr>
              <w:spacing w:after="0"/>
              <w:rPr>
                <w:sz w:val="9"/>
                <w:szCs w:val="9"/>
                <w:color w:val="auto"/>
              </w:rPr>
            </w:pPr>
          </w:p>
        </w:tc>
      </w:tr>
      <w:tr>
        <w:trPr>
          <w:trHeight w:val="121"/>
        </w:trPr>
        <w:tc>
          <w:tcPr>
            <w:tcW w:w="32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354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620" w:type="dxa"/>
            <w:vAlign w:val="bottom"/>
            <w:gridSpan w:val="2"/>
          </w:tcPr>
          <w:p>
            <w:pPr>
              <w:jc w:val="center"/>
              <w:spacing w:after="0"/>
              <w:rPr>
                <w:sz w:val="20"/>
                <w:szCs w:val="20"/>
                <w:color w:val="auto"/>
              </w:rPr>
            </w:pPr>
            <w:r>
              <w:rPr>
                <w:rFonts w:ascii="Times New Roman" w:cs="Times New Roman" w:eastAsia="Times New Roman" w:hAnsi="Times New Roman"/>
                <w:sz w:val="10"/>
                <w:szCs w:val="10"/>
                <w:b w:val="1"/>
                <w:bCs w:val="1"/>
                <w:color w:val="auto"/>
                <w:w w:val="99"/>
              </w:rPr>
              <w:t>2022</w:t>
            </w:r>
          </w:p>
        </w:tc>
        <w:tc>
          <w:tcPr>
            <w:tcW w:w="2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680" w:type="dxa"/>
            <w:vAlign w:val="bottom"/>
            <w:gridSpan w:val="3"/>
          </w:tcPr>
          <w:p>
            <w:pPr>
              <w:jc w:val="right"/>
              <w:ind w:right="180"/>
              <w:spacing w:after="0"/>
              <w:rPr>
                <w:sz w:val="20"/>
                <w:szCs w:val="20"/>
                <w:color w:val="auto"/>
              </w:rPr>
            </w:pPr>
            <w:r>
              <w:rPr>
                <w:rFonts w:ascii="Times New Roman" w:cs="Times New Roman" w:eastAsia="Times New Roman" w:hAnsi="Times New Roman"/>
                <w:sz w:val="10"/>
                <w:szCs w:val="10"/>
                <w:b w:val="1"/>
                <w:bCs w:val="1"/>
                <w:color w:val="auto"/>
              </w:rPr>
              <w:t>2021</w:t>
            </w:r>
          </w:p>
        </w:tc>
        <w:tc>
          <w:tcPr>
            <w:tcW w:w="10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40" w:type="dxa"/>
            <w:vAlign w:val="bottom"/>
          </w:tcPr>
          <w:p>
            <w:pPr>
              <w:spacing w:after="0"/>
              <w:rPr>
                <w:sz w:val="10"/>
                <w:szCs w:val="10"/>
                <w:color w:val="auto"/>
              </w:rPr>
            </w:pPr>
          </w:p>
        </w:tc>
      </w:tr>
      <w:tr>
        <w:trPr>
          <w:trHeight w:val="141"/>
        </w:trPr>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3540" w:type="dxa"/>
            <w:vAlign w:val="bottom"/>
            <w:tcBorders>
              <w:top w:val="single" w:sz="8" w:color="CCEEFF"/>
            </w:tcBorders>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Current lease liability</w:t>
            </w:r>
          </w:p>
        </w:tc>
        <w:tc>
          <w:tcPr>
            <w:tcW w:w="50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CCEEFF"/>
            </w:tcBorders>
            <w:shd w:val="clear" w:color="auto" w:fill="CCEEFF"/>
          </w:tcPr>
          <w:p>
            <w:pPr>
              <w:spacing w:after="0"/>
              <w:rPr>
                <w:sz w:val="12"/>
                <w:szCs w:val="12"/>
                <w:color w:val="auto"/>
              </w:rPr>
            </w:pPr>
          </w:p>
        </w:tc>
        <w:tc>
          <w:tcPr>
            <w:tcW w:w="620" w:type="dxa"/>
            <w:vAlign w:val="bottom"/>
            <w:tcBorders>
              <w:top w:val="single" w:sz="8" w:color="auto"/>
            </w:tcBorders>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16,936</w:t>
            </w:r>
          </w:p>
        </w:tc>
        <w:tc>
          <w:tcPr>
            <w:tcW w:w="20" w:type="dxa"/>
            <w:vAlign w:val="bottom"/>
            <w:tcBorders>
              <w:top w:val="single" w:sz="8" w:color="CCEEFF"/>
            </w:tcBorders>
            <w:shd w:val="clear" w:color="auto" w:fill="CCEEFF"/>
          </w:tcPr>
          <w:p>
            <w:pPr>
              <w:spacing w:after="0"/>
              <w:rPr>
                <w:sz w:val="12"/>
                <w:szCs w:val="12"/>
                <w:color w:val="auto"/>
              </w:rPr>
            </w:pPr>
          </w:p>
        </w:tc>
        <w:tc>
          <w:tcPr>
            <w:tcW w:w="30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580" w:type="dxa"/>
            <w:vAlign w:val="bottom"/>
            <w:tcBorders>
              <w:top w:val="single" w:sz="8" w:color="auto"/>
            </w:tcBorders>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10,250</w:t>
            </w:r>
          </w:p>
        </w:tc>
        <w:tc>
          <w:tcPr>
            <w:tcW w:w="100" w:type="dxa"/>
            <w:vAlign w:val="bottom"/>
            <w:tcBorders>
              <w:left w:val="single" w:sz="8" w:color="CCEEFF"/>
            </w:tcBorders>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r>
      <w:tr>
        <w:trPr>
          <w:trHeight w:val="152"/>
        </w:trPr>
        <w:tc>
          <w:tcPr>
            <w:tcW w:w="3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3540" w:type="dxa"/>
            <w:vAlign w:val="bottom"/>
          </w:tcPr>
          <w:p>
            <w:pPr>
              <w:spacing w:after="0"/>
              <w:rPr>
                <w:sz w:val="20"/>
                <w:szCs w:val="20"/>
                <w:color w:val="auto"/>
              </w:rPr>
            </w:pPr>
            <w:r>
              <w:rPr>
                <w:rFonts w:ascii="Times New Roman" w:cs="Times New Roman" w:eastAsia="Times New Roman" w:hAnsi="Times New Roman"/>
                <w:sz w:val="13"/>
                <w:szCs w:val="13"/>
                <w:color w:val="auto"/>
              </w:rPr>
              <w:t>Non-current lease liability</w:t>
            </w:r>
          </w:p>
        </w:tc>
        <w:tc>
          <w:tcPr>
            <w:tcW w:w="5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61,992</w:t>
            </w:r>
          </w:p>
        </w:tc>
        <w:tc>
          <w:tcPr>
            <w:tcW w:w="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66,575</w:t>
            </w:r>
          </w:p>
        </w:tc>
        <w:tc>
          <w:tcPr>
            <w:tcW w:w="10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40" w:type="dxa"/>
            <w:vAlign w:val="bottom"/>
          </w:tcPr>
          <w:p>
            <w:pPr>
              <w:spacing w:after="0"/>
              <w:rPr>
                <w:sz w:val="13"/>
                <w:szCs w:val="13"/>
                <w:color w:val="auto"/>
              </w:rPr>
            </w:pPr>
          </w:p>
        </w:tc>
      </w:tr>
      <w:tr>
        <w:trPr>
          <w:trHeight w:val="20"/>
        </w:trPr>
        <w:tc>
          <w:tcPr>
            <w:tcW w:w="32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35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151"/>
        </w:trPr>
        <w:tc>
          <w:tcPr>
            <w:tcW w:w="3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35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Total</w:t>
            </w:r>
          </w:p>
        </w:tc>
        <w:tc>
          <w:tcPr>
            <w:tcW w:w="50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78,928</w:t>
            </w:r>
          </w:p>
        </w:tc>
        <w:tc>
          <w:tcPr>
            <w:tcW w:w="2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76,825</w:t>
            </w:r>
          </w:p>
        </w:tc>
        <w:tc>
          <w:tcPr>
            <w:tcW w:w="100" w:type="dxa"/>
            <w:vAlign w:val="bottom"/>
            <w:tcBorders>
              <w:left w:val="single" w:sz="8" w:color="CCEEFF"/>
            </w:tcBorders>
          </w:tcPr>
          <w:p>
            <w:pPr>
              <w:spacing w:after="0"/>
              <w:rPr>
                <w:sz w:val="13"/>
                <w:szCs w:val="13"/>
                <w:color w:val="auto"/>
              </w:rPr>
            </w:pPr>
          </w:p>
        </w:tc>
        <w:tc>
          <w:tcPr>
            <w:tcW w:w="520" w:type="dxa"/>
            <w:vAlign w:val="bottom"/>
          </w:tcPr>
          <w:p>
            <w:pPr>
              <w:spacing w:after="0"/>
              <w:rPr>
                <w:sz w:val="13"/>
                <w:szCs w:val="13"/>
                <w:color w:val="auto"/>
              </w:rPr>
            </w:pPr>
          </w:p>
        </w:tc>
        <w:tc>
          <w:tcPr>
            <w:tcW w:w="40" w:type="dxa"/>
            <w:vAlign w:val="bottom"/>
          </w:tcPr>
          <w:p>
            <w:pPr>
              <w:spacing w:after="0"/>
              <w:rPr>
                <w:sz w:val="13"/>
                <w:szCs w:val="13"/>
                <w:color w:val="auto"/>
              </w:rPr>
            </w:pPr>
          </w:p>
        </w:tc>
      </w:tr>
      <w:tr>
        <w:trPr>
          <w:trHeight w:val="302"/>
        </w:trPr>
        <w:tc>
          <w:tcPr>
            <w:tcW w:w="5140" w:type="dxa"/>
            <w:vAlign w:val="bottom"/>
            <w:gridSpan w:val="5"/>
          </w:tcPr>
          <w:p>
            <w:pPr>
              <w:spacing w:after="0"/>
              <w:rPr>
                <w:sz w:val="20"/>
                <w:szCs w:val="20"/>
                <w:color w:val="auto"/>
              </w:rPr>
            </w:pPr>
            <w:r>
              <w:rPr>
                <w:rFonts w:ascii="Times New Roman" w:cs="Times New Roman" w:eastAsia="Times New Roman" w:hAnsi="Times New Roman"/>
                <w:sz w:val="13"/>
                <w:szCs w:val="13"/>
                <w:color w:val="auto"/>
              </w:rPr>
              <w:t>Expected future lease payments to be made to satisfy the Group’s lease liabilities are as follows:</w:t>
            </w:r>
          </w:p>
        </w:tc>
        <w:tc>
          <w:tcPr>
            <w:tcW w:w="120" w:type="dxa"/>
            <w:vAlign w:val="bottom"/>
            <w:tcBorders>
              <w:top w:val="single" w:sz="8" w:color="auto"/>
            </w:tcBorders>
          </w:tcPr>
          <w:p>
            <w:pPr>
              <w:spacing w:after="0"/>
              <w:rPr>
                <w:sz w:val="24"/>
                <w:szCs w:val="24"/>
                <w:color w:val="auto"/>
              </w:rPr>
            </w:pPr>
          </w:p>
        </w:tc>
        <w:tc>
          <w:tcPr>
            <w:tcW w:w="500" w:type="dxa"/>
            <w:vAlign w:val="bottom"/>
            <w:tcBorders>
              <w:top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80" w:type="dxa"/>
            <w:vAlign w:val="bottom"/>
            <w:tcBorders>
              <w:top w:val="single" w:sz="8" w:color="auto"/>
            </w:tcBorders>
          </w:tcPr>
          <w:p>
            <w:pPr>
              <w:spacing w:after="0"/>
              <w:rPr>
                <w:sz w:val="24"/>
                <w:szCs w:val="24"/>
                <w:color w:val="auto"/>
              </w:rPr>
            </w:pPr>
          </w:p>
        </w:tc>
        <w:tc>
          <w:tcPr>
            <w:tcW w:w="20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0" w:type="dxa"/>
            <w:vAlign w:val="bottom"/>
          </w:tcPr>
          <w:p>
            <w:pPr>
              <w:spacing w:after="0"/>
              <w:rPr>
                <w:sz w:val="24"/>
                <w:szCs w:val="24"/>
                <w:color w:val="auto"/>
              </w:rPr>
            </w:pPr>
          </w:p>
        </w:tc>
      </w:tr>
      <w:tr>
        <w:trPr>
          <w:trHeight w:val="258"/>
        </w:trPr>
        <w:tc>
          <w:tcPr>
            <w:tcW w:w="32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354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20" w:type="dxa"/>
            <w:vAlign w:val="bottom"/>
            <w:gridSpan w:val="3"/>
          </w:tcPr>
          <w:p>
            <w:pPr>
              <w:jc w:val="center"/>
              <w:ind w:right="440"/>
              <w:spacing w:after="0"/>
              <w:rPr>
                <w:sz w:val="20"/>
                <w:szCs w:val="20"/>
                <w:color w:val="auto"/>
              </w:rPr>
            </w:pPr>
            <w:r>
              <w:rPr>
                <w:rFonts w:ascii="Times New Roman" w:cs="Times New Roman" w:eastAsia="Times New Roman" w:hAnsi="Times New Roman"/>
                <w:sz w:val="10"/>
                <w:szCs w:val="10"/>
                <w:b w:val="1"/>
                <w:bCs w:val="1"/>
                <w:color w:val="auto"/>
              </w:rPr>
              <w:t>As of</w:t>
            </w:r>
          </w:p>
        </w:tc>
        <w:tc>
          <w:tcPr>
            <w:tcW w:w="100" w:type="dxa"/>
            <w:vAlign w:val="bottom"/>
          </w:tcPr>
          <w:p>
            <w:pPr>
              <w:spacing w:after="0"/>
              <w:rPr>
                <w:sz w:val="22"/>
                <w:szCs w:val="22"/>
                <w:color w:val="auto"/>
              </w:rPr>
            </w:pPr>
          </w:p>
        </w:tc>
        <w:tc>
          <w:tcPr>
            <w:tcW w:w="680" w:type="dxa"/>
            <w:vAlign w:val="bottom"/>
            <w:gridSpan w:val="3"/>
          </w:tcPr>
          <w:p>
            <w:pPr>
              <w:jc w:val="center"/>
              <w:ind w:right="100"/>
              <w:spacing w:after="0"/>
              <w:rPr>
                <w:sz w:val="20"/>
                <w:szCs w:val="20"/>
                <w:color w:val="auto"/>
              </w:rPr>
            </w:pPr>
            <w:r>
              <w:rPr>
                <w:rFonts w:ascii="Times New Roman" w:cs="Times New Roman" w:eastAsia="Times New Roman" w:hAnsi="Times New Roman"/>
                <w:sz w:val="10"/>
                <w:szCs w:val="10"/>
                <w:b w:val="1"/>
                <w:bCs w:val="1"/>
                <w:color w:val="auto"/>
              </w:rPr>
              <w:t>As of</w:t>
            </w:r>
          </w:p>
        </w:tc>
        <w:tc>
          <w:tcPr>
            <w:tcW w:w="520" w:type="dxa"/>
            <w:vAlign w:val="bottom"/>
          </w:tcPr>
          <w:p>
            <w:pPr>
              <w:spacing w:after="0"/>
              <w:rPr>
                <w:sz w:val="22"/>
                <w:szCs w:val="22"/>
                <w:color w:val="auto"/>
              </w:rPr>
            </w:pPr>
          </w:p>
        </w:tc>
        <w:tc>
          <w:tcPr>
            <w:tcW w:w="40" w:type="dxa"/>
            <w:vAlign w:val="bottom"/>
          </w:tcPr>
          <w:p>
            <w:pPr>
              <w:spacing w:after="0"/>
              <w:rPr>
                <w:sz w:val="22"/>
                <w:szCs w:val="22"/>
                <w:color w:val="auto"/>
              </w:rPr>
            </w:pPr>
          </w:p>
        </w:tc>
      </w:tr>
      <w:tr>
        <w:trPr>
          <w:trHeight w:val="104"/>
        </w:trPr>
        <w:tc>
          <w:tcPr>
            <w:tcW w:w="320" w:type="dxa"/>
            <w:vAlign w:val="bottom"/>
          </w:tcPr>
          <w:p>
            <w:pPr>
              <w:spacing w:after="0"/>
              <w:rPr>
                <w:sz w:val="9"/>
                <w:szCs w:val="9"/>
                <w:color w:val="auto"/>
              </w:rPr>
            </w:pPr>
          </w:p>
        </w:tc>
        <w:tc>
          <w:tcPr>
            <w:tcW w:w="600" w:type="dxa"/>
            <w:vAlign w:val="bottom"/>
          </w:tcPr>
          <w:p>
            <w:pPr>
              <w:spacing w:after="0"/>
              <w:rPr>
                <w:sz w:val="9"/>
                <w:szCs w:val="9"/>
                <w:color w:val="auto"/>
              </w:rPr>
            </w:pPr>
          </w:p>
        </w:tc>
        <w:tc>
          <w:tcPr>
            <w:tcW w:w="3540" w:type="dxa"/>
            <w:vAlign w:val="bottom"/>
          </w:tcPr>
          <w:p>
            <w:pPr>
              <w:spacing w:after="0"/>
              <w:rPr>
                <w:sz w:val="9"/>
                <w:szCs w:val="9"/>
                <w:color w:val="auto"/>
              </w:rPr>
            </w:pPr>
          </w:p>
        </w:tc>
        <w:tc>
          <w:tcPr>
            <w:tcW w:w="500" w:type="dxa"/>
            <w:vAlign w:val="bottom"/>
          </w:tcPr>
          <w:p>
            <w:pPr>
              <w:spacing w:after="0"/>
              <w:rPr>
                <w:sz w:val="9"/>
                <w:szCs w:val="9"/>
                <w:color w:val="auto"/>
              </w:rPr>
            </w:pPr>
          </w:p>
        </w:tc>
        <w:tc>
          <w:tcPr>
            <w:tcW w:w="180" w:type="dxa"/>
            <w:vAlign w:val="bottom"/>
          </w:tcPr>
          <w:p>
            <w:pPr>
              <w:spacing w:after="0"/>
              <w:rPr>
                <w:sz w:val="9"/>
                <w:szCs w:val="9"/>
                <w:color w:val="auto"/>
              </w:rPr>
            </w:pPr>
          </w:p>
        </w:tc>
        <w:tc>
          <w:tcPr>
            <w:tcW w:w="940" w:type="dxa"/>
            <w:vAlign w:val="bottom"/>
            <w:gridSpan w:val="4"/>
          </w:tcPr>
          <w:p>
            <w:pPr>
              <w:jc w:val="center"/>
              <w:ind w:right="320"/>
              <w:spacing w:after="0" w:line="104" w:lineRule="exact"/>
              <w:rPr>
                <w:sz w:val="20"/>
                <w:szCs w:val="20"/>
                <w:color w:val="auto"/>
              </w:rPr>
            </w:pPr>
            <w:r>
              <w:rPr>
                <w:rFonts w:ascii="Times New Roman" w:cs="Times New Roman" w:eastAsia="Times New Roman" w:hAnsi="Times New Roman"/>
                <w:sz w:val="10"/>
                <w:szCs w:val="10"/>
                <w:b w:val="1"/>
                <w:bCs w:val="1"/>
                <w:color w:val="auto"/>
              </w:rPr>
              <w:t>September 30,</w:t>
            </w:r>
          </w:p>
        </w:tc>
        <w:tc>
          <w:tcPr>
            <w:tcW w:w="100" w:type="dxa"/>
            <w:vAlign w:val="bottom"/>
          </w:tcPr>
          <w:p>
            <w:pPr>
              <w:spacing w:after="0"/>
              <w:rPr>
                <w:sz w:val="9"/>
                <w:szCs w:val="9"/>
                <w:color w:val="auto"/>
              </w:rPr>
            </w:pPr>
          </w:p>
        </w:tc>
        <w:tc>
          <w:tcPr>
            <w:tcW w:w="680" w:type="dxa"/>
            <w:vAlign w:val="bottom"/>
            <w:gridSpan w:val="3"/>
          </w:tcPr>
          <w:p>
            <w:pPr>
              <w:jc w:val="center"/>
              <w:ind w:right="100"/>
              <w:spacing w:after="0" w:line="104" w:lineRule="exact"/>
              <w:rPr>
                <w:sz w:val="20"/>
                <w:szCs w:val="20"/>
                <w:color w:val="auto"/>
              </w:rPr>
            </w:pPr>
            <w:r>
              <w:rPr>
                <w:rFonts w:ascii="Times New Roman" w:cs="Times New Roman" w:eastAsia="Times New Roman" w:hAnsi="Times New Roman"/>
                <w:sz w:val="10"/>
                <w:szCs w:val="10"/>
                <w:b w:val="1"/>
                <w:bCs w:val="1"/>
                <w:color w:val="auto"/>
                <w:w w:val="99"/>
              </w:rPr>
              <w:t>December 31,</w:t>
            </w:r>
          </w:p>
        </w:tc>
        <w:tc>
          <w:tcPr>
            <w:tcW w:w="520" w:type="dxa"/>
            <w:vAlign w:val="bottom"/>
          </w:tcPr>
          <w:p>
            <w:pPr>
              <w:spacing w:after="0"/>
              <w:rPr>
                <w:sz w:val="9"/>
                <w:szCs w:val="9"/>
                <w:color w:val="auto"/>
              </w:rPr>
            </w:pPr>
          </w:p>
        </w:tc>
        <w:tc>
          <w:tcPr>
            <w:tcW w:w="40" w:type="dxa"/>
            <w:vAlign w:val="bottom"/>
          </w:tcPr>
          <w:p>
            <w:pPr>
              <w:spacing w:after="0"/>
              <w:rPr>
                <w:sz w:val="9"/>
                <w:szCs w:val="9"/>
                <w:color w:val="auto"/>
              </w:rPr>
            </w:pPr>
          </w:p>
        </w:tc>
      </w:tr>
      <w:tr>
        <w:trPr>
          <w:trHeight w:val="121"/>
        </w:trPr>
        <w:tc>
          <w:tcPr>
            <w:tcW w:w="32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354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620" w:type="dxa"/>
            <w:vAlign w:val="bottom"/>
            <w:gridSpan w:val="2"/>
          </w:tcPr>
          <w:p>
            <w:pPr>
              <w:jc w:val="center"/>
              <w:spacing w:after="0"/>
              <w:rPr>
                <w:sz w:val="20"/>
                <w:szCs w:val="20"/>
                <w:color w:val="auto"/>
              </w:rPr>
            </w:pPr>
            <w:r>
              <w:rPr>
                <w:rFonts w:ascii="Times New Roman" w:cs="Times New Roman" w:eastAsia="Times New Roman" w:hAnsi="Times New Roman"/>
                <w:sz w:val="10"/>
                <w:szCs w:val="10"/>
                <w:b w:val="1"/>
                <w:bCs w:val="1"/>
                <w:color w:val="auto"/>
                <w:w w:val="99"/>
              </w:rPr>
              <w:t>2022</w:t>
            </w:r>
          </w:p>
        </w:tc>
        <w:tc>
          <w:tcPr>
            <w:tcW w:w="2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680" w:type="dxa"/>
            <w:vAlign w:val="bottom"/>
            <w:gridSpan w:val="3"/>
          </w:tcPr>
          <w:p>
            <w:pPr>
              <w:jc w:val="right"/>
              <w:ind w:right="180"/>
              <w:spacing w:after="0"/>
              <w:rPr>
                <w:sz w:val="20"/>
                <w:szCs w:val="20"/>
                <w:color w:val="auto"/>
              </w:rPr>
            </w:pPr>
            <w:r>
              <w:rPr>
                <w:rFonts w:ascii="Times New Roman" w:cs="Times New Roman" w:eastAsia="Times New Roman" w:hAnsi="Times New Roman"/>
                <w:sz w:val="10"/>
                <w:szCs w:val="10"/>
                <w:b w:val="1"/>
                <w:bCs w:val="1"/>
                <w:color w:val="auto"/>
              </w:rPr>
              <w:t>2021</w:t>
            </w:r>
          </w:p>
        </w:tc>
        <w:tc>
          <w:tcPr>
            <w:tcW w:w="10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40" w:type="dxa"/>
            <w:vAlign w:val="bottom"/>
          </w:tcPr>
          <w:p>
            <w:pPr>
              <w:spacing w:after="0"/>
              <w:rPr>
                <w:sz w:val="10"/>
                <w:szCs w:val="10"/>
                <w:color w:val="auto"/>
              </w:rPr>
            </w:pPr>
          </w:p>
        </w:tc>
      </w:tr>
      <w:tr>
        <w:trPr>
          <w:trHeight w:val="141"/>
        </w:trPr>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3540" w:type="dxa"/>
            <w:vAlign w:val="bottom"/>
            <w:tcBorders>
              <w:top w:val="single" w:sz="8" w:color="CCEEFF"/>
            </w:tcBorders>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Within 1 year</w:t>
            </w:r>
          </w:p>
        </w:tc>
        <w:tc>
          <w:tcPr>
            <w:tcW w:w="50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CCEEFF"/>
            </w:tcBorders>
            <w:shd w:val="clear" w:color="auto" w:fill="CCEEFF"/>
          </w:tcPr>
          <w:p>
            <w:pPr>
              <w:spacing w:after="0"/>
              <w:rPr>
                <w:sz w:val="12"/>
                <w:szCs w:val="12"/>
                <w:color w:val="auto"/>
              </w:rPr>
            </w:pPr>
          </w:p>
        </w:tc>
        <w:tc>
          <w:tcPr>
            <w:tcW w:w="620" w:type="dxa"/>
            <w:vAlign w:val="bottom"/>
            <w:tcBorders>
              <w:top w:val="single" w:sz="8" w:color="auto"/>
            </w:tcBorders>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16,936</w:t>
            </w:r>
          </w:p>
        </w:tc>
        <w:tc>
          <w:tcPr>
            <w:tcW w:w="20" w:type="dxa"/>
            <w:vAlign w:val="bottom"/>
            <w:tcBorders>
              <w:top w:val="single" w:sz="8" w:color="CCEEFF"/>
            </w:tcBorders>
            <w:shd w:val="clear" w:color="auto" w:fill="CCEEFF"/>
          </w:tcPr>
          <w:p>
            <w:pPr>
              <w:spacing w:after="0"/>
              <w:rPr>
                <w:sz w:val="12"/>
                <w:szCs w:val="12"/>
                <w:color w:val="auto"/>
              </w:rPr>
            </w:pPr>
          </w:p>
        </w:tc>
        <w:tc>
          <w:tcPr>
            <w:tcW w:w="30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580" w:type="dxa"/>
            <w:vAlign w:val="bottom"/>
            <w:tcBorders>
              <w:top w:val="single" w:sz="8" w:color="auto"/>
            </w:tcBorders>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10,250</w:t>
            </w:r>
          </w:p>
        </w:tc>
        <w:tc>
          <w:tcPr>
            <w:tcW w:w="100" w:type="dxa"/>
            <w:vAlign w:val="bottom"/>
            <w:tcBorders>
              <w:left w:val="single" w:sz="8" w:color="CCEEFF"/>
            </w:tcBorders>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r>
      <w:tr>
        <w:trPr>
          <w:trHeight w:val="152"/>
        </w:trPr>
        <w:tc>
          <w:tcPr>
            <w:tcW w:w="3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3540" w:type="dxa"/>
            <w:vAlign w:val="bottom"/>
          </w:tcPr>
          <w:p>
            <w:pPr>
              <w:spacing w:after="0"/>
              <w:rPr>
                <w:sz w:val="20"/>
                <w:szCs w:val="20"/>
                <w:color w:val="auto"/>
              </w:rPr>
            </w:pPr>
            <w:r>
              <w:rPr>
                <w:rFonts w:ascii="Times New Roman" w:cs="Times New Roman" w:eastAsia="Times New Roman" w:hAnsi="Times New Roman"/>
                <w:sz w:val="13"/>
                <w:szCs w:val="13"/>
                <w:color w:val="auto"/>
              </w:rPr>
              <w:t>Between 1 and 2 years</w:t>
            </w:r>
          </w:p>
        </w:tc>
        <w:tc>
          <w:tcPr>
            <w:tcW w:w="5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40" w:type="dxa"/>
            <w:vAlign w:val="bottom"/>
            <w:gridSpan w:val="3"/>
          </w:tcPr>
          <w:p>
            <w:pPr>
              <w:jc w:val="right"/>
              <w:ind w:right="20"/>
              <w:spacing w:after="0"/>
              <w:rPr>
                <w:sz w:val="20"/>
                <w:szCs w:val="20"/>
                <w:color w:val="auto"/>
              </w:rPr>
            </w:pPr>
            <w:r>
              <w:rPr>
                <w:rFonts w:ascii="Times New Roman" w:cs="Times New Roman" w:eastAsia="Times New Roman" w:hAnsi="Times New Roman"/>
                <w:sz w:val="13"/>
                <w:szCs w:val="13"/>
                <w:color w:val="auto"/>
              </w:rPr>
              <w:t>18,396</w:t>
            </w:r>
          </w:p>
        </w:tc>
        <w:tc>
          <w:tcPr>
            <w:tcW w:w="300" w:type="dxa"/>
            <w:vAlign w:val="bottom"/>
          </w:tcPr>
          <w:p>
            <w:pPr>
              <w:spacing w:after="0"/>
              <w:rPr>
                <w:sz w:val="13"/>
                <w:szCs w:val="13"/>
                <w:color w:val="auto"/>
              </w:rPr>
            </w:pPr>
          </w:p>
        </w:tc>
        <w:tc>
          <w:tcPr>
            <w:tcW w:w="680" w:type="dxa"/>
            <w:vAlign w:val="bottom"/>
            <w:gridSpan w:val="3"/>
          </w:tcPr>
          <w:p>
            <w:pPr>
              <w:jc w:val="right"/>
              <w:spacing w:after="0"/>
              <w:rPr>
                <w:sz w:val="20"/>
                <w:szCs w:val="20"/>
                <w:color w:val="auto"/>
              </w:rPr>
            </w:pPr>
            <w:r>
              <w:rPr>
                <w:rFonts w:ascii="Times New Roman" w:cs="Times New Roman" w:eastAsia="Times New Roman" w:hAnsi="Times New Roman"/>
                <w:sz w:val="13"/>
                <w:szCs w:val="13"/>
                <w:color w:val="auto"/>
              </w:rPr>
              <w:t>11,715</w:t>
            </w:r>
          </w:p>
        </w:tc>
        <w:tc>
          <w:tcPr>
            <w:tcW w:w="10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40" w:type="dxa"/>
            <w:vAlign w:val="bottom"/>
          </w:tcPr>
          <w:p>
            <w:pPr>
              <w:spacing w:after="0"/>
              <w:rPr>
                <w:sz w:val="13"/>
                <w:szCs w:val="13"/>
                <w:color w:val="auto"/>
              </w:rPr>
            </w:pPr>
          </w:p>
        </w:tc>
      </w:tr>
      <w:tr>
        <w:trPr>
          <w:trHeight w:val="152"/>
        </w:trPr>
        <w:tc>
          <w:tcPr>
            <w:tcW w:w="3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35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Between 2 and 3 years</w:t>
            </w:r>
          </w:p>
        </w:tc>
        <w:tc>
          <w:tcPr>
            <w:tcW w:w="50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40" w:type="dxa"/>
            <w:vAlign w:val="bottom"/>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17,237</w:t>
            </w:r>
          </w:p>
        </w:tc>
        <w:tc>
          <w:tcPr>
            <w:tcW w:w="300" w:type="dxa"/>
            <w:vAlign w:val="bottom"/>
            <w:shd w:val="clear" w:color="auto" w:fill="CCEEFF"/>
          </w:tcPr>
          <w:p>
            <w:pPr>
              <w:spacing w:after="0"/>
              <w:rPr>
                <w:sz w:val="13"/>
                <w:szCs w:val="13"/>
                <w:color w:val="auto"/>
              </w:rPr>
            </w:pPr>
          </w:p>
        </w:tc>
        <w:tc>
          <w:tcPr>
            <w:tcW w:w="6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10,375</w:t>
            </w:r>
          </w:p>
        </w:tc>
        <w:tc>
          <w:tcPr>
            <w:tcW w:w="100" w:type="dxa"/>
            <w:vAlign w:val="bottom"/>
            <w:tcBorders>
              <w:left w:val="single" w:sz="8" w:color="CCEEFF"/>
            </w:tcBorders>
          </w:tcPr>
          <w:p>
            <w:pPr>
              <w:spacing w:after="0"/>
              <w:rPr>
                <w:sz w:val="13"/>
                <w:szCs w:val="13"/>
                <w:color w:val="auto"/>
              </w:rPr>
            </w:pPr>
          </w:p>
        </w:tc>
        <w:tc>
          <w:tcPr>
            <w:tcW w:w="520" w:type="dxa"/>
            <w:vAlign w:val="bottom"/>
          </w:tcPr>
          <w:p>
            <w:pPr>
              <w:spacing w:after="0"/>
              <w:rPr>
                <w:sz w:val="13"/>
                <w:szCs w:val="13"/>
                <w:color w:val="auto"/>
              </w:rPr>
            </w:pPr>
          </w:p>
        </w:tc>
        <w:tc>
          <w:tcPr>
            <w:tcW w:w="40" w:type="dxa"/>
            <w:vAlign w:val="bottom"/>
          </w:tcPr>
          <w:p>
            <w:pPr>
              <w:spacing w:after="0"/>
              <w:rPr>
                <w:sz w:val="13"/>
                <w:szCs w:val="13"/>
                <w:color w:val="auto"/>
              </w:rPr>
            </w:pPr>
          </w:p>
        </w:tc>
      </w:tr>
      <w:tr>
        <w:trPr>
          <w:trHeight w:val="152"/>
        </w:trPr>
        <w:tc>
          <w:tcPr>
            <w:tcW w:w="3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3540" w:type="dxa"/>
            <w:vAlign w:val="bottom"/>
          </w:tcPr>
          <w:p>
            <w:pPr>
              <w:spacing w:after="0"/>
              <w:rPr>
                <w:sz w:val="20"/>
                <w:szCs w:val="20"/>
                <w:color w:val="auto"/>
              </w:rPr>
            </w:pPr>
            <w:r>
              <w:rPr>
                <w:rFonts w:ascii="Times New Roman" w:cs="Times New Roman" w:eastAsia="Times New Roman" w:hAnsi="Times New Roman"/>
                <w:sz w:val="13"/>
                <w:szCs w:val="13"/>
                <w:color w:val="auto"/>
              </w:rPr>
              <w:t>Between 3 and 4 years</w:t>
            </w:r>
          </w:p>
        </w:tc>
        <w:tc>
          <w:tcPr>
            <w:tcW w:w="5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40" w:type="dxa"/>
            <w:vAlign w:val="bottom"/>
            <w:gridSpan w:val="3"/>
          </w:tcPr>
          <w:p>
            <w:pPr>
              <w:jc w:val="right"/>
              <w:ind w:right="20"/>
              <w:spacing w:after="0"/>
              <w:rPr>
                <w:sz w:val="20"/>
                <w:szCs w:val="20"/>
                <w:color w:val="auto"/>
              </w:rPr>
            </w:pPr>
            <w:r>
              <w:rPr>
                <w:rFonts w:ascii="Times New Roman" w:cs="Times New Roman" w:eastAsia="Times New Roman" w:hAnsi="Times New Roman"/>
                <w:sz w:val="13"/>
                <w:szCs w:val="13"/>
                <w:color w:val="auto"/>
              </w:rPr>
              <w:t>8,594</w:t>
            </w:r>
          </w:p>
        </w:tc>
        <w:tc>
          <w:tcPr>
            <w:tcW w:w="300" w:type="dxa"/>
            <w:vAlign w:val="bottom"/>
          </w:tcPr>
          <w:p>
            <w:pPr>
              <w:spacing w:after="0"/>
              <w:rPr>
                <w:sz w:val="13"/>
                <w:szCs w:val="13"/>
                <w:color w:val="auto"/>
              </w:rPr>
            </w:pPr>
          </w:p>
        </w:tc>
        <w:tc>
          <w:tcPr>
            <w:tcW w:w="680" w:type="dxa"/>
            <w:vAlign w:val="bottom"/>
            <w:gridSpan w:val="3"/>
          </w:tcPr>
          <w:p>
            <w:pPr>
              <w:jc w:val="right"/>
              <w:spacing w:after="0"/>
              <w:rPr>
                <w:sz w:val="20"/>
                <w:szCs w:val="20"/>
                <w:color w:val="auto"/>
              </w:rPr>
            </w:pPr>
            <w:r>
              <w:rPr>
                <w:rFonts w:ascii="Times New Roman" w:cs="Times New Roman" w:eastAsia="Times New Roman" w:hAnsi="Times New Roman"/>
                <w:sz w:val="13"/>
                <w:szCs w:val="13"/>
                <w:color w:val="auto"/>
              </w:rPr>
              <w:t>8,596</w:t>
            </w:r>
          </w:p>
        </w:tc>
        <w:tc>
          <w:tcPr>
            <w:tcW w:w="10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40" w:type="dxa"/>
            <w:vAlign w:val="bottom"/>
          </w:tcPr>
          <w:p>
            <w:pPr>
              <w:spacing w:after="0"/>
              <w:rPr>
                <w:sz w:val="13"/>
                <w:szCs w:val="13"/>
                <w:color w:val="auto"/>
              </w:rPr>
            </w:pPr>
          </w:p>
        </w:tc>
      </w:tr>
      <w:tr>
        <w:trPr>
          <w:trHeight w:val="152"/>
        </w:trPr>
        <w:tc>
          <w:tcPr>
            <w:tcW w:w="3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35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Between 4 and 5 years</w:t>
            </w:r>
          </w:p>
        </w:tc>
        <w:tc>
          <w:tcPr>
            <w:tcW w:w="50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40" w:type="dxa"/>
            <w:vAlign w:val="bottom"/>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7,822</w:t>
            </w:r>
          </w:p>
        </w:tc>
        <w:tc>
          <w:tcPr>
            <w:tcW w:w="300" w:type="dxa"/>
            <w:vAlign w:val="bottom"/>
            <w:shd w:val="clear" w:color="auto" w:fill="CCEEFF"/>
          </w:tcPr>
          <w:p>
            <w:pPr>
              <w:spacing w:after="0"/>
              <w:rPr>
                <w:sz w:val="13"/>
                <w:szCs w:val="13"/>
                <w:color w:val="auto"/>
              </w:rPr>
            </w:pPr>
          </w:p>
        </w:tc>
        <w:tc>
          <w:tcPr>
            <w:tcW w:w="6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42,032</w:t>
            </w:r>
          </w:p>
        </w:tc>
        <w:tc>
          <w:tcPr>
            <w:tcW w:w="100" w:type="dxa"/>
            <w:vAlign w:val="bottom"/>
            <w:tcBorders>
              <w:left w:val="single" w:sz="8" w:color="CCEEFF"/>
            </w:tcBorders>
          </w:tcPr>
          <w:p>
            <w:pPr>
              <w:spacing w:after="0"/>
              <w:rPr>
                <w:sz w:val="13"/>
                <w:szCs w:val="13"/>
                <w:color w:val="auto"/>
              </w:rPr>
            </w:pPr>
          </w:p>
        </w:tc>
        <w:tc>
          <w:tcPr>
            <w:tcW w:w="520" w:type="dxa"/>
            <w:vAlign w:val="bottom"/>
          </w:tcPr>
          <w:p>
            <w:pPr>
              <w:spacing w:after="0"/>
              <w:rPr>
                <w:sz w:val="13"/>
                <w:szCs w:val="13"/>
                <w:color w:val="auto"/>
              </w:rPr>
            </w:pPr>
          </w:p>
        </w:tc>
        <w:tc>
          <w:tcPr>
            <w:tcW w:w="40" w:type="dxa"/>
            <w:vAlign w:val="bottom"/>
          </w:tcPr>
          <w:p>
            <w:pPr>
              <w:spacing w:after="0"/>
              <w:rPr>
                <w:sz w:val="13"/>
                <w:szCs w:val="13"/>
                <w:color w:val="auto"/>
              </w:rPr>
            </w:pPr>
          </w:p>
        </w:tc>
      </w:tr>
      <w:tr>
        <w:trPr>
          <w:trHeight w:val="152"/>
        </w:trPr>
        <w:tc>
          <w:tcPr>
            <w:tcW w:w="3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3540" w:type="dxa"/>
            <w:vAlign w:val="bottom"/>
          </w:tcPr>
          <w:p>
            <w:pPr>
              <w:spacing w:after="0"/>
              <w:rPr>
                <w:sz w:val="20"/>
                <w:szCs w:val="20"/>
                <w:color w:val="auto"/>
              </w:rPr>
            </w:pPr>
            <w:r>
              <w:rPr>
                <w:rFonts w:ascii="Times New Roman" w:cs="Times New Roman" w:eastAsia="Times New Roman" w:hAnsi="Times New Roman"/>
                <w:sz w:val="13"/>
                <w:szCs w:val="13"/>
                <w:color w:val="auto"/>
              </w:rPr>
              <w:t>Later than 5 years</w:t>
            </w:r>
          </w:p>
        </w:tc>
        <w:tc>
          <w:tcPr>
            <w:tcW w:w="5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23,289</w:t>
            </w:r>
          </w:p>
        </w:tc>
        <w:tc>
          <w:tcPr>
            <w:tcW w:w="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6,361</w:t>
            </w:r>
          </w:p>
        </w:tc>
        <w:tc>
          <w:tcPr>
            <w:tcW w:w="10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40" w:type="dxa"/>
            <w:vAlign w:val="bottom"/>
          </w:tcPr>
          <w:p>
            <w:pPr>
              <w:spacing w:after="0"/>
              <w:rPr>
                <w:sz w:val="13"/>
                <w:szCs w:val="13"/>
                <w:color w:val="auto"/>
              </w:rPr>
            </w:pPr>
          </w:p>
        </w:tc>
      </w:tr>
      <w:tr>
        <w:trPr>
          <w:trHeight w:val="20"/>
        </w:trPr>
        <w:tc>
          <w:tcPr>
            <w:tcW w:w="32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35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151"/>
        </w:trPr>
        <w:tc>
          <w:tcPr>
            <w:tcW w:w="3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35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Total</w:t>
            </w:r>
          </w:p>
        </w:tc>
        <w:tc>
          <w:tcPr>
            <w:tcW w:w="50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92,274</w:t>
            </w:r>
          </w:p>
        </w:tc>
        <w:tc>
          <w:tcPr>
            <w:tcW w:w="2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89,329</w:t>
            </w:r>
          </w:p>
        </w:tc>
        <w:tc>
          <w:tcPr>
            <w:tcW w:w="100" w:type="dxa"/>
            <w:vAlign w:val="bottom"/>
            <w:tcBorders>
              <w:left w:val="single" w:sz="8" w:color="CCEEFF"/>
            </w:tcBorders>
          </w:tcPr>
          <w:p>
            <w:pPr>
              <w:spacing w:after="0"/>
              <w:rPr>
                <w:sz w:val="13"/>
                <w:szCs w:val="13"/>
                <w:color w:val="auto"/>
              </w:rPr>
            </w:pPr>
          </w:p>
        </w:tc>
        <w:tc>
          <w:tcPr>
            <w:tcW w:w="520" w:type="dxa"/>
            <w:vAlign w:val="bottom"/>
          </w:tcPr>
          <w:p>
            <w:pPr>
              <w:spacing w:after="0"/>
              <w:rPr>
                <w:sz w:val="13"/>
                <w:szCs w:val="13"/>
                <w:color w:val="auto"/>
              </w:rPr>
            </w:pPr>
          </w:p>
        </w:tc>
        <w:tc>
          <w:tcPr>
            <w:tcW w:w="40" w:type="dxa"/>
            <w:vAlign w:val="bottom"/>
          </w:tcPr>
          <w:p>
            <w:pPr>
              <w:spacing w:after="0"/>
              <w:rPr>
                <w:sz w:val="13"/>
                <w:szCs w:val="13"/>
                <w:color w:val="auto"/>
              </w:rPr>
            </w:pPr>
          </w:p>
        </w:tc>
      </w:tr>
      <w:tr>
        <w:trPr>
          <w:trHeight w:val="20"/>
        </w:trPr>
        <w:tc>
          <w:tcPr>
            <w:tcW w:w="32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35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14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For the nine months ended September 30, 2022 and 2021, total cash outflows for leases amounted to $11,332 and $4,460, respectively.</w:t>
      </w:r>
    </w:p>
    <w:p>
      <w:pPr>
        <w:spacing w:after="0" w:line="15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As a lessor, revenue recognized from operating leases are as follows:</w:t>
      </w:r>
    </w:p>
    <w:p>
      <w:pPr>
        <w:spacing w:after="0" w:line="158" w:lineRule="exact"/>
        <w:rPr>
          <w:sz w:val="20"/>
          <w:szCs w:val="20"/>
          <w:color w:val="auto"/>
        </w:rPr>
      </w:pPr>
    </w:p>
    <w:tbl>
      <w:tblPr>
        <w:tblLayout w:type="fixed"/>
        <w:tblInd w:w="960" w:type="dxa"/>
        <w:tblCellMar>
          <w:top w:w="0" w:type="dxa"/>
          <w:left w:w="0" w:type="dxa"/>
          <w:bottom w:w="0" w:type="dxa"/>
          <w:right w:w="0" w:type="dxa"/>
        </w:tblCellMar>
      </w:tblPr>
      <w:tr>
        <w:trPr>
          <w:trHeight w:val="115"/>
        </w:trPr>
        <w:tc>
          <w:tcPr>
            <w:tcW w:w="2340" w:type="dxa"/>
            <w:vAlign w:val="bottom"/>
          </w:tcPr>
          <w:p>
            <w:pPr>
              <w:spacing w:after="0"/>
              <w:rPr>
                <w:sz w:val="10"/>
                <w:szCs w:val="10"/>
                <w:color w:val="auto"/>
              </w:rPr>
            </w:pPr>
          </w:p>
        </w:tc>
        <w:tc>
          <w:tcPr>
            <w:tcW w:w="1780" w:type="dxa"/>
            <w:vAlign w:val="bottom"/>
          </w:tcPr>
          <w:p>
            <w:pPr>
              <w:spacing w:after="0"/>
              <w:rPr>
                <w:sz w:val="10"/>
                <w:szCs w:val="10"/>
                <w:color w:val="auto"/>
              </w:rPr>
            </w:pPr>
          </w:p>
        </w:tc>
        <w:tc>
          <w:tcPr>
            <w:tcW w:w="1640" w:type="dxa"/>
            <w:vAlign w:val="bottom"/>
            <w:gridSpan w:val="5"/>
          </w:tcPr>
          <w:p>
            <w:pPr>
              <w:jc w:val="center"/>
              <w:ind w:right="280"/>
              <w:spacing w:after="0"/>
              <w:rPr>
                <w:sz w:val="20"/>
                <w:szCs w:val="20"/>
                <w:color w:val="auto"/>
              </w:rPr>
            </w:pPr>
            <w:r>
              <w:rPr>
                <w:rFonts w:ascii="Times New Roman" w:cs="Times New Roman" w:eastAsia="Times New Roman" w:hAnsi="Times New Roman"/>
                <w:sz w:val="10"/>
                <w:szCs w:val="10"/>
                <w:b w:val="1"/>
                <w:bCs w:val="1"/>
                <w:color w:val="auto"/>
              </w:rPr>
              <w:t>For the three months ended</w:t>
            </w:r>
          </w:p>
        </w:tc>
        <w:tc>
          <w:tcPr>
            <w:tcW w:w="1340" w:type="dxa"/>
            <w:vAlign w:val="bottom"/>
            <w:gridSpan w:val="5"/>
          </w:tcPr>
          <w:p>
            <w:pPr>
              <w:jc w:val="center"/>
              <w:ind w:right="60"/>
              <w:spacing w:after="0"/>
              <w:rPr>
                <w:sz w:val="20"/>
                <w:szCs w:val="20"/>
                <w:color w:val="auto"/>
              </w:rPr>
            </w:pPr>
            <w:r>
              <w:rPr>
                <w:rFonts w:ascii="Times New Roman" w:cs="Times New Roman" w:eastAsia="Times New Roman" w:hAnsi="Times New Roman"/>
                <w:sz w:val="10"/>
                <w:szCs w:val="10"/>
                <w:b w:val="1"/>
                <w:bCs w:val="1"/>
                <w:color w:val="auto"/>
              </w:rPr>
              <w:t>For the nine months ended</w:t>
            </w:r>
          </w:p>
        </w:tc>
        <w:tc>
          <w:tcPr>
            <w:tcW w:w="0" w:type="dxa"/>
            <w:vAlign w:val="bottom"/>
          </w:tcPr>
          <w:p>
            <w:pPr>
              <w:spacing w:after="0"/>
              <w:rPr>
                <w:sz w:val="1"/>
                <w:szCs w:val="1"/>
                <w:color w:val="auto"/>
              </w:rPr>
            </w:pPr>
          </w:p>
        </w:tc>
      </w:tr>
      <w:tr>
        <w:trPr>
          <w:trHeight w:val="104"/>
        </w:trPr>
        <w:tc>
          <w:tcPr>
            <w:tcW w:w="2340" w:type="dxa"/>
            <w:vAlign w:val="bottom"/>
          </w:tcPr>
          <w:p>
            <w:pPr>
              <w:spacing w:after="0"/>
              <w:rPr>
                <w:sz w:val="9"/>
                <w:szCs w:val="9"/>
                <w:color w:val="auto"/>
              </w:rPr>
            </w:pPr>
          </w:p>
        </w:tc>
        <w:tc>
          <w:tcPr>
            <w:tcW w:w="1780" w:type="dxa"/>
            <w:vAlign w:val="bottom"/>
          </w:tcPr>
          <w:p>
            <w:pPr>
              <w:spacing w:after="0"/>
              <w:rPr>
                <w:sz w:val="9"/>
                <w:szCs w:val="9"/>
                <w:color w:val="auto"/>
              </w:rPr>
            </w:pPr>
          </w:p>
        </w:tc>
        <w:tc>
          <w:tcPr>
            <w:tcW w:w="980" w:type="dxa"/>
            <w:vAlign w:val="bottom"/>
            <w:gridSpan w:val="3"/>
          </w:tcPr>
          <w:p>
            <w:pPr>
              <w:jc w:val="center"/>
              <w:ind w:left="305"/>
              <w:spacing w:after="0" w:line="104" w:lineRule="exact"/>
              <w:rPr>
                <w:sz w:val="20"/>
                <w:szCs w:val="20"/>
                <w:color w:val="auto"/>
              </w:rPr>
            </w:pPr>
            <w:r>
              <w:rPr>
                <w:rFonts w:ascii="Times New Roman" w:cs="Times New Roman" w:eastAsia="Times New Roman" w:hAnsi="Times New Roman"/>
                <w:sz w:val="10"/>
                <w:szCs w:val="10"/>
                <w:b w:val="1"/>
                <w:bCs w:val="1"/>
                <w:color w:val="auto"/>
              </w:rPr>
              <w:t>September 30,</w:t>
            </w:r>
          </w:p>
        </w:tc>
        <w:tc>
          <w:tcPr>
            <w:tcW w:w="360" w:type="dxa"/>
            <w:vAlign w:val="bottom"/>
            <w:vMerge w:val="restart"/>
          </w:tcPr>
          <w:p>
            <w:pPr>
              <w:jc w:val="right"/>
              <w:ind w:right="103"/>
              <w:spacing w:after="0"/>
              <w:rPr>
                <w:sz w:val="20"/>
                <w:szCs w:val="20"/>
                <w:color w:val="auto"/>
              </w:rPr>
            </w:pPr>
            <w:r>
              <w:rPr>
                <w:rFonts w:ascii="Times New Roman" w:cs="Times New Roman" w:eastAsia="Times New Roman" w:hAnsi="Times New Roman"/>
                <w:sz w:val="10"/>
                <w:szCs w:val="10"/>
                <w:b w:val="1"/>
                <w:bCs w:val="1"/>
                <w:color w:val="auto"/>
                <w:w w:val="89"/>
              </w:rPr>
              <w:t>2021</w:t>
            </w:r>
          </w:p>
        </w:tc>
        <w:tc>
          <w:tcPr>
            <w:tcW w:w="300" w:type="dxa"/>
            <w:vAlign w:val="bottom"/>
          </w:tcPr>
          <w:p>
            <w:pPr>
              <w:spacing w:after="0"/>
              <w:rPr>
                <w:sz w:val="9"/>
                <w:szCs w:val="9"/>
                <w:color w:val="auto"/>
              </w:rPr>
            </w:pPr>
          </w:p>
        </w:tc>
        <w:tc>
          <w:tcPr>
            <w:tcW w:w="960" w:type="dxa"/>
            <w:vAlign w:val="bottom"/>
            <w:gridSpan w:val="3"/>
          </w:tcPr>
          <w:p>
            <w:pPr>
              <w:jc w:val="center"/>
              <w:ind w:left="286"/>
              <w:spacing w:after="0" w:line="104" w:lineRule="exact"/>
              <w:rPr>
                <w:sz w:val="20"/>
                <w:szCs w:val="20"/>
                <w:color w:val="auto"/>
              </w:rPr>
            </w:pPr>
            <w:r>
              <w:rPr>
                <w:rFonts w:ascii="Times New Roman" w:cs="Times New Roman" w:eastAsia="Times New Roman" w:hAnsi="Times New Roman"/>
                <w:sz w:val="10"/>
                <w:szCs w:val="10"/>
                <w:b w:val="1"/>
                <w:bCs w:val="1"/>
                <w:color w:val="auto"/>
              </w:rPr>
              <w:t>September 30,</w:t>
            </w:r>
          </w:p>
        </w:tc>
        <w:tc>
          <w:tcPr>
            <w:tcW w:w="340" w:type="dxa"/>
            <w:vAlign w:val="bottom"/>
            <w:vMerge w:val="restart"/>
          </w:tcPr>
          <w:p>
            <w:pPr>
              <w:jc w:val="right"/>
              <w:ind w:right="83"/>
              <w:spacing w:after="0"/>
              <w:rPr>
                <w:sz w:val="20"/>
                <w:szCs w:val="20"/>
                <w:color w:val="auto"/>
              </w:rPr>
            </w:pPr>
            <w:r>
              <w:rPr>
                <w:rFonts w:ascii="Times New Roman" w:cs="Times New Roman" w:eastAsia="Times New Roman" w:hAnsi="Times New Roman"/>
                <w:sz w:val="10"/>
                <w:szCs w:val="10"/>
                <w:b w:val="1"/>
                <w:bCs w:val="1"/>
                <w:color w:val="auto"/>
                <w:w w:val="89"/>
              </w:rPr>
              <w:t>2021</w:t>
            </w: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1"/>
        </w:trPr>
        <w:tc>
          <w:tcPr>
            <w:tcW w:w="2340" w:type="dxa"/>
            <w:vAlign w:val="bottom"/>
          </w:tcPr>
          <w:p>
            <w:pPr>
              <w:spacing w:after="0"/>
              <w:rPr>
                <w:sz w:val="10"/>
                <w:szCs w:val="10"/>
                <w:color w:val="auto"/>
              </w:rPr>
            </w:pPr>
          </w:p>
        </w:tc>
        <w:tc>
          <w:tcPr>
            <w:tcW w:w="2300" w:type="dxa"/>
            <w:vAlign w:val="bottom"/>
            <w:gridSpan w:val="2"/>
          </w:tcPr>
          <w:p>
            <w:pPr>
              <w:jc w:val="right"/>
              <w:ind w:right="105"/>
              <w:spacing w:after="0"/>
              <w:rPr>
                <w:sz w:val="20"/>
                <w:szCs w:val="20"/>
                <w:color w:val="auto"/>
              </w:rPr>
            </w:pPr>
            <w:r>
              <w:rPr>
                <w:rFonts w:ascii="Times New Roman" w:cs="Times New Roman" w:eastAsia="Times New Roman" w:hAnsi="Times New Roman"/>
                <w:sz w:val="10"/>
                <w:szCs w:val="10"/>
                <w:b w:val="1"/>
                <w:bCs w:val="1"/>
                <w:color w:val="auto"/>
              </w:rPr>
              <w:t>2022</w:t>
            </w:r>
          </w:p>
        </w:tc>
        <w:tc>
          <w:tcPr>
            <w:tcW w:w="3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360" w:type="dxa"/>
            <w:vAlign w:val="bottom"/>
            <w:vMerge w:val="continue"/>
          </w:tcPr>
          <w:p>
            <w:pPr>
              <w:spacing w:after="0"/>
              <w:rPr>
                <w:sz w:val="10"/>
                <w:szCs w:val="10"/>
                <w:color w:val="auto"/>
              </w:rPr>
            </w:pPr>
          </w:p>
        </w:tc>
        <w:tc>
          <w:tcPr>
            <w:tcW w:w="300" w:type="dxa"/>
            <w:vAlign w:val="bottom"/>
          </w:tcPr>
          <w:p>
            <w:pPr>
              <w:spacing w:after="0"/>
              <w:rPr>
                <w:sz w:val="10"/>
                <w:szCs w:val="10"/>
                <w:color w:val="auto"/>
              </w:rPr>
            </w:pPr>
          </w:p>
        </w:tc>
        <w:tc>
          <w:tcPr>
            <w:tcW w:w="540" w:type="dxa"/>
            <w:vAlign w:val="bottom"/>
          </w:tcPr>
          <w:p>
            <w:pPr>
              <w:jc w:val="right"/>
              <w:ind w:right="126"/>
              <w:spacing w:after="0"/>
              <w:rPr>
                <w:sz w:val="20"/>
                <w:szCs w:val="20"/>
                <w:color w:val="auto"/>
              </w:rPr>
            </w:pPr>
            <w:r>
              <w:rPr>
                <w:rFonts w:ascii="Times New Roman" w:cs="Times New Roman" w:eastAsia="Times New Roman" w:hAnsi="Times New Roman"/>
                <w:sz w:val="10"/>
                <w:szCs w:val="10"/>
                <w:b w:val="1"/>
                <w:bCs w:val="1"/>
                <w:color w:val="auto"/>
              </w:rPr>
              <w:t>2022</w:t>
            </w:r>
          </w:p>
        </w:tc>
        <w:tc>
          <w:tcPr>
            <w:tcW w:w="2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340" w:type="dxa"/>
            <w:vAlign w:val="bottom"/>
            <w:vMerge w:val="continue"/>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1"/>
        </w:trPr>
        <w:tc>
          <w:tcPr>
            <w:tcW w:w="2340" w:type="dxa"/>
            <w:vAlign w:val="bottom"/>
            <w:tcBorders>
              <w:top w:val="single" w:sz="8" w:color="CCEEFF"/>
            </w:tcBorders>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Vehicle leasing revenue</w:t>
            </w:r>
          </w:p>
        </w:tc>
        <w:tc>
          <w:tcPr>
            <w:tcW w:w="1780" w:type="dxa"/>
            <w:vAlign w:val="bottom"/>
            <w:tcBorders>
              <w:top w:val="single" w:sz="8" w:color="CCEEFF"/>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4,559</w:t>
            </w:r>
          </w:p>
        </w:tc>
        <w:tc>
          <w:tcPr>
            <w:tcW w:w="300" w:type="dxa"/>
            <w:vAlign w:val="bottom"/>
            <w:tcBorders>
              <w:top w:val="single" w:sz="8" w:color="CCEEFF"/>
            </w:tcBorders>
            <w:shd w:val="clear" w:color="auto" w:fill="CCEEFF"/>
          </w:tcPr>
          <w:p>
            <w:pPr>
              <w:spacing w:after="0"/>
              <w:rPr>
                <w:sz w:val="12"/>
                <w:szCs w:val="12"/>
                <w:color w:val="auto"/>
              </w:rPr>
            </w:pPr>
          </w:p>
        </w:tc>
        <w:tc>
          <w:tcPr>
            <w:tcW w:w="160" w:type="dxa"/>
            <w:vAlign w:val="bottom"/>
            <w:tcBorders>
              <w:top w:val="single" w:sz="8" w:color="auto"/>
            </w:tcBorders>
            <w:shd w:val="clear" w:color="auto" w:fill="CCEEFF"/>
          </w:tcPr>
          <w:p>
            <w:pPr>
              <w:spacing w:after="0"/>
              <w:rPr>
                <w:sz w:val="12"/>
                <w:szCs w:val="12"/>
                <w:color w:val="auto"/>
              </w:rPr>
            </w:pPr>
          </w:p>
        </w:tc>
        <w:tc>
          <w:tcPr>
            <w:tcW w:w="36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2,001</w:t>
            </w:r>
          </w:p>
        </w:tc>
        <w:tc>
          <w:tcPr>
            <w:tcW w:w="300" w:type="dxa"/>
            <w:vAlign w:val="bottom"/>
            <w:tcBorders>
              <w:top w:val="single" w:sz="8" w:color="CCEEFF"/>
            </w:tcBorders>
            <w:shd w:val="clear" w:color="auto" w:fill="CCEEFF"/>
          </w:tcPr>
          <w:p>
            <w:pPr>
              <w:spacing w:after="0"/>
              <w:rPr>
                <w:sz w:val="12"/>
                <w:szCs w:val="12"/>
                <w:color w:val="auto"/>
              </w:rPr>
            </w:pPr>
          </w:p>
        </w:tc>
        <w:tc>
          <w:tcPr>
            <w:tcW w:w="54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12,493</w:t>
            </w:r>
          </w:p>
        </w:tc>
        <w:tc>
          <w:tcPr>
            <w:tcW w:w="28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34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2,155</w:t>
            </w:r>
          </w:p>
        </w:tc>
        <w:tc>
          <w:tcPr>
            <w:tcW w:w="4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56"/>
        </w:trPr>
        <w:tc>
          <w:tcPr>
            <w:tcW w:w="2340" w:type="dxa"/>
            <w:vAlign w:val="bottom"/>
          </w:tcPr>
          <w:p>
            <w:pPr>
              <w:spacing w:after="0"/>
              <w:rPr>
                <w:sz w:val="22"/>
                <w:szCs w:val="22"/>
                <w:color w:val="auto"/>
              </w:rPr>
            </w:pPr>
          </w:p>
        </w:tc>
        <w:tc>
          <w:tcPr>
            <w:tcW w:w="1780" w:type="dxa"/>
            <w:vAlign w:val="bottom"/>
          </w:tcPr>
          <w:p>
            <w:pPr>
              <w:jc w:val="right"/>
              <w:ind w:right="463"/>
              <w:spacing w:after="0"/>
              <w:rPr>
                <w:sz w:val="20"/>
                <w:szCs w:val="20"/>
                <w:color w:val="auto"/>
              </w:rPr>
            </w:pPr>
            <w:r>
              <w:rPr>
                <w:rFonts w:ascii="Times New Roman" w:cs="Times New Roman" w:eastAsia="Times New Roman" w:hAnsi="Times New Roman"/>
                <w:sz w:val="13"/>
                <w:szCs w:val="13"/>
                <w:color w:val="auto"/>
              </w:rPr>
              <w:t>20</w:t>
            </w:r>
          </w:p>
        </w:tc>
        <w:tc>
          <w:tcPr>
            <w:tcW w:w="52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31" w:right="1440" w:bottom="1440" w:gutter="0" w:footer="0" w:header="0"/>
        </w:sectPr>
      </w:pPr>
    </w:p>
    <w:bookmarkStart w:id="77" w:name="page78"/>
    <w:bookmarkEnd w:id="77"/>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3" w:lineRule="exact"/>
        <w:rPr>
          <w:sz w:val="20"/>
          <w:szCs w:val="20"/>
          <w:color w:val="auto"/>
        </w:rPr>
      </w:pPr>
    </w:p>
    <w:p>
      <w:pPr>
        <w:ind w:left="640" w:right="699"/>
        <w:spacing w:after="0" w:line="251" w:lineRule="auto"/>
        <w:rPr>
          <w:sz w:val="20"/>
          <w:szCs w:val="20"/>
          <w:color w:val="auto"/>
        </w:rPr>
      </w:pPr>
      <w:r>
        <w:rPr>
          <w:rFonts w:ascii="Times New Roman" w:cs="Times New Roman" w:eastAsia="Times New Roman" w:hAnsi="Times New Roman"/>
          <w:sz w:val="13"/>
          <w:szCs w:val="13"/>
          <w:color w:val="auto"/>
        </w:rPr>
        <w:t>For the majority of the Group’s operating lease contracts as a lessor, vehicles are paid for upfront by the customer at contract inception and repurchased by Polestar at the end of the lease term. In a few cases such vehicles are not paid upfront. As of September 30, 2022, expected future undiscounted lease payments to be received in those cases amounts to $297. All of which will be earned within 12 months. The following table depicts the changes in the Group’s vehicles under operating leases:</w:t>
      </w:r>
    </w:p>
    <w:p>
      <w:pPr>
        <w:spacing w:after="0" w:line="137" w:lineRule="exact"/>
        <w:rPr>
          <w:sz w:val="20"/>
          <w:szCs w:val="20"/>
          <w:color w:val="auto"/>
        </w:rPr>
      </w:pPr>
    </w:p>
    <w:tbl>
      <w:tblPr>
        <w:tblLayout w:type="fixed"/>
        <w:tblInd w:w="1880" w:type="dxa"/>
        <w:tblCellMar>
          <w:top w:w="0" w:type="dxa"/>
          <w:left w:w="0" w:type="dxa"/>
          <w:bottom w:w="0" w:type="dxa"/>
          <w:right w:w="0" w:type="dxa"/>
        </w:tblCellMar>
      </w:tblPr>
      <w:tr>
        <w:trPr>
          <w:trHeight w:val="115"/>
        </w:trPr>
        <w:tc>
          <w:tcPr>
            <w:tcW w:w="4540" w:type="dxa"/>
            <w:vAlign w:val="bottom"/>
          </w:tcPr>
          <w:p>
            <w:pPr>
              <w:spacing w:after="0"/>
              <w:rPr>
                <w:sz w:val="10"/>
                <w:szCs w:val="10"/>
                <w:color w:val="auto"/>
              </w:rPr>
            </w:pPr>
          </w:p>
        </w:tc>
        <w:tc>
          <w:tcPr>
            <w:tcW w:w="700" w:type="dxa"/>
            <w:vAlign w:val="bottom"/>
            <w:gridSpan w:val="2"/>
          </w:tcPr>
          <w:p>
            <w:pPr>
              <w:jc w:val="center"/>
              <w:ind w:right="60"/>
              <w:spacing w:after="0"/>
              <w:rPr>
                <w:sz w:val="20"/>
                <w:szCs w:val="20"/>
                <w:color w:val="auto"/>
              </w:rPr>
            </w:pPr>
            <w:r>
              <w:rPr>
                <w:rFonts w:ascii="Times New Roman" w:cs="Times New Roman" w:eastAsia="Times New Roman" w:hAnsi="Times New Roman"/>
                <w:sz w:val="10"/>
                <w:szCs w:val="10"/>
                <w:b w:val="1"/>
                <w:bCs w:val="1"/>
                <w:color w:val="auto"/>
              </w:rPr>
              <w:t>Vehicles under</w:t>
            </w:r>
          </w:p>
        </w:tc>
      </w:tr>
      <w:tr>
        <w:trPr>
          <w:trHeight w:val="104"/>
        </w:trPr>
        <w:tc>
          <w:tcPr>
            <w:tcW w:w="4540" w:type="dxa"/>
            <w:vAlign w:val="bottom"/>
          </w:tcPr>
          <w:p>
            <w:pPr>
              <w:spacing w:after="0"/>
              <w:rPr>
                <w:sz w:val="9"/>
                <w:szCs w:val="9"/>
                <w:color w:val="auto"/>
              </w:rPr>
            </w:pPr>
          </w:p>
        </w:tc>
        <w:tc>
          <w:tcPr>
            <w:tcW w:w="700" w:type="dxa"/>
            <w:vAlign w:val="bottom"/>
            <w:gridSpan w:val="2"/>
          </w:tcPr>
          <w:p>
            <w:pPr>
              <w:jc w:val="center"/>
              <w:ind w:right="80"/>
              <w:spacing w:after="0" w:line="104" w:lineRule="exact"/>
              <w:rPr>
                <w:sz w:val="20"/>
                <w:szCs w:val="20"/>
                <w:color w:val="auto"/>
              </w:rPr>
            </w:pPr>
            <w:r>
              <w:rPr>
                <w:rFonts w:ascii="Times New Roman" w:cs="Times New Roman" w:eastAsia="Times New Roman" w:hAnsi="Times New Roman"/>
                <w:sz w:val="10"/>
                <w:szCs w:val="10"/>
                <w:b w:val="1"/>
                <w:bCs w:val="1"/>
                <w:color w:val="auto"/>
              </w:rPr>
              <w:t>operating</w:t>
            </w:r>
          </w:p>
        </w:tc>
      </w:tr>
      <w:tr>
        <w:trPr>
          <w:trHeight w:val="121"/>
        </w:trPr>
        <w:tc>
          <w:tcPr>
            <w:tcW w:w="4540" w:type="dxa"/>
            <w:vAlign w:val="bottom"/>
          </w:tcPr>
          <w:p>
            <w:pPr>
              <w:spacing w:after="0"/>
              <w:rPr>
                <w:sz w:val="10"/>
                <w:szCs w:val="10"/>
                <w:color w:val="auto"/>
              </w:rPr>
            </w:pPr>
          </w:p>
        </w:tc>
        <w:tc>
          <w:tcPr>
            <w:tcW w:w="700" w:type="dxa"/>
            <w:vAlign w:val="bottom"/>
            <w:gridSpan w:val="2"/>
          </w:tcPr>
          <w:p>
            <w:pPr>
              <w:jc w:val="center"/>
              <w:ind w:right="60"/>
              <w:spacing w:after="0"/>
              <w:rPr>
                <w:sz w:val="20"/>
                <w:szCs w:val="20"/>
                <w:color w:val="auto"/>
              </w:rPr>
            </w:pPr>
            <w:r>
              <w:rPr>
                <w:rFonts w:ascii="Times New Roman" w:cs="Times New Roman" w:eastAsia="Times New Roman" w:hAnsi="Times New Roman"/>
                <w:sz w:val="10"/>
                <w:szCs w:val="10"/>
                <w:b w:val="1"/>
                <w:bCs w:val="1"/>
                <w:color w:val="auto"/>
                <w:w w:val="97"/>
              </w:rPr>
              <w:t>leases</w:t>
            </w:r>
          </w:p>
        </w:tc>
      </w:tr>
      <w:tr>
        <w:trPr>
          <w:trHeight w:val="132"/>
        </w:trPr>
        <w:tc>
          <w:tcPr>
            <w:tcW w:w="4540" w:type="dxa"/>
            <w:vAlign w:val="bottom"/>
            <w:tcBorders>
              <w:top w:val="single" w:sz="8" w:color="CCEEFF"/>
            </w:tcBorders>
            <w:shd w:val="clear" w:color="auto" w:fill="CCEEFF"/>
          </w:tcPr>
          <w:p>
            <w:pPr>
              <w:spacing w:after="0" w:line="132" w:lineRule="exact"/>
              <w:rPr>
                <w:sz w:val="20"/>
                <w:szCs w:val="20"/>
                <w:color w:val="auto"/>
              </w:rPr>
            </w:pPr>
            <w:r>
              <w:rPr>
                <w:rFonts w:ascii="Times New Roman" w:cs="Times New Roman" w:eastAsia="Times New Roman" w:hAnsi="Times New Roman"/>
                <w:sz w:val="13"/>
                <w:szCs w:val="13"/>
                <w:b w:val="1"/>
                <w:bCs w:val="1"/>
                <w:color w:val="auto"/>
              </w:rPr>
              <w:t>Acquisition cost</w:t>
            </w:r>
          </w:p>
        </w:tc>
        <w:tc>
          <w:tcPr>
            <w:tcW w:w="640" w:type="dxa"/>
            <w:vAlign w:val="bottom"/>
            <w:tcBorders>
              <w:top w:val="single" w:sz="8" w:color="auto"/>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r>
      <w:tr>
        <w:trPr>
          <w:trHeight w:val="152"/>
        </w:trPr>
        <w:tc>
          <w:tcPr>
            <w:tcW w:w="4540" w:type="dxa"/>
            <w:vAlign w:val="bottom"/>
          </w:tcPr>
          <w:p>
            <w:pPr>
              <w:spacing w:after="0"/>
              <w:rPr>
                <w:sz w:val="20"/>
                <w:szCs w:val="20"/>
                <w:color w:val="auto"/>
              </w:rPr>
            </w:pPr>
            <w:r>
              <w:rPr>
                <w:rFonts w:ascii="Times New Roman" w:cs="Times New Roman" w:eastAsia="Times New Roman" w:hAnsi="Times New Roman"/>
                <w:sz w:val="13"/>
                <w:szCs w:val="13"/>
                <w:color w:val="auto"/>
              </w:rPr>
              <w:t>Balance as of January 1, 2022</w:t>
            </w:r>
          </w:p>
        </w:tc>
        <w:tc>
          <w:tcPr>
            <w:tcW w:w="700" w:type="dxa"/>
            <w:vAlign w:val="bottom"/>
            <w:gridSpan w:val="2"/>
          </w:tcPr>
          <w:p>
            <w:pPr>
              <w:jc w:val="right"/>
              <w:ind w:right="60"/>
              <w:spacing w:after="0"/>
              <w:rPr>
                <w:sz w:val="20"/>
                <w:szCs w:val="20"/>
                <w:color w:val="auto"/>
              </w:rPr>
            </w:pPr>
            <w:r>
              <w:rPr>
                <w:rFonts w:ascii="Times New Roman" w:cs="Times New Roman" w:eastAsia="Times New Roman" w:hAnsi="Times New Roman"/>
                <w:sz w:val="13"/>
                <w:szCs w:val="13"/>
                <w:color w:val="auto"/>
              </w:rPr>
              <w:t>124,764</w:t>
            </w:r>
          </w:p>
        </w:tc>
      </w:tr>
      <w:tr>
        <w:trPr>
          <w:trHeight w:val="152"/>
        </w:trPr>
        <w:tc>
          <w:tcPr>
            <w:tcW w:w="45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Additions</w:t>
            </w:r>
          </w:p>
        </w:tc>
        <w:tc>
          <w:tcPr>
            <w:tcW w:w="7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3"/>
                <w:szCs w:val="13"/>
                <w:color w:val="auto"/>
              </w:rPr>
              <w:t>22,749</w:t>
            </w:r>
          </w:p>
        </w:tc>
      </w:tr>
      <w:tr>
        <w:trPr>
          <w:trHeight w:val="152"/>
        </w:trPr>
        <w:tc>
          <w:tcPr>
            <w:tcW w:w="4540" w:type="dxa"/>
            <w:vAlign w:val="bottom"/>
          </w:tcPr>
          <w:p>
            <w:pPr>
              <w:spacing w:after="0"/>
              <w:rPr>
                <w:sz w:val="20"/>
                <w:szCs w:val="20"/>
                <w:color w:val="auto"/>
              </w:rPr>
            </w:pPr>
            <w:r>
              <w:rPr>
                <w:rFonts w:ascii="Times New Roman" w:cs="Times New Roman" w:eastAsia="Times New Roman" w:hAnsi="Times New Roman"/>
                <w:sz w:val="13"/>
                <w:szCs w:val="13"/>
                <w:color w:val="auto"/>
              </w:rPr>
              <w:t>Reclassification to inventory</w:t>
            </w:r>
          </w:p>
        </w:tc>
        <w:tc>
          <w:tcPr>
            <w:tcW w:w="70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(43,007)</w:t>
            </w:r>
          </w:p>
        </w:tc>
      </w:tr>
      <w:tr>
        <w:trPr>
          <w:trHeight w:val="152"/>
        </w:trPr>
        <w:tc>
          <w:tcPr>
            <w:tcW w:w="45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Effect of foreign currency exchange rate differences</w:t>
            </w:r>
          </w:p>
        </w:tc>
        <w:tc>
          <w:tcPr>
            <w:tcW w:w="7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(6,298)</w:t>
            </w:r>
          </w:p>
        </w:tc>
      </w:tr>
      <w:tr>
        <w:trPr>
          <w:trHeight w:val="151"/>
        </w:trPr>
        <w:tc>
          <w:tcPr>
            <w:tcW w:w="454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Balance as of September 30, 2022</w:t>
            </w:r>
          </w:p>
        </w:tc>
        <w:tc>
          <w:tcPr>
            <w:tcW w:w="6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98,208</w:t>
            </w:r>
          </w:p>
        </w:tc>
        <w:tc>
          <w:tcPr>
            <w:tcW w:w="60" w:type="dxa"/>
            <w:vAlign w:val="bottom"/>
          </w:tcPr>
          <w:p>
            <w:pPr>
              <w:spacing w:after="0"/>
              <w:rPr>
                <w:sz w:val="13"/>
                <w:szCs w:val="13"/>
                <w:color w:val="auto"/>
              </w:rPr>
            </w:pPr>
          </w:p>
        </w:tc>
      </w:tr>
      <w:tr>
        <w:trPr>
          <w:trHeight w:val="151"/>
        </w:trPr>
        <w:tc>
          <w:tcPr>
            <w:tcW w:w="45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Accumulated depreciation</w:t>
            </w:r>
          </w:p>
        </w:tc>
        <w:tc>
          <w:tcPr>
            <w:tcW w:w="64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r>
      <w:tr>
        <w:trPr>
          <w:trHeight w:val="152"/>
        </w:trPr>
        <w:tc>
          <w:tcPr>
            <w:tcW w:w="4540" w:type="dxa"/>
            <w:vAlign w:val="bottom"/>
          </w:tcPr>
          <w:p>
            <w:pPr>
              <w:spacing w:after="0"/>
              <w:rPr>
                <w:sz w:val="20"/>
                <w:szCs w:val="20"/>
                <w:color w:val="auto"/>
              </w:rPr>
            </w:pPr>
            <w:r>
              <w:rPr>
                <w:rFonts w:ascii="Times New Roman" w:cs="Times New Roman" w:eastAsia="Times New Roman" w:hAnsi="Times New Roman"/>
                <w:sz w:val="13"/>
                <w:szCs w:val="13"/>
                <w:color w:val="auto"/>
              </w:rPr>
              <w:t>Balance as of January 1, 2022</w:t>
            </w:r>
          </w:p>
        </w:tc>
        <w:tc>
          <w:tcPr>
            <w:tcW w:w="70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(4,138)</w:t>
            </w:r>
          </w:p>
        </w:tc>
      </w:tr>
      <w:tr>
        <w:trPr>
          <w:trHeight w:val="152"/>
        </w:trPr>
        <w:tc>
          <w:tcPr>
            <w:tcW w:w="45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Depreciation expense</w:t>
            </w:r>
          </w:p>
        </w:tc>
        <w:tc>
          <w:tcPr>
            <w:tcW w:w="7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(7,865)</w:t>
            </w:r>
          </w:p>
        </w:tc>
      </w:tr>
      <w:tr>
        <w:trPr>
          <w:trHeight w:val="152"/>
        </w:trPr>
        <w:tc>
          <w:tcPr>
            <w:tcW w:w="4540" w:type="dxa"/>
            <w:vAlign w:val="bottom"/>
          </w:tcPr>
          <w:p>
            <w:pPr>
              <w:spacing w:after="0"/>
              <w:rPr>
                <w:sz w:val="20"/>
                <w:szCs w:val="20"/>
                <w:color w:val="auto"/>
              </w:rPr>
            </w:pPr>
            <w:r>
              <w:rPr>
                <w:rFonts w:ascii="Times New Roman" w:cs="Times New Roman" w:eastAsia="Times New Roman" w:hAnsi="Times New Roman"/>
                <w:sz w:val="13"/>
                <w:szCs w:val="13"/>
                <w:color w:val="auto"/>
              </w:rPr>
              <w:t>Reclassification to inventory</w:t>
            </w:r>
          </w:p>
        </w:tc>
        <w:tc>
          <w:tcPr>
            <w:tcW w:w="700" w:type="dxa"/>
            <w:vAlign w:val="bottom"/>
            <w:gridSpan w:val="2"/>
          </w:tcPr>
          <w:p>
            <w:pPr>
              <w:jc w:val="right"/>
              <w:ind w:right="60"/>
              <w:spacing w:after="0"/>
              <w:rPr>
                <w:sz w:val="20"/>
                <w:szCs w:val="20"/>
                <w:color w:val="auto"/>
              </w:rPr>
            </w:pPr>
            <w:r>
              <w:rPr>
                <w:rFonts w:ascii="Times New Roman" w:cs="Times New Roman" w:eastAsia="Times New Roman" w:hAnsi="Times New Roman"/>
                <w:sz w:val="13"/>
                <w:szCs w:val="13"/>
                <w:color w:val="auto"/>
              </w:rPr>
              <w:t>2,536</w:t>
            </w:r>
          </w:p>
        </w:tc>
      </w:tr>
      <w:tr>
        <w:trPr>
          <w:trHeight w:val="152"/>
        </w:trPr>
        <w:tc>
          <w:tcPr>
            <w:tcW w:w="45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Effect of foreign currency exchange rate differences</w:t>
            </w:r>
          </w:p>
        </w:tc>
        <w:tc>
          <w:tcPr>
            <w:tcW w:w="7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3"/>
                <w:szCs w:val="13"/>
                <w:color w:val="auto"/>
              </w:rPr>
              <w:t>232</w:t>
            </w:r>
          </w:p>
        </w:tc>
      </w:tr>
      <w:tr>
        <w:trPr>
          <w:trHeight w:val="151"/>
        </w:trPr>
        <w:tc>
          <w:tcPr>
            <w:tcW w:w="454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Balance as of September 30, 2022</w:t>
            </w:r>
          </w:p>
        </w:tc>
        <w:tc>
          <w:tcPr>
            <w:tcW w:w="6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(9,235)</w:t>
            </w:r>
          </w:p>
        </w:tc>
        <w:tc>
          <w:tcPr>
            <w:tcW w:w="60" w:type="dxa"/>
            <w:vAlign w:val="bottom"/>
          </w:tcPr>
          <w:p>
            <w:pPr>
              <w:spacing w:after="0"/>
              <w:rPr>
                <w:sz w:val="13"/>
                <w:szCs w:val="13"/>
                <w:color w:val="auto"/>
              </w:rPr>
            </w:pPr>
          </w:p>
        </w:tc>
      </w:tr>
      <w:tr>
        <w:trPr>
          <w:trHeight w:val="151"/>
        </w:trPr>
        <w:tc>
          <w:tcPr>
            <w:tcW w:w="45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Carrying amount as of September 30, 2022</w:t>
            </w:r>
          </w:p>
        </w:tc>
        <w:tc>
          <w:tcPr>
            <w:tcW w:w="64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88,973</w:t>
            </w:r>
          </w:p>
        </w:tc>
        <w:tc>
          <w:tcPr>
            <w:tcW w:w="60" w:type="dxa"/>
            <w:vAlign w:val="bottom"/>
            <w:shd w:val="clear" w:color="auto" w:fill="CCEEFF"/>
          </w:tcPr>
          <w:p>
            <w:pPr>
              <w:spacing w:after="0"/>
              <w:rPr>
                <w:sz w:val="13"/>
                <w:szCs w:val="13"/>
                <w:color w:val="auto"/>
              </w:rPr>
            </w:pPr>
          </w:p>
        </w:tc>
      </w:tr>
    </w:tbl>
    <w:p>
      <w:pPr>
        <w:spacing w:after="0" w:line="22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Note 4 - Net income (loss) per share</w:t>
      </w:r>
    </w:p>
    <w:p>
      <w:pPr>
        <w:spacing w:after="0" w:line="80" w:lineRule="exact"/>
        <w:rPr>
          <w:sz w:val="20"/>
          <w:szCs w:val="20"/>
          <w:color w:val="auto"/>
        </w:rPr>
      </w:pPr>
    </w:p>
    <w:p>
      <w:pPr>
        <w:ind w:left="640" w:right="779"/>
        <w:spacing w:after="0" w:line="267" w:lineRule="auto"/>
        <w:rPr>
          <w:sz w:val="20"/>
          <w:szCs w:val="20"/>
          <w:color w:val="auto"/>
        </w:rPr>
      </w:pPr>
      <w:r>
        <w:rPr>
          <w:rFonts w:ascii="Times New Roman" w:cs="Times New Roman" w:eastAsia="Times New Roman" w:hAnsi="Times New Roman"/>
          <w:sz w:val="13"/>
          <w:szCs w:val="13"/>
          <w:color w:val="auto"/>
        </w:rPr>
        <w:t>The following table presents the computation of basic and diluted net income (loss) per share for the three and nine months ended September 30, 2022 and 2021:</w:t>
      </w:r>
    </w:p>
    <w:p>
      <w:pPr>
        <w:spacing w:after="0" w:line="127" w:lineRule="exact"/>
        <w:rPr>
          <w:sz w:val="20"/>
          <w:szCs w:val="20"/>
          <w:color w:val="auto"/>
        </w:rPr>
      </w:pPr>
    </w:p>
    <w:tbl>
      <w:tblPr>
        <w:tblLayout w:type="fixed"/>
        <w:tblInd w:w="960" w:type="dxa"/>
        <w:tblCellMar>
          <w:top w:w="0" w:type="dxa"/>
          <w:left w:w="0" w:type="dxa"/>
          <w:bottom w:w="0" w:type="dxa"/>
          <w:right w:w="0" w:type="dxa"/>
        </w:tblCellMar>
      </w:tblPr>
      <w:tr>
        <w:trPr>
          <w:trHeight w:val="115"/>
        </w:trPr>
        <w:tc>
          <w:tcPr>
            <w:tcW w:w="330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1760" w:type="dxa"/>
            <w:vAlign w:val="bottom"/>
            <w:gridSpan w:val="4"/>
          </w:tcPr>
          <w:p>
            <w:pPr>
              <w:jc w:val="right"/>
              <w:ind w:right="360"/>
              <w:spacing w:after="0"/>
              <w:rPr>
                <w:sz w:val="20"/>
                <w:szCs w:val="20"/>
                <w:color w:val="auto"/>
              </w:rPr>
            </w:pPr>
            <w:r>
              <w:rPr>
                <w:rFonts w:ascii="Times New Roman" w:cs="Times New Roman" w:eastAsia="Times New Roman" w:hAnsi="Times New Roman"/>
                <w:sz w:val="10"/>
                <w:szCs w:val="10"/>
                <w:b w:val="1"/>
                <w:bCs w:val="1"/>
                <w:color w:val="auto"/>
              </w:rPr>
              <w:t>For the three months ended</w:t>
            </w:r>
          </w:p>
        </w:tc>
        <w:tc>
          <w:tcPr>
            <w:tcW w:w="1560" w:type="dxa"/>
            <w:vAlign w:val="bottom"/>
            <w:gridSpan w:val="4"/>
          </w:tcPr>
          <w:p>
            <w:pPr>
              <w:jc w:val="right"/>
              <w:ind w:right="240"/>
              <w:spacing w:after="0"/>
              <w:rPr>
                <w:sz w:val="20"/>
                <w:szCs w:val="20"/>
                <w:color w:val="auto"/>
              </w:rPr>
            </w:pPr>
            <w:r>
              <w:rPr>
                <w:rFonts w:ascii="Times New Roman" w:cs="Times New Roman" w:eastAsia="Times New Roman" w:hAnsi="Times New Roman"/>
                <w:sz w:val="10"/>
                <w:szCs w:val="10"/>
                <w:b w:val="1"/>
                <w:bCs w:val="1"/>
                <w:color w:val="auto"/>
              </w:rPr>
              <w:t>For the nine months ended</w:t>
            </w:r>
          </w:p>
        </w:tc>
      </w:tr>
      <w:tr>
        <w:trPr>
          <w:trHeight w:val="121"/>
        </w:trPr>
        <w:tc>
          <w:tcPr>
            <w:tcW w:w="330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1760" w:type="dxa"/>
            <w:vAlign w:val="bottom"/>
            <w:gridSpan w:val="4"/>
          </w:tcPr>
          <w:p>
            <w:pPr>
              <w:jc w:val="right"/>
              <w:ind w:right="660"/>
              <w:spacing w:after="0"/>
              <w:rPr>
                <w:sz w:val="20"/>
                <w:szCs w:val="20"/>
                <w:color w:val="auto"/>
              </w:rPr>
            </w:pPr>
            <w:r>
              <w:rPr>
                <w:rFonts w:ascii="Times New Roman" w:cs="Times New Roman" w:eastAsia="Times New Roman" w:hAnsi="Times New Roman"/>
                <w:sz w:val="10"/>
                <w:szCs w:val="10"/>
                <w:b w:val="1"/>
                <w:bCs w:val="1"/>
                <w:color w:val="auto"/>
              </w:rPr>
              <w:t>September 30,</w:t>
            </w:r>
          </w:p>
        </w:tc>
        <w:tc>
          <w:tcPr>
            <w:tcW w:w="1560" w:type="dxa"/>
            <w:vAlign w:val="bottom"/>
            <w:gridSpan w:val="4"/>
          </w:tcPr>
          <w:p>
            <w:pPr>
              <w:jc w:val="right"/>
              <w:ind w:right="520"/>
              <w:spacing w:after="0"/>
              <w:rPr>
                <w:sz w:val="20"/>
                <w:szCs w:val="20"/>
                <w:color w:val="auto"/>
              </w:rPr>
            </w:pPr>
            <w:r>
              <w:rPr>
                <w:rFonts w:ascii="Times New Roman" w:cs="Times New Roman" w:eastAsia="Times New Roman" w:hAnsi="Times New Roman"/>
                <w:sz w:val="10"/>
                <w:szCs w:val="10"/>
                <w:b w:val="1"/>
                <w:bCs w:val="1"/>
                <w:color w:val="auto"/>
              </w:rPr>
              <w:t>September 30,</w:t>
            </w:r>
          </w:p>
        </w:tc>
      </w:tr>
      <w:tr>
        <w:trPr>
          <w:trHeight w:val="94"/>
        </w:trPr>
        <w:tc>
          <w:tcPr>
            <w:tcW w:w="3300" w:type="dxa"/>
            <w:vAlign w:val="bottom"/>
          </w:tcPr>
          <w:p>
            <w:pPr>
              <w:spacing w:after="0"/>
              <w:rPr>
                <w:sz w:val="8"/>
                <w:szCs w:val="8"/>
                <w:color w:val="auto"/>
              </w:rPr>
            </w:pPr>
          </w:p>
        </w:tc>
        <w:tc>
          <w:tcPr>
            <w:tcW w:w="480" w:type="dxa"/>
            <w:vAlign w:val="bottom"/>
          </w:tcPr>
          <w:p>
            <w:pPr>
              <w:spacing w:after="0"/>
              <w:rPr>
                <w:sz w:val="8"/>
                <w:szCs w:val="8"/>
                <w:color w:val="auto"/>
              </w:rPr>
            </w:pPr>
          </w:p>
        </w:tc>
        <w:tc>
          <w:tcPr>
            <w:tcW w:w="760" w:type="dxa"/>
            <w:vAlign w:val="bottom"/>
            <w:tcBorders>
              <w:top w:val="single" w:sz="8" w:color="auto"/>
              <w:bottom w:val="single" w:sz="8" w:color="auto"/>
            </w:tcBorders>
          </w:tcPr>
          <w:p>
            <w:pPr>
              <w:jc w:val="center"/>
              <w:spacing w:after="0" w:line="94" w:lineRule="exact"/>
              <w:rPr>
                <w:sz w:val="20"/>
                <w:szCs w:val="20"/>
                <w:color w:val="auto"/>
              </w:rPr>
            </w:pPr>
            <w:r>
              <w:rPr>
                <w:rFonts w:ascii="Times New Roman" w:cs="Times New Roman" w:eastAsia="Times New Roman" w:hAnsi="Times New Roman"/>
                <w:sz w:val="10"/>
                <w:szCs w:val="10"/>
                <w:b w:val="1"/>
                <w:bCs w:val="1"/>
                <w:color w:val="auto"/>
                <w:w w:val="99"/>
              </w:rPr>
              <w:t>2022</w:t>
            </w:r>
          </w:p>
        </w:tc>
        <w:tc>
          <w:tcPr>
            <w:tcW w:w="180" w:type="dxa"/>
            <w:vAlign w:val="bottom"/>
            <w:tcBorders>
              <w:top w:val="single" w:sz="8" w:color="auto"/>
            </w:tcBorders>
          </w:tcPr>
          <w:p>
            <w:pPr>
              <w:spacing w:after="0"/>
              <w:rPr>
                <w:sz w:val="8"/>
                <w:szCs w:val="8"/>
                <w:color w:val="auto"/>
              </w:rPr>
            </w:pPr>
          </w:p>
        </w:tc>
        <w:tc>
          <w:tcPr>
            <w:tcW w:w="680" w:type="dxa"/>
            <w:vAlign w:val="bottom"/>
            <w:tcBorders>
              <w:top w:val="single" w:sz="8" w:color="auto"/>
              <w:bottom w:val="single" w:sz="8" w:color="auto"/>
            </w:tcBorders>
          </w:tcPr>
          <w:p>
            <w:pPr>
              <w:jc w:val="center"/>
              <w:spacing w:after="0" w:line="94" w:lineRule="exact"/>
              <w:rPr>
                <w:sz w:val="20"/>
                <w:szCs w:val="20"/>
                <w:color w:val="auto"/>
              </w:rPr>
            </w:pPr>
            <w:r>
              <w:rPr>
                <w:rFonts w:ascii="Times New Roman" w:cs="Times New Roman" w:eastAsia="Times New Roman" w:hAnsi="Times New Roman"/>
                <w:sz w:val="10"/>
                <w:szCs w:val="10"/>
                <w:b w:val="1"/>
                <w:bCs w:val="1"/>
                <w:color w:val="auto"/>
                <w:w w:val="99"/>
              </w:rPr>
              <w:t>2021</w:t>
            </w:r>
          </w:p>
        </w:tc>
        <w:tc>
          <w:tcPr>
            <w:tcW w:w="140" w:type="dxa"/>
            <w:vAlign w:val="bottom"/>
          </w:tcPr>
          <w:p>
            <w:pPr>
              <w:spacing w:after="0"/>
              <w:rPr>
                <w:sz w:val="8"/>
                <w:szCs w:val="8"/>
                <w:color w:val="auto"/>
              </w:rPr>
            </w:pPr>
          </w:p>
        </w:tc>
        <w:tc>
          <w:tcPr>
            <w:tcW w:w="660" w:type="dxa"/>
            <w:vAlign w:val="bottom"/>
            <w:tcBorders>
              <w:top w:val="single" w:sz="8" w:color="auto"/>
              <w:bottom w:val="single" w:sz="8" w:color="auto"/>
            </w:tcBorders>
          </w:tcPr>
          <w:p>
            <w:pPr>
              <w:jc w:val="center"/>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40" w:type="dxa"/>
            <w:vAlign w:val="bottom"/>
            <w:tcBorders>
              <w:top w:val="single" w:sz="8" w:color="auto"/>
            </w:tcBorders>
          </w:tcPr>
          <w:p>
            <w:pPr>
              <w:spacing w:after="0"/>
              <w:rPr>
                <w:sz w:val="8"/>
                <w:szCs w:val="8"/>
                <w:color w:val="auto"/>
              </w:rPr>
            </w:pPr>
          </w:p>
        </w:tc>
        <w:tc>
          <w:tcPr>
            <w:tcW w:w="680" w:type="dxa"/>
            <w:vAlign w:val="bottom"/>
            <w:tcBorders>
              <w:top w:val="single" w:sz="8" w:color="auto"/>
              <w:bottom w:val="single" w:sz="8" w:color="auto"/>
            </w:tcBorders>
          </w:tcPr>
          <w:p>
            <w:pPr>
              <w:jc w:val="center"/>
              <w:spacing w:after="0" w:line="94" w:lineRule="exact"/>
              <w:rPr>
                <w:sz w:val="20"/>
                <w:szCs w:val="20"/>
                <w:color w:val="auto"/>
              </w:rPr>
            </w:pPr>
            <w:r>
              <w:rPr>
                <w:rFonts w:ascii="Times New Roman" w:cs="Times New Roman" w:eastAsia="Times New Roman" w:hAnsi="Times New Roman"/>
                <w:sz w:val="10"/>
                <w:szCs w:val="10"/>
                <w:b w:val="1"/>
                <w:bCs w:val="1"/>
                <w:color w:val="auto"/>
                <w:w w:val="99"/>
              </w:rPr>
              <w:t>2021</w:t>
            </w:r>
          </w:p>
        </w:tc>
        <w:tc>
          <w:tcPr>
            <w:tcW w:w="80" w:type="dxa"/>
            <w:vAlign w:val="bottom"/>
          </w:tcPr>
          <w:p>
            <w:pPr>
              <w:spacing w:after="0"/>
              <w:rPr>
                <w:sz w:val="8"/>
                <w:szCs w:val="8"/>
                <w:color w:val="auto"/>
              </w:rPr>
            </w:pPr>
          </w:p>
        </w:tc>
      </w:tr>
      <w:tr>
        <w:trPr>
          <w:trHeight w:val="77"/>
        </w:trPr>
        <w:tc>
          <w:tcPr>
            <w:tcW w:w="3300" w:type="dxa"/>
            <w:vAlign w:val="bottom"/>
          </w:tcPr>
          <w:p>
            <w:pPr>
              <w:spacing w:after="0"/>
              <w:rPr>
                <w:sz w:val="6"/>
                <w:szCs w:val="6"/>
                <w:color w:val="auto"/>
              </w:rPr>
            </w:pPr>
          </w:p>
        </w:tc>
        <w:tc>
          <w:tcPr>
            <w:tcW w:w="480" w:type="dxa"/>
            <w:vAlign w:val="bottom"/>
          </w:tcPr>
          <w:p>
            <w:pPr>
              <w:spacing w:after="0"/>
              <w:rPr>
                <w:sz w:val="6"/>
                <w:szCs w:val="6"/>
                <w:color w:val="auto"/>
              </w:rPr>
            </w:pPr>
          </w:p>
        </w:tc>
        <w:tc>
          <w:tcPr>
            <w:tcW w:w="760" w:type="dxa"/>
            <w:vAlign w:val="bottom"/>
          </w:tcPr>
          <w:p>
            <w:pPr>
              <w:jc w:val="center"/>
              <w:spacing w:after="0" w:line="77" w:lineRule="exact"/>
              <w:rPr>
                <w:sz w:val="20"/>
                <w:szCs w:val="20"/>
                <w:color w:val="auto"/>
              </w:rPr>
            </w:pPr>
            <w:r>
              <w:rPr>
                <w:rFonts w:ascii="Times New Roman" w:cs="Times New Roman" w:eastAsia="Times New Roman" w:hAnsi="Times New Roman"/>
                <w:sz w:val="8"/>
                <w:szCs w:val="8"/>
                <w:b w:val="1"/>
                <w:bCs w:val="1"/>
                <w:color w:val="auto"/>
              </w:rPr>
              <w:t>Class A and B</w:t>
            </w:r>
          </w:p>
        </w:tc>
        <w:tc>
          <w:tcPr>
            <w:tcW w:w="180" w:type="dxa"/>
            <w:vAlign w:val="bottom"/>
          </w:tcPr>
          <w:p>
            <w:pPr>
              <w:spacing w:after="0"/>
              <w:rPr>
                <w:sz w:val="6"/>
                <w:szCs w:val="6"/>
                <w:color w:val="auto"/>
              </w:rPr>
            </w:pPr>
          </w:p>
        </w:tc>
        <w:tc>
          <w:tcPr>
            <w:tcW w:w="680" w:type="dxa"/>
            <w:vAlign w:val="bottom"/>
          </w:tcPr>
          <w:p>
            <w:pPr>
              <w:jc w:val="center"/>
              <w:spacing w:after="0" w:line="77" w:lineRule="exact"/>
              <w:rPr>
                <w:sz w:val="20"/>
                <w:szCs w:val="20"/>
                <w:color w:val="auto"/>
              </w:rPr>
            </w:pPr>
            <w:r>
              <w:rPr>
                <w:rFonts w:ascii="Times New Roman" w:cs="Times New Roman" w:eastAsia="Times New Roman" w:hAnsi="Times New Roman"/>
                <w:sz w:val="8"/>
                <w:szCs w:val="8"/>
                <w:b w:val="1"/>
                <w:bCs w:val="1"/>
                <w:color w:val="auto"/>
              </w:rPr>
              <w:t>Class A and B</w:t>
            </w:r>
          </w:p>
        </w:tc>
        <w:tc>
          <w:tcPr>
            <w:tcW w:w="140" w:type="dxa"/>
            <w:vAlign w:val="bottom"/>
          </w:tcPr>
          <w:p>
            <w:pPr>
              <w:spacing w:after="0"/>
              <w:rPr>
                <w:sz w:val="6"/>
                <w:szCs w:val="6"/>
                <w:color w:val="auto"/>
              </w:rPr>
            </w:pPr>
          </w:p>
        </w:tc>
        <w:tc>
          <w:tcPr>
            <w:tcW w:w="660" w:type="dxa"/>
            <w:vAlign w:val="bottom"/>
          </w:tcPr>
          <w:p>
            <w:pPr>
              <w:jc w:val="center"/>
              <w:spacing w:after="0" w:line="77" w:lineRule="exact"/>
              <w:rPr>
                <w:sz w:val="20"/>
                <w:szCs w:val="20"/>
                <w:color w:val="auto"/>
              </w:rPr>
            </w:pPr>
            <w:r>
              <w:rPr>
                <w:rFonts w:ascii="Times New Roman" w:cs="Times New Roman" w:eastAsia="Times New Roman" w:hAnsi="Times New Roman"/>
                <w:sz w:val="8"/>
                <w:szCs w:val="8"/>
                <w:b w:val="1"/>
                <w:bCs w:val="1"/>
                <w:color w:val="auto"/>
              </w:rPr>
              <w:t>Class A and B</w:t>
            </w:r>
          </w:p>
        </w:tc>
        <w:tc>
          <w:tcPr>
            <w:tcW w:w="140" w:type="dxa"/>
            <w:vAlign w:val="bottom"/>
          </w:tcPr>
          <w:p>
            <w:pPr>
              <w:spacing w:after="0"/>
              <w:rPr>
                <w:sz w:val="6"/>
                <w:szCs w:val="6"/>
                <w:color w:val="auto"/>
              </w:rPr>
            </w:pPr>
          </w:p>
        </w:tc>
        <w:tc>
          <w:tcPr>
            <w:tcW w:w="680" w:type="dxa"/>
            <w:vAlign w:val="bottom"/>
          </w:tcPr>
          <w:p>
            <w:pPr>
              <w:jc w:val="center"/>
              <w:spacing w:after="0" w:line="77" w:lineRule="exact"/>
              <w:rPr>
                <w:sz w:val="20"/>
                <w:szCs w:val="20"/>
                <w:color w:val="auto"/>
              </w:rPr>
            </w:pPr>
            <w:r>
              <w:rPr>
                <w:rFonts w:ascii="Times New Roman" w:cs="Times New Roman" w:eastAsia="Times New Roman" w:hAnsi="Times New Roman"/>
                <w:sz w:val="8"/>
                <w:szCs w:val="8"/>
                <w:b w:val="1"/>
                <w:bCs w:val="1"/>
                <w:color w:val="auto"/>
              </w:rPr>
              <w:t>Class A and B</w:t>
            </w:r>
          </w:p>
        </w:tc>
        <w:tc>
          <w:tcPr>
            <w:tcW w:w="80" w:type="dxa"/>
            <w:vAlign w:val="bottom"/>
          </w:tcPr>
          <w:p>
            <w:pPr>
              <w:spacing w:after="0"/>
              <w:rPr>
                <w:sz w:val="6"/>
                <w:szCs w:val="6"/>
                <w:color w:val="auto"/>
              </w:rPr>
            </w:pPr>
          </w:p>
        </w:tc>
      </w:tr>
      <w:tr>
        <w:trPr>
          <w:trHeight w:val="121"/>
        </w:trPr>
        <w:tc>
          <w:tcPr>
            <w:tcW w:w="330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940" w:type="dxa"/>
            <w:vAlign w:val="bottom"/>
            <w:gridSpan w:val="2"/>
          </w:tcPr>
          <w:p>
            <w:pPr>
              <w:jc w:val="center"/>
              <w:ind w:right="180"/>
              <w:spacing w:after="0"/>
              <w:rPr>
                <w:sz w:val="20"/>
                <w:szCs w:val="20"/>
                <w:color w:val="auto"/>
              </w:rPr>
            </w:pPr>
            <w:r>
              <w:rPr>
                <w:rFonts w:ascii="Times New Roman" w:cs="Times New Roman" w:eastAsia="Times New Roman" w:hAnsi="Times New Roman"/>
                <w:sz w:val="10"/>
                <w:szCs w:val="10"/>
                <w:b w:val="1"/>
                <w:bCs w:val="1"/>
                <w:color w:val="auto"/>
              </w:rPr>
              <w:t>Common</w:t>
            </w:r>
          </w:p>
        </w:tc>
        <w:tc>
          <w:tcPr>
            <w:tcW w:w="820" w:type="dxa"/>
            <w:vAlign w:val="bottom"/>
            <w:gridSpan w:val="2"/>
          </w:tcPr>
          <w:p>
            <w:pPr>
              <w:jc w:val="center"/>
              <w:ind w:right="140"/>
              <w:spacing w:after="0"/>
              <w:rPr>
                <w:sz w:val="20"/>
                <w:szCs w:val="20"/>
                <w:color w:val="auto"/>
              </w:rPr>
            </w:pPr>
            <w:r>
              <w:rPr>
                <w:rFonts w:ascii="Times New Roman" w:cs="Times New Roman" w:eastAsia="Times New Roman" w:hAnsi="Times New Roman"/>
                <w:sz w:val="10"/>
                <w:szCs w:val="10"/>
                <w:b w:val="1"/>
                <w:bCs w:val="1"/>
                <w:color w:val="auto"/>
              </w:rPr>
              <w:t>Common</w:t>
            </w:r>
          </w:p>
        </w:tc>
        <w:tc>
          <w:tcPr>
            <w:tcW w:w="800" w:type="dxa"/>
            <w:vAlign w:val="bottom"/>
            <w:gridSpan w:val="2"/>
          </w:tcPr>
          <w:p>
            <w:pPr>
              <w:jc w:val="center"/>
              <w:ind w:right="140"/>
              <w:spacing w:after="0"/>
              <w:rPr>
                <w:sz w:val="20"/>
                <w:szCs w:val="20"/>
                <w:color w:val="auto"/>
              </w:rPr>
            </w:pPr>
            <w:r>
              <w:rPr>
                <w:rFonts w:ascii="Times New Roman" w:cs="Times New Roman" w:eastAsia="Times New Roman" w:hAnsi="Times New Roman"/>
                <w:sz w:val="10"/>
                <w:szCs w:val="10"/>
                <w:b w:val="1"/>
                <w:bCs w:val="1"/>
                <w:color w:val="auto"/>
                <w:w w:val="96"/>
              </w:rPr>
              <w:t>Common</w:t>
            </w:r>
          </w:p>
        </w:tc>
        <w:tc>
          <w:tcPr>
            <w:tcW w:w="760" w:type="dxa"/>
            <w:vAlign w:val="bottom"/>
            <w:gridSpan w:val="2"/>
          </w:tcPr>
          <w:p>
            <w:pPr>
              <w:jc w:val="center"/>
              <w:ind w:right="80"/>
              <w:spacing w:after="0"/>
              <w:rPr>
                <w:sz w:val="20"/>
                <w:szCs w:val="20"/>
                <w:color w:val="auto"/>
              </w:rPr>
            </w:pPr>
            <w:r>
              <w:rPr>
                <w:rFonts w:ascii="Times New Roman" w:cs="Times New Roman" w:eastAsia="Times New Roman" w:hAnsi="Times New Roman"/>
                <w:sz w:val="10"/>
                <w:szCs w:val="10"/>
                <w:b w:val="1"/>
                <w:bCs w:val="1"/>
                <w:color w:val="auto"/>
              </w:rPr>
              <w:t>Common</w:t>
            </w:r>
          </w:p>
        </w:tc>
      </w:tr>
      <w:tr>
        <w:trPr>
          <w:trHeight w:val="132"/>
        </w:trPr>
        <w:tc>
          <w:tcPr>
            <w:tcW w:w="3300" w:type="dxa"/>
            <w:vAlign w:val="bottom"/>
            <w:tcBorders>
              <w:top w:val="single" w:sz="8" w:color="CCEEFF"/>
            </w:tcBorders>
            <w:shd w:val="clear" w:color="auto" w:fill="CCEEFF"/>
          </w:tcPr>
          <w:p>
            <w:pPr>
              <w:spacing w:after="0" w:line="132" w:lineRule="exact"/>
              <w:rPr>
                <w:sz w:val="20"/>
                <w:szCs w:val="20"/>
                <w:color w:val="auto"/>
              </w:rPr>
            </w:pPr>
            <w:r>
              <w:rPr>
                <w:rFonts w:ascii="Times New Roman" w:cs="Times New Roman" w:eastAsia="Times New Roman" w:hAnsi="Times New Roman"/>
                <w:sz w:val="13"/>
                <w:szCs w:val="13"/>
                <w:color w:val="auto"/>
              </w:rPr>
              <w:t>Numerator:</w:t>
            </w:r>
          </w:p>
        </w:tc>
        <w:tc>
          <w:tcPr>
            <w:tcW w:w="480" w:type="dxa"/>
            <w:vAlign w:val="bottom"/>
            <w:tcBorders>
              <w:top w:val="single" w:sz="8" w:color="CCEEFF"/>
            </w:tcBorders>
            <w:shd w:val="clear" w:color="auto" w:fill="CCEEFF"/>
          </w:tcPr>
          <w:p>
            <w:pPr>
              <w:spacing w:after="0"/>
              <w:rPr>
                <w:sz w:val="11"/>
                <w:szCs w:val="11"/>
                <w:color w:val="auto"/>
              </w:rPr>
            </w:pPr>
          </w:p>
        </w:tc>
        <w:tc>
          <w:tcPr>
            <w:tcW w:w="760" w:type="dxa"/>
            <w:vAlign w:val="bottom"/>
            <w:tcBorders>
              <w:top w:val="single" w:sz="8" w:color="auto"/>
            </w:tcBorders>
            <w:shd w:val="clear" w:color="auto" w:fill="CCEEFF"/>
          </w:tcPr>
          <w:p>
            <w:pPr>
              <w:spacing w:after="0"/>
              <w:rPr>
                <w:sz w:val="11"/>
                <w:szCs w:val="11"/>
                <w:color w:val="auto"/>
              </w:rPr>
            </w:pPr>
          </w:p>
        </w:tc>
        <w:tc>
          <w:tcPr>
            <w:tcW w:w="180" w:type="dxa"/>
            <w:vAlign w:val="bottom"/>
            <w:tcBorders>
              <w:top w:val="single" w:sz="8" w:color="CCEEFF"/>
            </w:tcBorders>
            <w:shd w:val="clear" w:color="auto" w:fill="CCEEFF"/>
          </w:tcPr>
          <w:p>
            <w:pPr>
              <w:spacing w:after="0"/>
              <w:rPr>
                <w:sz w:val="11"/>
                <w:szCs w:val="11"/>
                <w:color w:val="auto"/>
              </w:rPr>
            </w:pPr>
          </w:p>
        </w:tc>
        <w:tc>
          <w:tcPr>
            <w:tcW w:w="68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66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68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r>
      <w:tr>
        <w:trPr>
          <w:trHeight w:val="152"/>
        </w:trPr>
        <w:tc>
          <w:tcPr>
            <w:tcW w:w="330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Net income (loss) attributable to common shareholders</w:t>
            </w:r>
          </w:p>
        </w:tc>
        <w:tc>
          <w:tcPr>
            <w:tcW w:w="1420" w:type="dxa"/>
            <w:vAlign w:val="bottom"/>
            <w:gridSpan w:val="3"/>
          </w:tcPr>
          <w:p>
            <w:pPr>
              <w:jc w:val="right"/>
              <w:ind w:right="180"/>
              <w:spacing w:after="0"/>
              <w:rPr>
                <w:sz w:val="20"/>
                <w:szCs w:val="20"/>
                <w:color w:val="auto"/>
              </w:rPr>
            </w:pPr>
            <w:r>
              <w:rPr>
                <w:rFonts w:ascii="Times New Roman" w:cs="Times New Roman" w:eastAsia="Times New Roman" w:hAnsi="Times New Roman"/>
                <w:sz w:val="13"/>
                <w:szCs w:val="13"/>
                <w:b w:val="1"/>
                <w:bCs w:val="1"/>
                <w:color w:val="auto"/>
              </w:rPr>
              <w:t>299,387</w:t>
            </w:r>
          </w:p>
        </w:tc>
        <w:tc>
          <w:tcPr>
            <w:tcW w:w="82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(302,448)</w:t>
            </w:r>
          </w:p>
        </w:tc>
        <w:tc>
          <w:tcPr>
            <w:tcW w:w="80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(203,347)</w:t>
            </w:r>
          </w:p>
        </w:tc>
        <w:tc>
          <w:tcPr>
            <w:tcW w:w="76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b w:val="1"/>
                <w:bCs w:val="1"/>
                <w:color w:val="auto"/>
              </w:rPr>
              <w:t>(670,668)</w:t>
            </w:r>
          </w:p>
        </w:tc>
      </w:tr>
      <w:tr>
        <w:trPr>
          <w:trHeight w:val="152"/>
        </w:trPr>
        <w:tc>
          <w:tcPr>
            <w:tcW w:w="33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Denominator:</w:t>
            </w:r>
          </w:p>
        </w:tc>
        <w:tc>
          <w:tcPr>
            <w:tcW w:w="480" w:type="dxa"/>
            <w:vAlign w:val="bottom"/>
            <w:shd w:val="clear" w:color="auto" w:fill="CCEEFF"/>
          </w:tcPr>
          <w:p>
            <w:pPr>
              <w:spacing w:after="0"/>
              <w:rPr>
                <w:sz w:val="13"/>
                <w:szCs w:val="13"/>
                <w:color w:val="auto"/>
              </w:rPr>
            </w:pPr>
          </w:p>
        </w:tc>
        <w:tc>
          <w:tcPr>
            <w:tcW w:w="7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6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r>
      <w:tr>
        <w:trPr>
          <w:trHeight w:val="152"/>
        </w:trPr>
        <w:tc>
          <w:tcPr>
            <w:tcW w:w="330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Weighted-average number of common shares outstanding</w:t>
            </w:r>
          </w:p>
        </w:tc>
        <w:tc>
          <w:tcPr>
            <w:tcW w:w="480" w:type="dxa"/>
            <w:vAlign w:val="bottom"/>
          </w:tcPr>
          <w:p>
            <w:pPr>
              <w:spacing w:after="0"/>
              <w:rPr>
                <w:sz w:val="13"/>
                <w:szCs w:val="13"/>
                <w:color w:val="auto"/>
              </w:rPr>
            </w:pPr>
          </w:p>
        </w:tc>
        <w:tc>
          <w:tcPr>
            <w:tcW w:w="7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80" w:type="dxa"/>
            <w:vAlign w:val="bottom"/>
          </w:tcPr>
          <w:p>
            <w:pPr>
              <w:spacing w:after="0"/>
              <w:rPr>
                <w:sz w:val="13"/>
                <w:szCs w:val="13"/>
                <w:color w:val="auto"/>
              </w:rPr>
            </w:pPr>
          </w:p>
        </w:tc>
      </w:tr>
      <w:tr>
        <w:trPr>
          <w:trHeight w:val="152"/>
        </w:trPr>
        <w:tc>
          <w:tcPr>
            <w:tcW w:w="33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Basic</w:t>
            </w:r>
          </w:p>
        </w:tc>
        <w:tc>
          <w:tcPr>
            <w:tcW w:w="1420" w:type="dxa"/>
            <w:vAlign w:val="bottom"/>
            <w:gridSpan w:val="3"/>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b w:val="1"/>
                <w:bCs w:val="1"/>
                <w:color w:val="auto"/>
              </w:rPr>
              <w:t>2,109,199,199</w:t>
            </w:r>
          </w:p>
        </w:tc>
        <w:tc>
          <w:tcPr>
            <w:tcW w:w="82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b w:val="1"/>
                <w:bCs w:val="1"/>
                <w:color w:val="auto"/>
              </w:rPr>
              <w:t>232,404,595</w:t>
            </w:r>
          </w:p>
        </w:tc>
        <w:tc>
          <w:tcPr>
            <w:tcW w:w="80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b w:val="1"/>
                <w:bCs w:val="1"/>
                <w:color w:val="auto"/>
                <w:w w:val="98"/>
              </w:rPr>
              <w:t>913,056,665</w:t>
            </w:r>
          </w:p>
        </w:tc>
        <w:tc>
          <w:tcPr>
            <w:tcW w:w="76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3"/>
                <w:szCs w:val="13"/>
                <w:b w:val="1"/>
                <w:bCs w:val="1"/>
                <w:color w:val="auto"/>
              </w:rPr>
              <w:t>228,309,237</w:t>
            </w:r>
          </w:p>
        </w:tc>
      </w:tr>
      <w:tr>
        <w:trPr>
          <w:trHeight w:val="152"/>
        </w:trPr>
        <w:tc>
          <w:tcPr>
            <w:tcW w:w="330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Diluted</w:t>
            </w:r>
          </w:p>
        </w:tc>
        <w:tc>
          <w:tcPr>
            <w:tcW w:w="1420" w:type="dxa"/>
            <w:vAlign w:val="bottom"/>
            <w:gridSpan w:val="3"/>
          </w:tcPr>
          <w:p>
            <w:pPr>
              <w:jc w:val="right"/>
              <w:ind w:right="180"/>
              <w:spacing w:after="0"/>
              <w:rPr>
                <w:sz w:val="20"/>
                <w:szCs w:val="20"/>
                <w:color w:val="auto"/>
              </w:rPr>
            </w:pPr>
            <w:r>
              <w:rPr>
                <w:rFonts w:ascii="Times New Roman" w:cs="Times New Roman" w:eastAsia="Times New Roman" w:hAnsi="Times New Roman"/>
                <w:sz w:val="13"/>
                <w:szCs w:val="13"/>
                <w:b w:val="1"/>
                <w:bCs w:val="1"/>
                <w:color w:val="auto"/>
              </w:rPr>
              <w:t>2,109,587,244</w:t>
            </w:r>
          </w:p>
        </w:tc>
        <w:tc>
          <w:tcPr>
            <w:tcW w:w="82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b w:val="1"/>
                <w:bCs w:val="1"/>
                <w:color w:val="auto"/>
              </w:rPr>
              <w:t>232,404,595</w:t>
            </w:r>
          </w:p>
        </w:tc>
        <w:tc>
          <w:tcPr>
            <w:tcW w:w="80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b w:val="1"/>
                <w:bCs w:val="1"/>
                <w:color w:val="auto"/>
                <w:w w:val="98"/>
              </w:rPr>
              <w:t>913,056,665</w:t>
            </w:r>
          </w:p>
        </w:tc>
        <w:tc>
          <w:tcPr>
            <w:tcW w:w="76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b w:val="1"/>
                <w:bCs w:val="1"/>
                <w:color w:val="auto"/>
              </w:rPr>
              <w:t>228,309,237</w:t>
            </w:r>
          </w:p>
        </w:tc>
      </w:tr>
      <w:tr>
        <w:trPr>
          <w:trHeight w:val="152"/>
        </w:trPr>
        <w:tc>
          <w:tcPr>
            <w:tcW w:w="33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Net income (loss) per share (in ones):</w:t>
            </w:r>
          </w:p>
        </w:tc>
        <w:tc>
          <w:tcPr>
            <w:tcW w:w="480" w:type="dxa"/>
            <w:vAlign w:val="bottom"/>
            <w:shd w:val="clear" w:color="auto" w:fill="CCEEFF"/>
          </w:tcPr>
          <w:p>
            <w:pPr>
              <w:spacing w:after="0"/>
              <w:rPr>
                <w:sz w:val="13"/>
                <w:szCs w:val="13"/>
                <w:color w:val="auto"/>
              </w:rPr>
            </w:pPr>
          </w:p>
        </w:tc>
        <w:tc>
          <w:tcPr>
            <w:tcW w:w="7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6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r>
      <w:tr>
        <w:trPr>
          <w:trHeight w:val="152"/>
        </w:trPr>
        <w:tc>
          <w:tcPr>
            <w:tcW w:w="330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Basic</w:t>
            </w:r>
          </w:p>
        </w:tc>
        <w:tc>
          <w:tcPr>
            <w:tcW w:w="1420" w:type="dxa"/>
            <w:vAlign w:val="bottom"/>
            <w:gridSpan w:val="3"/>
          </w:tcPr>
          <w:p>
            <w:pPr>
              <w:jc w:val="right"/>
              <w:ind w:right="180"/>
              <w:spacing w:after="0"/>
              <w:rPr>
                <w:sz w:val="20"/>
                <w:szCs w:val="20"/>
                <w:color w:val="auto"/>
              </w:rPr>
            </w:pPr>
            <w:r>
              <w:rPr>
                <w:rFonts w:ascii="Times New Roman" w:cs="Times New Roman" w:eastAsia="Times New Roman" w:hAnsi="Times New Roman"/>
                <w:sz w:val="13"/>
                <w:szCs w:val="13"/>
                <w:b w:val="1"/>
                <w:bCs w:val="1"/>
                <w:color w:val="auto"/>
              </w:rPr>
              <w:t>0.14</w:t>
            </w:r>
          </w:p>
        </w:tc>
        <w:tc>
          <w:tcPr>
            <w:tcW w:w="82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(1.30)</w:t>
            </w:r>
          </w:p>
        </w:tc>
        <w:tc>
          <w:tcPr>
            <w:tcW w:w="80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(0.22)</w:t>
            </w:r>
          </w:p>
        </w:tc>
        <w:tc>
          <w:tcPr>
            <w:tcW w:w="76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b w:val="1"/>
                <w:bCs w:val="1"/>
                <w:color w:val="auto"/>
              </w:rPr>
              <w:t>(2.94)</w:t>
            </w:r>
          </w:p>
        </w:tc>
      </w:tr>
      <w:tr>
        <w:trPr>
          <w:trHeight w:val="152"/>
        </w:trPr>
        <w:tc>
          <w:tcPr>
            <w:tcW w:w="33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Diluted</w:t>
            </w:r>
          </w:p>
        </w:tc>
        <w:tc>
          <w:tcPr>
            <w:tcW w:w="1420" w:type="dxa"/>
            <w:vAlign w:val="bottom"/>
            <w:gridSpan w:val="3"/>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b w:val="1"/>
                <w:bCs w:val="1"/>
                <w:color w:val="auto"/>
              </w:rPr>
              <w:t>0.14</w:t>
            </w:r>
          </w:p>
        </w:tc>
        <w:tc>
          <w:tcPr>
            <w:tcW w:w="8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(1.30)</w:t>
            </w:r>
          </w:p>
        </w:tc>
        <w:tc>
          <w:tcPr>
            <w:tcW w:w="80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b w:val="1"/>
                <w:bCs w:val="1"/>
                <w:color w:val="auto"/>
              </w:rPr>
              <w:t>(0.22)</w:t>
            </w:r>
          </w:p>
        </w:tc>
        <w:tc>
          <w:tcPr>
            <w:tcW w:w="76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b w:val="1"/>
                <w:bCs w:val="1"/>
                <w:color w:val="auto"/>
              </w:rPr>
              <w:t>(2.94)</w:t>
            </w:r>
          </w:p>
        </w:tc>
      </w:tr>
      <w:tr>
        <w:trPr>
          <w:trHeight w:val="256"/>
        </w:trPr>
        <w:tc>
          <w:tcPr>
            <w:tcW w:w="3300" w:type="dxa"/>
            <w:vAlign w:val="bottom"/>
          </w:tcPr>
          <w:p>
            <w:pPr>
              <w:spacing w:after="0"/>
              <w:rPr>
                <w:sz w:val="22"/>
                <w:szCs w:val="22"/>
                <w:color w:val="auto"/>
              </w:rPr>
            </w:pPr>
          </w:p>
        </w:tc>
        <w:tc>
          <w:tcPr>
            <w:tcW w:w="480" w:type="dxa"/>
            <w:vAlign w:val="bottom"/>
          </w:tcPr>
          <w:p>
            <w:pPr>
              <w:jc w:val="right"/>
              <w:ind w:right="117"/>
              <w:spacing w:after="0"/>
              <w:rPr>
                <w:sz w:val="20"/>
                <w:szCs w:val="20"/>
                <w:color w:val="auto"/>
              </w:rPr>
            </w:pPr>
            <w:r>
              <w:rPr>
                <w:rFonts w:ascii="Times New Roman" w:cs="Times New Roman" w:eastAsia="Times New Roman" w:hAnsi="Times New Roman"/>
                <w:sz w:val="13"/>
                <w:szCs w:val="13"/>
                <w:color w:val="auto"/>
              </w:rPr>
              <w:t>21</w:t>
            </w:r>
          </w:p>
        </w:tc>
        <w:tc>
          <w:tcPr>
            <w:tcW w:w="76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66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80" w:type="dxa"/>
            <w:vAlign w:val="bottom"/>
          </w:tcPr>
          <w:p>
            <w:pPr>
              <w:spacing w:after="0"/>
              <w:rPr>
                <w:sz w:val="22"/>
                <w:szCs w:val="22"/>
                <w:color w:val="auto"/>
              </w:rPr>
            </w:pPr>
          </w:p>
        </w:tc>
      </w:tr>
    </w:tbl>
    <w:p>
      <w:pPr>
        <w:sectPr>
          <w:pgSz w:w="11900" w:h="16838" w:orient="portrait"/>
          <w:cols w:equalWidth="0" w:num="1">
            <w:col w:w="9019"/>
          </w:cols>
          <w:pgMar w:left="1440" w:top="231" w:right="1440" w:bottom="1440" w:gutter="0" w:footer="0" w:header="0"/>
        </w:sectPr>
      </w:pPr>
    </w:p>
    <w:bookmarkStart w:id="78" w:name="page79"/>
    <w:bookmarkEnd w:id="78"/>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3"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The following table presents shares that were not included in the calculation of diluted earnings per share as of three and nine months ended,</w:t>
      </w:r>
    </w:p>
    <w:p>
      <w:pPr>
        <w:spacing w:after="0" w:line="15"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September 30, 2022 and 2021, as the shares would be antidilutive:</w:t>
      </w:r>
    </w:p>
    <w:p>
      <w:pPr>
        <w:spacing w:after="0" w:line="145" w:lineRule="exact"/>
        <w:rPr>
          <w:sz w:val="20"/>
          <w:szCs w:val="20"/>
          <w:color w:val="auto"/>
        </w:rPr>
      </w:pPr>
    </w:p>
    <w:tbl>
      <w:tblPr>
        <w:tblLayout w:type="fixed"/>
        <w:tblInd w:w="960" w:type="dxa"/>
        <w:tblCellMar>
          <w:top w:w="0" w:type="dxa"/>
          <w:left w:w="0" w:type="dxa"/>
          <w:bottom w:w="0" w:type="dxa"/>
          <w:right w:w="0" w:type="dxa"/>
        </w:tblCellMar>
      </w:tblPr>
      <w:tr>
        <w:trPr>
          <w:trHeight w:val="115"/>
        </w:trPr>
        <w:tc>
          <w:tcPr>
            <w:tcW w:w="4080" w:type="dxa"/>
            <w:vAlign w:val="bottom"/>
          </w:tcPr>
          <w:p>
            <w:pPr>
              <w:spacing w:after="0"/>
              <w:rPr>
                <w:sz w:val="10"/>
                <w:szCs w:val="10"/>
                <w:color w:val="auto"/>
              </w:rPr>
            </w:pPr>
          </w:p>
        </w:tc>
        <w:tc>
          <w:tcPr>
            <w:tcW w:w="1400" w:type="dxa"/>
            <w:vAlign w:val="bottom"/>
            <w:gridSpan w:val="3"/>
          </w:tcPr>
          <w:p>
            <w:pPr>
              <w:jc w:val="center"/>
              <w:spacing w:after="0"/>
              <w:rPr>
                <w:sz w:val="20"/>
                <w:szCs w:val="20"/>
                <w:color w:val="auto"/>
              </w:rPr>
            </w:pPr>
            <w:r>
              <w:rPr>
                <w:rFonts w:ascii="Times New Roman" w:cs="Times New Roman" w:eastAsia="Times New Roman" w:hAnsi="Times New Roman"/>
                <w:sz w:val="10"/>
                <w:szCs w:val="10"/>
                <w:b w:val="1"/>
                <w:bCs w:val="1"/>
                <w:color w:val="auto"/>
              </w:rPr>
              <w:t>For the three months ended</w:t>
            </w:r>
          </w:p>
        </w:tc>
        <w:tc>
          <w:tcPr>
            <w:tcW w:w="180" w:type="dxa"/>
            <w:vAlign w:val="bottom"/>
          </w:tcPr>
          <w:p>
            <w:pPr>
              <w:spacing w:after="0"/>
              <w:rPr>
                <w:sz w:val="10"/>
                <w:szCs w:val="10"/>
                <w:color w:val="auto"/>
              </w:rPr>
            </w:pPr>
          </w:p>
        </w:tc>
        <w:tc>
          <w:tcPr>
            <w:tcW w:w="1440" w:type="dxa"/>
            <w:vAlign w:val="bottom"/>
            <w:gridSpan w:val="4"/>
          </w:tcPr>
          <w:p>
            <w:pPr>
              <w:jc w:val="center"/>
              <w:ind w:right="40"/>
              <w:spacing w:after="0"/>
              <w:rPr>
                <w:sz w:val="20"/>
                <w:szCs w:val="20"/>
                <w:color w:val="auto"/>
              </w:rPr>
            </w:pPr>
            <w:r>
              <w:rPr>
                <w:rFonts w:ascii="Times New Roman" w:cs="Times New Roman" w:eastAsia="Times New Roman" w:hAnsi="Times New Roman"/>
                <w:sz w:val="10"/>
                <w:szCs w:val="10"/>
                <w:b w:val="1"/>
                <w:bCs w:val="1"/>
                <w:color w:val="auto"/>
              </w:rPr>
              <w:t>For the nine months ended</w:t>
            </w:r>
          </w:p>
        </w:tc>
      </w:tr>
      <w:tr>
        <w:trPr>
          <w:trHeight w:val="121"/>
        </w:trPr>
        <w:tc>
          <w:tcPr>
            <w:tcW w:w="4080" w:type="dxa"/>
            <w:vAlign w:val="bottom"/>
          </w:tcPr>
          <w:p>
            <w:pPr>
              <w:spacing w:after="0"/>
              <w:rPr>
                <w:sz w:val="10"/>
                <w:szCs w:val="10"/>
                <w:color w:val="auto"/>
              </w:rPr>
            </w:pPr>
          </w:p>
        </w:tc>
        <w:tc>
          <w:tcPr>
            <w:tcW w:w="1400" w:type="dxa"/>
            <w:vAlign w:val="bottom"/>
            <w:gridSpan w:val="3"/>
          </w:tcPr>
          <w:p>
            <w:pPr>
              <w:jc w:val="center"/>
              <w:spacing w:after="0"/>
              <w:rPr>
                <w:sz w:val="20"/>
                <w:szCs w:val="20"/>
                <w:color w:val="auto"/>
              </w:rPr>
            </w:pPr>
            <w:r>
              <w:rPr>
                <w:rFonts w:ascii="Times New Roman" w:cs="Times New Roman" w:eastAsia="Times New Roman" w:hAnsi="Times New Roman"/>
                <w:sz w:val="10"/>
                <w:szCs w:val="10"/>
                <w:b w:val="1"/>
                <w:bCs w:val="1"/>
                <w:color w:val="auto"/>
              </w:rPr>
              <w:t>September 30,</w:t>
            </w:r>
          </w:p>
        </w:tc>
        <w:tc>
          <w:tcPr>
            <w:tcW w:w="180" w:type="dxa"/>
            <w:vAlign w:val="bottom"/>
          </w:tcPr>
          <w:p>
            <w:pPr>
              <w:spacing w:after="0"/>
              <w:rPr>
                <w:sz w:val="10"/>
                <w:szCs w:val="10"/>
                <w:color w:val="auto"/>
              </w:rPr>
            </w:pPr>
          </w:p>
        </w:tc>
        <w:tc>
          <w:tcPr>
            <w:tcW w:w="1440" w:type="dxa"/>
            <w:vAlign w:val="bottom"/>
            <w:gridSpan w:val="4"/>
          </w:tcPr>
          <w:p>
            <w:pPr>
              <w:jc w:val="center"/>
              <w:ind w:right="40"/>
              <w:spacing w:after="0"/>
              <w:rPr>
                <w:sz w:val="20"/>
                <w:szCs w:val="20"/>
                <w:color w:val="auto"/>
              </w:rPr>
            </w:pPr>
            <w:r>
              <w:rPr>
                <w:rFonts w:ascii="Times New Roman" w:cs="Times New Roman" w:eastAsia="Times New Roman" w:hAnsi="Times New Roman"/>
                <w:sz w:val="10"/>
                <w:szCs w:val="10"/>
                <w:b w:val="1"/>
                <w:bCs w:val="1"/>
                <w:color w:val="auto"/>
                <w:w w:val="98"/>
              </w:rPr>
              <w:t>September 30,</w:t>
            </w:r>
          </w:p>
        </w:tc>
      </w:tr>
      <w:tr>
        <w:trPr>
          <w:trHeight w:val="94"/>
        </w:trPr>
        <w:tc>
          <w:tcPr>
            <w:tcW w:w="4080" w:type="dxa"/>
            <w:vAlign w:val="bottom"/>
            <w:tcBorders>
              <w:bottom w:val="single" w:sz="8" w:color="CCEEFF"/>
            </w:tcBorders>
          </w:tcPr>
          <w:p>
            <w:pPr>
              <w:spacing w:after="0"/>
              <w:rPr>
                <w:sz w:val="8"/>
                <w:szCs w:val="8"/>
                <w:color w:val="auto"/>
              </w:rPr>
            </w:pPr>
          </w:p>
        </w:tc>
        <w:tc>
          <w:tcPr>
            <w:tcW w:w="660" w:type="dxa"/>
            <w:vAlign w:val="bottom"/>
            <w:tcBorders>
              <w:top w:val="single" w:sz="8" w:color="auto"/>
              <w:bottom w:val="single" w:sz="8" w:color="auto"/>
            </w:tcBorders>
          </w:tcPr>
          <w:p>
            <w:pPr>
              <w:jc w:val="right"/>
              <w:ind w:right="160"/>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80" w:type="dxa"/>
            <w:vAlign w:val="bottom"/>
            <w:tcBorders>
              <w:top w:val="single" w:sz="8" w:color="auto"/>
              <w:bottom w:val="single" w:sz="8" w:color="CCEEFF"/>
            </w:tcBorders>
          </w:tcPr>
          <w:p>
            <w:pPr>
              <w:spacing w:after="0"/>
              <w:rPr>
                <w:sz w:val="8"/>
                <w:szCs w:val="8"/>
                <w:color w:val="auto"/>
              </w:rPr>
            </w:pPr>
          </w:p>
        </w:tc>
        <w:tc>
          <w:tcPr>
            <w:tcW w:w="560" w:type="dxa"/>
            <w:vAlign w:val="bottom"/>
            <w:tcBorders>
              <w:top w:val="single" w:sz="8" w:color="auto"/>
              <w:bottom w:val="single" w:sz="8" w:color="auto"/>
            </w:tcBorders>
          </w:tcPr>
          <w:p>
            <w:pPr>
              <w:ind w:left="180"/>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180" w:type="dxa"/>
            <w:vAlign w:val="bottom"/>
            <w:tcBorders>
              <w:bottom w:val="single" w:sz="8" w:color="CCEEFF"/>
            </w:tcBorders>
          </w:tcPr>
          <w:p>
            <w:pPr>
              <w:spacing w:after="0"/>
              <w:rPr>
                <w:sz w:val="8"/>
                <w:szCs w:val="8"/>
                <w:color w:val="auto"/>
              </w:rPr>
            </w:pPr>
          </w:p>
        </w:tc>
        <w:tc>
          <w:tcPr>
            <w:tcW w:w="680" w:type="dxa"/>
            <w:vAlign w:val="bottom"/>
            <w:tcBorders>
              <w:top w:val="single" w:sz="8" w:color="auto"/>
              <w:bottom w:val="single" w:sz="8" w:color="auto"/>
            </w:tcBorders>
          </w:tcPr>
          <w:p>
            <w:pPr>
              <w:jc w:val="right"/>
              <w:ind w:right="184"/>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80" w:type="dxa"/>
            <w:vAlign w:val="bottom"/>
            <w:tcBorders>
              <w:top w:val="single" w:sz="8" w:color="auto"/>
              <w:bottom w:val="single" w:sz="8" w:color="CCEEFF"/>
            </w:tcBorders>
          </w:tcPr>
          <w:p>
            <w:pPr>
              <w:spacing w:after="0"/>
              <w:rPr>
                <w:sz w:val="8"/>
                <w:szCs w:val="8"/>
                <w:color w:val="auto"/>
              </w:rPr>
            </w:pPr>
          </w:p>
        </w:tc>
        <w:tc>
          <w:tcPr>
            <w:tcW w:w="540" w:type="dxa"/>
            <w:vAlign w:val="bottom"/>
            <w:tcBorders>
              <w:top w:val="single" w:sz="8" w:color="auto"/>
              <w:bottom w:val="single" w:sz="8" w:color="auto"/>
            </w:tcBorders>
          </w:tcPr>
          <w:p>
            <w:pPr>
              <w:ind w:left="160"/>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40" w:type="dxa"/>
            <w:vAlign w:val="bottom"/>
            <w:tcBorders>
              <w:bottom w:val="single" w:sz="8" w:color="CCEEFF"/>
            </w:tcBorders>
          </w:tcPr>
          <w:p>
            <w:pPr>
              <w:spacing w:after="0"/>
              <w:rPr>
                <w:sz w:val="8"/>
                <w:szCs w:val="8"/>
                <w:color w:val="auto"/>
              </w:rPr>
            </w:pPr>
          </w:p>
        </w:tc>
      </w:tr>
      <w:tr>
        <w:trPr>
          <w:trHeight w:val="141"/>
        </w:trPr>
        <w:tc>
          <w:tcPr>
            <w:tcW w:w="4080" w:type="dxa"/>
            <w:vAlign w:val="bottom"/>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Earn-out Shares</w:t>
            </w:r>
          </w:p>
        </w:tc>
        <w:tc>
          <w:tcPr>
            <w:tcW w:w="66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w w:val="98"/>
              </w:rPr>
              <w:t>158,177,609</w:t>
            </w:r>
          </w:p>
        </w:tc>
        <w:tc>
          <w:tcPr>
            <w:tcW w:w="180" w:type="dxa"/>
            <w:vAlign w:val="bottom"/>
            <w:shd w:val="clear" w:color="auto" w:fill="CCEEFF"/>
          </w:tcPr>
          <w:p>
            <w:pPr>
              <w:spacing w:after="0"/>
              <w:rPr>
                <w:sz w:val="12"/>
                <w:szCs w:val="12"/>
                <w:color w:val="auto"/>
              </w:rPr>
            </w:pPr>
          </w:p>
        </w:tc>
        <w:tc>
          <w:tcPr>
            <w:tcW w:w="560" w:type="dxa"/>
            <w:vAlign w:val="bottom"/>
            <w:shd w:val="clear" w:color="auto" w:fill="CCEEFF"/>
          </w:tcPr>
          <w:p>
            <w:pPr>
              <w:ind w:left="360"/>
              <w:spacing w:after="0" w:line="141" w:lineRule="exact"/>
              <w:rPr>
                <w:sz w:val="20"/>
                <w:szCs w:val="20"/>
                <w:color w:val="auto"/>
              </w:rPr>
            </w:pPr>
            <w:r>
              <w:rPr>
                <w:rFonts w:ascii="Times New Roman" w:cs="Times New Roman" w:eastAsia="Times New Roman" w:hAnsi="Times New Roman"/>
                <w:sz w:val="13"/>
                <w:szCs w:val="13"/>
                <w:color w:val="auto"/>
              </w:rPr>
              <w:t>—</w:t>
            </w:r>
          </w:p>
        </w:tc>
        <w:tc>
          <w:tcPr>
            <w:tcW w:w="1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158,177,609</w:t>
            </w:r>
          </w:p>
        </w:tc>
        <w:tc>
          <w:tcPr>
            <w:tcW w:w="180" w:type="dxa"/>
            <w:vAlign w:val="bottom"/>
            <w:shd w:val="clear" w:color="auto" w:fill="CCEEFF"/>
          </w:tcPr>
          <w:p>
            <w:pPr>
              <w:spacing w:after="0"/>
              <w:rPr>
                <w:sz w:val="12"/>
                <w:szCs w:val="12"/>
                <w:color w:val="auto"/>
              </w:rPr>
            </w:pPr>
          </w:p>
        </w:tc>
        <w:tc>
          <w:tcPr>
            <w:tcW w:w="540" w:type="dxa"/>
            <w:vAlign w:val="bottom"/>
            <w:shd w:val="clear" w:color="auto" w:fill="CCEEFF"/>
          </w:tcPr>
          <w:p>
            <w:pPr>
              <w:ind w:left="360"/>
              <w:spacing w:after="0" w:line="141" w:lineRule="exact"/>
              <w:rPr>
                <w:sz w:val="20"/>
                <w:szCs w:val="20"/>
                <w:color w:val="auto"/>
              </w:rPr>
            </w:pPr>
            <w:r>
              <w:rPr>
                <w:rFonts w:ascii="Times New Roman" w:cs="Times New Roman" w:eastAsia="Times New Roman" w:hAnsi="Times New Roman"/>
                <w:sz w:val="13"/>
                <w:szCs w:val="13"/>
                <w:color w:val="auto"/>
              </w:rPr>
              <w:t>—</w:t>
            </w:r>
          </w:p>
        </w:tc>
        <w:tc>
          <w:tcPr>
            <w:tcW w:w="40" w:type="dxa"/>
            <w:vAlign w:val="bottom"/>
            <w:shd w:val="clear" w:color="auto" w:fill="CCEEFF"/>
          </w:tcPr>
          <w:p>
            <w:pPr>
              <w:spacing w:after="0"/>
              <w:rPr>
                <w:sz w:val="12"/>
                <w:szCs w:val="12"/>
                <w:color w:val="auto"/>
              </w:rPr>
            </w:pPr>
          </w:p>
        </w:tc>
      </w:tr>
      <w:tr>
        <w:trPr>
          <w:trHeight w:val="152"/>
        </w:trPr>
        <w:tc>
          <w:tcPr>
            <w:tcW w:w="4080" w:type="dxa"/>
            <w:vAlign w:val="bottom"/>
          </w:tcPr>
          <w:p>
            <w:pPr>
              <w:spacing w:after="0"/>
              <w:rPr>
                <w:sz w:val="20"/>
                <w:szCs w:val="20"/>
                <w:color w:val="auto"/>
              </w:rPr>
            </w:pPr>
            <w:r>
              <w:rPr>
                <w:rFonts w:ascii="Times New Roman" w:cs="Times New Roman" w:eastAsia="Times New Roman" w:hAnsi="Times New Roman"/>
                <w:sz w:val="13"/>
                <w:szCs w:val="13"/>
                <w:color w:val="auto"/>
              </w:rPr>
              <w:t>Class C-1 Shares</w:t>
            </w:r>
          </w:p>
        </w:tc>
        <w:tc>
          <w:tcPr>
            <w:tcW w:w="84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15,999,965</w:t>
            </w:r>
          </w:p>
        </w:tc>
        <w:tc>
          <w:tcPr>
            <w:tcW w:w="560" w:type="dxa"/>
            <w:vAlign w:val="bottom"/>
          </w:tcPr>
          <w:p>
            <w:pPr>
              <w:ind w:left="360"/>
              <w:spacing w:after="0"/>
              <w:rPr>
                <w:sz w:val="20"/>
                <w:szCs w:val="20"/>
                <w:color w:val="auto"/>
              </w:rPr>
            </w:pPr>
            <w:r>
              <w:rPr>
                <w:rFonts w:ascii="Times New Roman" w:cs="Times New Roman" w:eastAsia="Times New Roman" w:hAnsi="Times New Roman"/>
                <w:sz w:val="13"/>
                <w:szCs w:val="13"/>
                <w:color w:val="auto"/>
              </w:rPr>
              <w:t>—</w:t>
            </w:r>
          </w:p>
        </w:tc>
        <w:tc>
          <w:tcPr>
            <w:tcW w:w="1040" w:type="dxa"/>
            <w:vAlign w:val="bottom"/>
            <w:gridSpan w:val="3"/>
          </w:tcPr>
          <w:p>
            <w:pPr>
              <w:jc w:val="right"/>
              <w:ind w:right="180"/>
              <w:spacing w:after="0"/>
              <w:rPr>
                <w:sz w:val="20"/>
                <w:szCs w:val="20"/>
                <w:color w:val="auto"/>
              </w:rPr>
            </w:pPr>
            <w:r>
              <w:rPr>
                <w:rFonts w:ascii="Times New Roman" w:cs="Times New Roman" w:eastAsia="Times New Roman" w:hAnsi="Times New Roman"/>
                <w:sz w:val="13"/>
                <w:szCs w:val="13"/>
                <w:color w:val="auto"/>
              </w:rPr>
              <w:t>15,999,965</w:t>
            </w:r>
          </w:p>
        </w:tc>
        <w:tc>
          <w:tcPr>
            <w:tcW w:w="580" w:type="dxa"/>
            <w:vAlign w:val="bottom"/>
            <w:gridSpan w:val="2"/>
          </w:tcPr>
          <w:p>
            <w:pPr>
              <w:ind w:left="360"/>
              <w:spacing w:after="0"/>
              <w:rPr>
                <w:sz w:val="20"/>
                <w:szCs w:val="20"/>
                <w:color w:val="auto"/>
              </w:rPr>
            </w:pPr>
            <w:r>
              <w:rPr>
                <w:rFonts w:ascii="Times New Roman" w:cs="Times New Roman" w:eastAsia="Times New Roman" w:hAnsi="Times New Roman"/>
                <w:sz w:val="13"/>
                <w:szCs w:val="13"/>
                <w:color w:val="auto"/>
              </w:rPr>
              <w:t>—</w:t>
            </w:r>
          </w:p>
        </w:tc>
      </w:tr>
      <w:tr>
        <w:trPr>
          <w:trHeight w:val="152"/>
        </w:trPr>
        <w:tc>
          <w:tcPr>
            <w:tcW w:w="40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Class C-2 Shares</w:t>
            </w:r>
          </w:p>
        </w:tc>
        <w:tc>
          <w:tcPr>
            <w:tcW w:w="8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9,000,000</w:t>
            </w:r>
          </w:p>
        </w:tc>
        <w:tc>
          <w:tcPr>
            <w:tcW w:w="56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3"/>
                <w:szCs w:val="13"/>
                <w:color w:val="auto"/>
              </w:rPr>
              <w:t>—</w:t>
            </w:r>
          </w:p>
        </w:tc>
        <w:tc>
          <w:tcPr>
            <w:tcW w:w="1040" w:type="dxa"/>
            <w:vAlign w:val="bottom"/>
            <w:gridSpan w:val="3"/>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9,000,000</w:t>
            </w:r>
          </w:p>
        </w:tc>
        <w:tc>
          <w:tcPr>
            <w:tcW w:w="580" w:type="dxa"/>
            <w:vAlign w:val="bottom"/>
            <w:gridSpan w:val="2"/>
            <w:shd w:val="clear" w:color="auto" w:fill="CCEEFF"/>
          </w:tcPr>
          <w:p>
            <w:pPr>
              <w:ind w:left="360"/>
              <w:spacing w:after="0"/>
              <w:rPr>
                <w:sz w:val="20"/>
                <w:szCs w:val="20"/>
                <w:color w:val="auto"/>
              </w:rPr>
            </w:pPr>
            <w:r>
              <w:rPr>
                <w:rFonts w:ascii="Times New Roman" w:cs="Times New Roman" w:eastAsia="Times New Roman" w:hAnsi="Times New Roman"/>
                <w:sz w:val="13"/>
                <w:szCs w:val="13"/>
                <w:color w:val="auto"/>
              </w:rPr>
              <w:t>—</w:t>
            </w:r>
          </w:p>
        </w:tc>
      </w:tr>
      <w:tr>
        <w:trPr>
          <w:trHeight w:val="152"/>
        </w:trPr>
        <w:tc>
          <w:tcPr>
            <w:tcW w:w="4080" w:type="dxa"/>
            <w:vAlign w:val="bottom"/>
          </w:tcPr>
          <w:p>
            <w:pPr>
              <w:spacing w:after="0"/>
              <w:rPr>
                <w:sz w:val="20"/>
                <w:szCs w:val="20"/>
                <w:color w:val="auto"/>
              </w:rPr>
            </w:pPr>
            <w:r>
              <w:rPr>
                <w:rFonts w:ascii="Times New Roman" w:cs="Times New Roman" w:eastAsia="Times New Roman" w:hAnsi="Times New Roman"/>
                <w:sz w:val="13"/>
                <w:szCs w:val="13"/>
                <w:color w:val="auto"/>
              </w:rPr>
              <w:t>PSUs</w:t>
            </w:r>
          </w:p>
        </w:tc>
        <w:tc>
          <w:tcPr>
            <w:tcW w:w="84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858,821</w:t>
            </w:r>
          </w:p>
        </w:tc>
        <w:tc>
          <w:tcPr>
            <w:tcW w:w="560" w:type="dxa"/>
            <w:vAlign w:val="bottom"/>
          </w:tcPr>
          <w:p>
            <w:pPr>
              <w:ind w:left="360"/>
              <w:spacing w:after="0"/>
              <w:rPr>
                <w:sz w:val="20"/>
                <w:szCs w:val="20"/>
                <w:color w:val="auto"/>
              </w:rPr>
            </w:pPr>
            <w:r>
              <w:rPr>
                <w:rFonts w:ascii="Times New Roman" w:cs="Times New Roman" w:eastAsia="Times New Roman" w:hAnsi="Times New Roman"/>
                <w:sz w:val="13"/>
                <w:szCs w:val="13"/>
                <w:color w:val="auto"/>
              </w:rPr>
              <w:t>—</w:t>
            </w:r>
          </w:p>
        </w:tc>
        <w:tc>
          <w:tcPr>
            <w:tcW w:w="1040" w:type="dxa"/>
            <w:vAlign w:val="bottom"/>
            <w:gridSpan w:val="3"/>
          </w:tcPr>
          <w:p>
            <w:pPr>
              <w:jc w:val="right"/>
              <w:ind w:right="180"/>
              <w:spacing w:after="0"/>
              <w:rPr>
                <w:sz w:val="20"/>
                <w:szCs w:val="20"/>
                <w:color w:val="auto"/>
              </w:rPr>
            </w:pPr>
            <w:r>
              <w:rPr>
                <w:rFonts w:ascii="Times New Roman" w:cs="Times New Roman" w:eastAsia="Times New Roman" w:hAnsi="Times New Roman"/>
                <w:sz w:val="13"/>
                <w:szCs w:val="13"/>
                <w:color w:val="auto"/>
              </w:rPr>
              <w:t>858,821</w:t>
            </w:r>
          </w:p>
        </w:tc>
        <w:tc>
          <w:tcPr>
            <w:tcW w:w="580" w:type="dxa"/>
            <w:vAlign w:val="bottom"/>
            <w:gridSpan w:val="2"/>
          </w:tcPr>
          <w:p>
            <w:pPr>
              <w:ind w:left="360"/>
              <w:spacing w:after="0"/>
              <w:rPr>
                <w:sz w:val="20"/>
                <w:szCs w:val="20"/>
                <w:color w:val="auto"/>
              </w:rPr>
            </w:pPr>
            <w:r>
              <w:rPr>
                <w:rFonts w:ascii="Times New Roman" w:cs="Times New Roman" w:eastAsia="Times New Roman" w:hAnsi="Times New Roman"/>
                <w:sz w:val="13"/>
                <w:szCs w:val="13"/>
                <w:color w:val="auto"/>
              </w:rPr>
              <w:t>—</w:t>
            </w:r>
          </w:p>
        </w:tc>
      </w:tr>
      <w:tr>
        <w:trPr>
          <w:trHeight w:val="152"/>
        </w:trPr>
        <w:tc>
          <w:tcPr>
            <w:tcW w:w="40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RSUs</w:t>
            </w:r>
          </w:p>
        </w:tc>
        <w:tc>
          <w:tcPr>
            <w:tcW w:w="84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3"/>
                <w:szCs w:val="13"/>
                <w:color w:val="auto"/>
              </w:rPr>
              <w:t>—</w:t>
            </w:r>
          </w:p>
        </w:tc>
        <w:tc>
          <w:tcPr>
            <w:tcW w:w="56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3"/>
                <w:szCs w:val="13"/>
                <w:color w:val="auto"/>
              </w:rPr>
              <w:t>—</w:t>
            </w:r>
          </w:p>
        </w:tc>
        <w:tc>
          <w:tcPr>
            <w:tcW w:w="1040" w:type="dxa"/>
            <w:vAlign w:val="bottom"/>
            <w:gridSpan w:val="3"/>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629,303</w:t>
            </w:r>
          </w:p>
        </w:tc>
        <w:tc>
          <w:tcPr>
            <w:tcW w:w="580" w:type="dxa"/>
            <w:vAlign w:val="bottom"/>
            <w:gridSpan w:val="2"/>
            <w:shd w:val="clear" w:color="auto" w:fill="CCEEFF"/>
          </w:tcPr>
          <w:p>
            <w:pPr>
              <w:ind w:left="360"/>
              <w:spacing w:after="0"/>
              <w:rPr>
                <w:sz w:val="20"/>
                <w:szCs w:val="20"/>
                <w:color w:val="auto"/>
              </w:rPr>
            </w:pPr>
            <w:r>
              <w:rPr>
                <w:rFonts w:ascii="Times New Roman" w:cs="Times New Roman" w:eastAsia="Times New Roman" w:hAnsi="Times New Roman"/>
                <w:sz w:val="13"/>
                <w:szCs w:val="13"/>
                <w:color w:val="auto"/>
              </w:rPr>
              <w:t>—</w:t>
            </w:r>
          </w:p>
        </w:tc>
      </w:tr>
      <w:tr>
        <w:trPr>
          <w:trHeight w:val="152"/>
        </w:trPr>
        <w:tc>
          <w:tcPr>
            <w:tcW w:w="4080" w:type="dxa"/>
            <w:vAlign w:val="bottom"/>
          </w:tcPr>
          <w:p>
            <w:pPr>
              <w:spacing w:after="0"/>
              <w:rPr>
                <w:sz w:val="20"/>
                <w:szCs w:val="20"/>
                <w:color w:val="auto"/>
              </w:rPr>
            </w:pPr>
            <w:r>
              <w:rPr>
                <w:rFonts w:ascii="Times New Roman" w:cs="Times New Roman" w:eastAsia="Times New Roman" w:hAnsi="Times New Roman"/>
                <w:sz w:val="13"/>
                <w:szCs w:val="13"/>
                <w:color w:val="auto"/>
              </w:rPr>
              <w:t>Free share plan</w:t>
            </w:r>
          </w:p>
        </w:tc>
        <w:tc>
          <w:tcPr>
            <w:tcW w:w="84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334,990</w:t>
            </w:r>
          </w:p>
        </w:tc>
        <w:tc>
          <w:tcPr>
            <w:tcW w:w="560" w:type="dxa"/>
            <w:vAlign w:val="bottom"/>
          </w:tcPr>
          <w:p>
            <w:pPr>
              <w:ind w:left="360"/>
              <w:spacing w:after="0"/>
              <w:rPr>
                <w:sz w:val="20"/>
                <w:szCs w:val="20"/>
                <w:color w:val="auto"/>
              </w:rPr>
            </w:pPr>
            <w:r>
              <w:rPr>
                <w:rFonts w:ascii="Times New Roman" w:cs="Times New Roman" w:eastAsia="Times New Roman" w:hAnsi="Times New Roman"/>
                <w:sz w:val="13"/>
                <w:szCs w:val="13"/>
                <w:color w:val="auto"/>
              </w:rPr>
              <w:t>—</w:t>
            </w:r>
          </w:p>
        </w:tc>
        <w:tc>
          <w:tcPr>
            <w:tcW w:w="1040" w:type="dxa"/>
            <w:vAlign w:val="bottom"/>
            <w:gridSpan w:val="3"/>
          </w:tcPr>
          <w:p>
            <w:pPr>
              <w:jc w:val="right"/>
              <w:ind w:right="180"/>
              <w:spacing w:after="0"/>
              <w:rPr>
                <w:sz w:val="20"/>
                <w:szCs w:val="20"/>
                <w:color w:val="auto"/>
              </w:rPr>
            </w:pPr>
            <w:r>
              <w:rPr>
                <w:rFonts w:ascii="Times New Roman" w:cs="Times New Roman" w:eastAsia="Times New Roman" w:hAnsi="Times New Roman"/>
                <w:sz w:val="13"/>
                <w:szCs w:val="13"/>
                <w:color w:val="auto"/>
              </w:rPr>
              <w:t>334,990</w:t>
            </w:r>
          </w:p>
        </w:tc>
        <w:tc>
          <w:tcPr>
            <w:tcW w:w="580" w:type="dxa"/>
            <w:vAlign w:val="bottom"/>
            <w:gridSpan w:val="2"/>
          </w:tcPr>
          <w:p>
            <w:pPr>
              <w:ind w:left="360"/>
              <w:spacing w:after="0"/>
              <w:rPr>
                <w:sz w:val="20"/>
                <w:szCs w:val="20"/>
                <w:color w:val="auto"/>
              </w:rPr>
            </w:pPr>
            <w:r>
              <w:rPr>
                <w:rFonts w:ascii="Times New Roman" w:cs="Times New Roman" w:eastAsia="Times New Roman" w:hAnsi="Times New Roman"/>
                <w:sz w:val="13"/>
                <w:szCs w:val="13"/>
                <w:color w:val="auto"/>
              </w:rPr>
              <w:t>—</w:t>
            </w:r>
          </w:p>
        </w:tc>
      </w:tr>
      <w:tr>
        <w:trPr>
          <w:trHeight w:val="152"/>
        </w:trPr>
        <w:tc>
          <w:tcPr>
            <w:tcW w:w="40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Marketing services agreement</w:t>
            </w:r>
          </w:p>
        </w:tc>
        <w:tc>
          <w:tcPr>
            <w:tcW w:w="84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3"/>
                <w:szCs w:val="13"/>
                <w:color w:val="auto"/>
              </w:rPr>
              <w:t>—</w:t>
            </w:r>
          </w:p>
        </w:tc>
        <w:tc>
          <w:tcPr>
            <w:tcW w:w="56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3"/>
                <w:szCs w:val="13"/>
                <w:color w:val="auto"/>
              </w:rPr>
              <w:t>—</w:t>
            </w:r>
          </w:p>
        </w:tc>
        <w:tc>
          <w:tcPr>
            <w:tcW w:w="1040" w:type="dxa"/>
            <w:vAlign w:val="bottom"/>
            <w:gridSpan w:val="3"/>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156,250</w:t>
            </w:r>
          </w:p>
        </w:tc>
        <w:tc>
          <w:tcPr>
            <w:tcW w:w="580" w:type="dxa"/>
            <w:vAlign w:val="bottom"/>
            <w:gridSpan w:val="2"/>
            <w:shd w:val="clear" w:color="auto" w:fill="CCEEFF"/>
          </w:tcPr>
          <w:p>
            <w:pPr>
              <w:ind w:left="360"/>
              <w:spacing w:after="0"/>
              <w:rPr>
                <w:sz w:val="20"/>
                <w:szCs w:val="20"/>
                <w:color w:val="auto"/>
              </w:rPr>
            </w:pPr>
            <w:r>
              <w:rPr>
                <w:rFonts w:ascii="Times New Roman" w:cs="Times New Roman" w:eastAsia="Times New Roman" w:hAnsi="Times New Roman"/>
                <w:sz w:val="13"/>
                <w:szCs w:val="13"/>
                <w:color w:val="auto"/>
              </w:rPr>
              <w:t>—</w:t>
            </w:r>
          </w:p>
        </w:tc>
      </w:tr>
      <w:tr>
        <w:trPr>
          <w:trHeight w:val="152"/>
        </w:trPr>
        <w:tc>
          <w:tcPr>
            <w:tcW w:w="4080" w:type="dxa"/>
            <w:vAlign w:val="bottom"/>
          </w:tcPr>
          <w:p>
            <w:pPr>
              <w:spacing w:after="0"/>
              <w:rPr>
                <w:sz w:val="20"/>
                <w:szCs w:val="20"/>
                <w:color w:val="auto"/>
              </w:rPr>
            </w:pPr>
            <w:r>
              <w:rPr>
                <w:rFonts w:ascii="Times New Roman" w:cs="Times New Roman" w:eastAsia="Times New Roman" w:hAnsi="Times New Roman"/>
                <w:sz w:val="13"/>
                <w:szCs w:val="13"/>
                <w:color w:val="auto"/>
              </w:rPr>
              <w:t>Convertible Notes</w:t>
            </w:r>
          </w:p>
        </w:tc>
        <w:tc>
          <w:tcPr>
            <w:tcW w:w="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180" w:type="dxa"/>
            <w:vAlign w:val="bottom"/>
          </w:tcPr>
          <w:p>
            <w:pPr>
              <w:spacing w:after="0"/>
              <w:rPr>
                <w:sz w:val="13"/>
                <w:szCs w:val="13"/>
                <w:color w:val="auto"/>
              </w:rPr>
            </w:pPr>
          </w:p>
        </w:tc>
        <w:tc>
          <w:tcPr>
            <w:tcW w:w="560" w:type="dxa"/>
            <w:vAlign w:val="bottom"/>
            <w:tcBorders>
              <w:bottom w:val="single" w:sz="8" w:color="auto"/>
            </w:tcBorders>
          </w:tcPr>
          <w:p>
            <w:pPr>
              <w:ind w:left="60"/>
              <w:spacing w:after="0"/>
              <w:rPr>
                <w:sz w:val="20"/>
                <w:szCs w:val="20"/>
                <w:color w:val="auto"/>
              </w:rPr>
            </w:pPr>
            <w:r>
              <w:rPr>
                <w:rFonts w:ascii="Times New Roman" w:cs="Times New Roman" w:eastAsia="Times New Roman" w:hAnsi="Times New Roman"/>
                <w:sz w:val="13"/>
                <w:szCs w:val="13"/>
                <w:color w:val="auto"/>
                <w:w w:val="92"/>
              </w:rPr>
              <w:t>4,306,466</w:t>
            </w:r>
          </w:p>
        </w:tc>
        <w:tc>
          <w:tcPr>
            <w:tcW w:w="180" w:type="dxa"/>
            <w:vAlign w:val="bottom"/>
          </w:tcPr>
          <w:p>
            <w:pPr>
              <w:spacing w:after="0"/>
              <w:rPr>
                <w:sz w:val="13"/>
                <w:szCs w:val="13"/>
                <w:color w:val="auto"/>
              </w:rPr>
            </w:pPr>
          </w:p>
        </w:tc>
        <w:tc>
          <w:tcPr>
            <w:tcW w:w="680" w:type="dxa"/>
            <w:vAlign w:val="bottom"/>
            <w:tcBorders>
              <w:bottom w:val="single" w:sz="8" w:color="auto"/>
            </w:tcBorders>
          </w:tcPr>
          <w:p>
            <w:pPr>
              <w:jc w:val="right"/>
              <w:ind w:right="24"/>
              <w:spacing w:after="0"/>
              <w:rPr>
                <w:sz w:val="20"/>
                <w:szCs w:val="20"/>
                <w:color w:val="auto"/>
              </w:rPr>
            </w:pPr>
            <w:r>
              <w:rPr>
                <w:rFonts w:ascii="Times New Roman" w:cs="Times New Roman" w:eastAsia="Times New Roman" w:hAnsi="Times New Roman"/>
                <w:sz w:val="13"/>
                <w:szCs w:val="13"/>
                <w:color w:val="auto"/>
              </w:rPr>
              <w:t>—</w:t>
            </w:r>
          </w:p>
        </w:tc>
        <w:tc>
          <w:tcPr>
            <w:tcW w:w="180" w:type="dxa"/>
            <w:vAlign w:val="bottom"/>
          </w:tcPr>
          <w:p>
            <w:pPr>
              <w:spacing w:after="0"/>
              <w:rPr>
                <w:sz w:val="13"/>
                <w:szCs w:val="13"/>
                <w:color w:val="auto"/>
              </w:rPr>
            </w:pPr>
          </w:p>
        </w:tc>
        <w:tc>
          <w:tcPr>
            <w:tcW w:w="540" w:type="dxa"/>
            <w:vAlign w:val="bottom"/>
            <w:tcBorders>
              <w:bottom w:val="single" w:sz="8" w:color="auto"/>
            </w:tcBorders>
          </w:tcPr>
          <w:p>
            <w:pPr>
              <w:ind w:left="40"/>
              <w:spacing w:after="0"/>
              <w:rPr>
                <w:sz w:val="20"/>
                <w:szCs w:val="20"/>
                <w:color w:val="auto"/>
              </w:rPr>
            </w:pPr>
            <w:r>
              <w:rPr>
                <w:rFonts w:ascii="Times New Roman" w:cs="Times New Roman" w:eastAsia="Times New Roman" w:hAnsi="Times New Roman"/>
                <w:sz w:val="13"/>
                <w:szCs w:val="13"/>
                <w:color w:val="auto"/>
                <w:w w:val="92"/>
              </w:rPr>
              <w:t>4,306,466</w:t>
            </w:r>
          </w:p>
        </w:tc>
        <w:tc>
          <w:tcPr>
            <w:tcW w:w="40" w:type="dxa"/>
            <w:vAlign w:val="bottom"/>
          </w:tcPr>
          <w:p>
            <w:pPr>
              <w:spacing w:after="0"/>
              <w:rPr>
                <w:sz w:val="13"/>
                <w:szCs w:val="13"/>
                <w:color w:val="auto"/>
              </w:rPr>
            </w:pPr>
          </w:p>
        </w:tc>
      </w:tr>
      <w:tr>
        <w:trPr>
          <w:trHeight w:val="151"/>
        </w:trPr>
        <w:tc>
          <w:tcPr>
            <w:tcW w:w="40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Total antidilutive shares</w:t>
            </w:r>
          </w:p>
        </w:tc>
        <w:tc>
          <w:tcPr>
            <w:tcW w:w="8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b w:val="1"/>
                <w:bCs w:val="1"/>
                <w:color w:val="auto"/>
                <w:w w:val="98"/>
              </w:rPr>
              <w:t>184,371,385</w:t>
            </w:r>
          </w:p>
        </w:tc>
        <w:tc>
          <w:tcPr>
            <w:tcW w:w="56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3"/>
                <w:szCs w:val="13"/>
                <w:b w:val="1"/>
                <w:bCs w:val="1"/>
                <w:color w:val="auto"/>
                <w:w w:val="92"/>
              </w:rPr>
              <w:t>4,306,466</w:t>
            </w:r>
          </w:p>
        </w:tc>
        <w:tc>
          <w:tcPr>
            <w:tcW w:w="1040" w:type="dxa"/>
            <w:vAlign w:val="bottom"/>
            <w:gridSpan w:val="3"/>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b w:val="1"/>
                <w:bCs w:val="1"/>
                <w:color w:val="auto"/>
              </w:rPr>
              <w:t>185,156,938</w:t>
            </w:r>
          </w:p>
        </w:tc>
        <w:tc>
          <w:tcPr>
            <w:tcW w:w="5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3"/>
                <w:szCs w:val="13"/>
                <w:b w:val="1"/>
                <w:bCs w:val="1"/>
                <w:color w:val="auto"/>
                <w:w w:val="99"/>
              </w:rPr>
              <w:t>4,306,466</w:t>
            </w:r>
          </w:p>
        </w:tc>
      </w:tr>
      <w:tr>
        <w:trPr>
          <w:trHeight w:val="20"/>
        </w:trPr>
        <w:tc>
          <w:tcPr>
            <w:tcW w:w="408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14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Refer to Note 6 - Equity for more details on the rights of Class A and B common shareholders.</w:t>
      </w:r>
    </w:p>
    <w:p>
      <w:pPr>
        <w:spacing w:after="0" w:line="106" w:lineRule="exact"/>
        <w:rPr>
          <w:sz w:val="20"/>
          <w:szCs w:val="20"/>
          <w:color w:val="auto"/>
        </w:rPr>
      </w:pPr>
    </w:p>
    <w:p>
      <w:pPr>
        <w:ind w:left="4440"/>
        <w:spacing w:after="0"/>
        <w:rPr>
          <w:sz w:val="20"/>
          <w:szCs w:val="20"/>
          <w:color w:val="auto"/>
        </w:rPr>
      </w:pPr>
      <w:r>
        <w:rPr>
          <w:rFonts w:ascii="Times New Roman" w:cs="Times New Roman" w:eastAsia="Times New Roman" w:hAnsi="Times New Roman"/>
          <w:sz w:val="13"/>
          <w:szCs w:val="13"/>
          <w:color w:val="auto"/>
        </w:rPr>
        <w:t>22</w:t>
      </w:r>
    </w:p>
    <w:p>
      <w:pPr>
        <w:sectPr>
          <w:pgSz w:w="11900" w:h="16838" w:orient="portrait"/>
          <w:cols w:equalWidth="0" w:num="1">
            <w:col w:w="9019"/>
          </w:cols>
          <w:pgMar w:left="1440" w:top="231" w:right="1440" w:bottom="1440" w:gutter="0" w:footer="0" w:header="0"/>
        </w:sectPr>
      </w:pPr>
    </w:p>
    <w:bookmarkStart w:id="79" w:name="page80"/>
    <w:bookmarkEnd w:id="79"/>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1"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Note 5 - Intangible assets and goodwill</w:t>
      </w:r>
    </w:p>
    <w:p>
      <w:pPr>
        <w:spacing w:after="0" w:line="80"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The following table depicts the split between Polestar Group’s intangible assets, goodwill and trademarks:</w:t>
      </w:r>
    </w:p>
    <w:p>
      <w:pPr>
        <w:spacing w:after="0" w:line="169" w:lineRule="exact"/>
        <w:rPr>
          <w:sz w:val="20"/>
          <w:szCs w:val="20"/>
          <w:color w:val="auto"/>
        </w:rPr>
      </w:pPr>
    </w:p>
    <w:p>
      <w:pPr>
        <w:jc w:val="center"/>
        <w:ind w:left="4400"/>
        <w:spacing w:after="0"/>
        <w:rPr>
          <w:sz w:val="20"/>
          <w:szCs w:val="20"/>
          <w:color w:val="auto"/>
        </w:rPr>
      </w:pPr>
      <w:r>
        <w:rPr>
          <w:rFonts w:ascii="Times New Roman" w:cs="Times New Roman" w:eastAsia="Times New Roman" w:hAnsi="Times New Roman"/>
          <w:sz w:val="10"/>
          <w:szCs w:val="10"/>
          <w:b w:val="1"/>
          <w:bCs w:val="1"/>
          <w:color w:val="auto"/>
        </w:rPr>
        <w:t>Intangible assets,</w:t>
      </w:r>
    </w:p>
    <w:p>
      <w:pPr>
        <w:ind w:left="6440"/>
        <w:spacing w:after="0" w:line="220" w:lineRule="auto"/>
        <w:rPr>
          <w:sz w:val="20"/>
          <w:szCs w:val="20"/>
          <w:color w:val="auto"/>
        </w:rPr>
      </w:pPr>
      <w:r>
        <w:rPr>
          <w:rFonts w:ascii="Times New Roman" w:cs="Times New Roman" w:eastAsia="Times New Roman" w:hAnsi="Times New Roman"/>
          <w:sz w:val="10"/>
          <w:szCs w:val="10"/>
          <w:b w:val="1"/>
          <w:bCs w:val="1"/>
          <w:color w:val="auto"/>
        </w:rPr>
        <w:t>goodwill and</w:t>
      </w:r>
    </w:p>
    <w:p>
      <w:pPr>
        <w:ind w:left="6460"/>
        <w:spacing w:after="0" w:line="227" w:lineRule="auto"/>
        <w:rPr>
          <w:sz w:val="20"/>
          <w:szCs w:val="20"/>
          <w:color w:val="auto"/>
        </w:rPr>
      </w:pPr>
      <w:r>
        <w:rPr>
          <w:rFonts w:ascii="Times New Roman" w:cs="Times New Roman" w:eastAsia="Times New Roman" w:hAnsi="Times New Roman"/>
          <w:sz w:val="10"/>
          <w:szCs w:val="10"/>
          <w:b w:val="1"/>
          <w:bCs w:val="1"/>
          <w:color w:val="auto"/>
        </w:rPr>
        <w:t>trademarks</w:t>
      </w:r>
    </w:p>
    <w:tbl>
      <w:tblPr>
        <w:tblLayout w:type="fixed"/>
        <w:tblInd w:w="640" w:type="dxa"/>
        <w:tblCellMar>
          <w:top w:w="0" w:type="dxa"/>
          <w:left w:w="0" w:type="dxa"/>
          <w:bottom w:w="0" w:type="dxa"/>
          <w:right w:w="0" w:type="dxa"/>
        </w:tblCellMar>
      </w:tblPr>
      <w:tr>
        <w:trPr>
          <w:trHeight w:val="141"/>
        </w:trPr>
        <w:tc>
          <w:tcPr>
            <w:tcW w:w="3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3400" w:type="dxa"/>
            <w:vAlign w:val="bottom"/>
            <w:tcBorders>
              <w:top w:val="single" w:sz="8" w:color="CCEEFF"/>
            </w:tcBorders>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Intangible assets</w:t>
            </w:r>
          </w:p>
        </w:tc>
        <w:tc>
          <w:tcPr>
            <w:tcW w:w="560" w:type="dxa"/>
            <w:vAlign w:val="bottom"/>
            <w:tcBorders>
              <w:top w:val="single" w:sz="8" w:color="CCEEFF"/>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28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rPr>
                <w:sz w:val="12"/>
                <w:szCs w:val="12"/>
                <w:color w:val="auto"/>
              </w:rPr>
            </w:pPr>
          </w:p>
        </w:tc>
        <w:tc>
          <w:tcPr>
            <w:tcW w:w="580" w:type="dxa"/>
            <w:vAlign w:val="bottom"/>
            <w:tcBorders>
              <w:top w:val="single" w:sz="8" w:color="auto"/>
              <w:right w:val="single" w:sz="8" w:color="CCEEFF"/>
            </w:tcBorders>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1,254,210</w:t>
            </w:r>
          </w:p>
        </w:tc>
        <w:tc>
          <w:tcPr>
            <w:tcW w:w="1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2"/>
        </w:trPr>
        <w:tc>
          <w:tcPr>
            <w:tcW w:w="32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3400" w:type="dxa"/>
            <w:vAlign w:val="bottom"/>
          </w:tcPr>
          <w:p>
            <w:pPr>
              <w:spacing w:after="0"/>
              <w:rPr>
                <w:sz w:val="20"/>
                <w:szCs w:val="20"/>
                <w:color w:val="auto"/>
              </w:rPr>
            </w:pPr>
            <w:r>
              <w:rPr>
                <w:rFonts w:ascii="Times New Roman" w:cs="Times New Roman" w:eastAsia="Times New Roman" w:hAnsi="Times New Roman"/>
                <w:sz w:val="13"/>
                <w:szCs w:val="13"/>
                <w:color w:val="auto"/>
              </w:rPr>
              <w:t>Goodwill and trademarks</w:t>
            </w:r>
          </w:p>
        </w:tc>
        <w:tc>
          <w:tcPr>
            <w:tcW w:w="5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58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13"/>
                <w:szCs w:val="13"/>
                <w:color w:val="auto"/>
              </w:rPr>
              <w:t>45,667</w:t>
            </w:r>
          </w:p>
        </w:tc>
        <w:tc>
          <w:tcPr>
            <w:tcW w:w="1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32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34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Balance as of September 30, 2022</w:t>
            </w:r>
          </w:p>
        </w:tc>
        <w:tc>
          <w:tcPr>
            <w:tcW w:w="56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8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1,299,877</w:t>
            </w:r>
          </w:p>
        </w:tc>
        <w:tc>
          <w:tcPr>
            <w:tcW w:w="1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02"/>
        </w:trPr>
        <w:tc>
          <w:tcPr>
            <w:tcW w:w="4640" w:type="dxa"/>
            <w:vAlign w:val="bottom"/>
            <w:gridSpan w:val="3"/>
          </w:tcPr>
          <w:p>
            <w:pPr>
              <w:spacing w:after="0"/>
              <w:rPr>
                <w:sz w:val="20"/>
                <w:szCs w:val="20"/>
                <w:color w:val="auto"/>
              </w:rPr>
            </w:pPr>
            <w:r>
              <w:rPr>
                <w:rFonts w:ascii="Times New Roman" w:cs="Times New Roman" w:eastAsia="Times New Roman" w:hAnsi="Times New Roman"/>
                <w:sz w:val="13"/>
                <w:szCs w:val="13"/>
                <w:color w:val="auto"/>
              </w:rPr>
              <w:t>Intangible assets were as follows:</w:t>
            </w:r>
          </w:p>
        </w:tc>
        <w:tc>
          <w:tcPr>
            <w:tcW w:w="5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46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8"/>
        </w:trPr>
        <w:tc>
          <w:tcPr>
            <w:tcW w:w="320" w:type="dxa"/>
            <w:vAlign w:val="bottom"/>
          </w:tcPr>
          <w:p>
            <w:pPr>
              <w:spacing w:after="0"/>
              <w:rPr>
                <w:sz w:val="22"/>
                <w:szCs w:val="22"/>
                <w:color w:val="auto"/>
              </w:rPr>
            </w:pPr>
          </w:p>
        </w:tc>
        <w:tc>
          <w:tcPr>
            <w:tcW w:w="920" w:type="dxa"/>
            <w:vAlign w:val="bottom"/>
          </w:tcPr>
          <w:p>
            <w:pPr>
              <w:spacing w:after="0"/>
              <w:rPr>
                <w:sz w:val="22"/>
                <w:szCs w:val="22"/>
                <w:color w:val="auto"/>
              </w:rPr>
            </w:pPr>
          </w:p>
        </w:tc>
        <w:tc>
          <w:tcPr>
            <w:tcW w:w="3400" w:type="dxa"/>
            <w:vAlign w:val="bottom"/>
          </w:tcPr>
          <w:p>
            <w:pPr>
              <w:spacing w:after="0"/>
              <w:rPr>
                <w:sz w:val="22"/>
                <w:szCs w:val="22"/>
                <w:color w:val="auto"/>
              </w:rPr>
            </w:pPr>
          </w:p>
        </w:tc>
        <w:tc>
          <w:tcPr>
            <w:tcW w:w="780" w:type="dxa"/>
            <w:vAlign w:val="bottom"/>
            <w:gridSpan w:val="2"/>
          </w:tcPr>
          <w:p>
            <w:pPr>
              <w:jc w:val="right"/>
              <w:ind w:right="280"/>
              <w:spacing w:after="0"/>
              <w:rPr>
                <w:sz w:val="20"/>
                <w:szCs w:val="20"/>
                <w:color w:val="auto"/>
              </w:rPr>
            </w:pPr>
            <w:r>
              <w:rPr>
                <w:rFonts w:ascii="Times New Roman" w:cs="Times New Roman" w:eastAsia="Times New Roman" w:hAnsi="Times New Roman"/>
                <w:sz w:val="10"/>
                <w:szCs w:val="10"/>
                <w:b w:val="1"/>
                <w:bCs w:val="1"/>
                <w:color w:val="auto"/>
              </w:rPr>
              <w:t>Internally</w:t>
            </w:r>
          </w:p>
        </w:tc>
        <w:tc>
          <w:tcPr>
            <w:tcW w:w="480" w:type="dxa"/>
            <w:vAlign w:val="bottom"/>
            <w:gridSpan w:val="3"/>
            <w:vMerge w:val="restart"/>
          </w:tcPr>
          <w:p>
            <w:pPr>
              <w:jc w:val="right"/>
              <w:ind w:right="100"/>
              <w:spacing w:after="0"/>
              <w:rPr>
                <w:sz w:val="20"/>
                <w:szCs w:val="20"/>
                <w:color w:val="auto"/>
              </w:rPr>
            </w:pPr>
            <w:r>
              <w:rPr>
                <w:rFonts w:ascii="Times New Roman" w:cs="Times New Roman" w:eastAsia="Times New Roman" w:hAnsi="Times New Roman"/>
                <w:sz w:val="10"/>
                <w:szCs w:val="10"/>
                <w:b w:val="1"/>
                <w:bCs w:val="1"/>
                <w:color w:val="auto"/>
                <w:w w:val="93"/>
              </w:rPr>
              <w:t>Software</w:t>
            </w:r>
          </w:p>
        </w:tc>
        <w:tc>
          <w:tcPr>
            <w:tcW w:w="120" w:type="dxa"/>
            <w:vAlign w:val="bottom"/>
          </w:tcPr>
          <w:p>
            <w:pPr>
              <w:spacing w:after="0"/>
              <w:rPr>
                <w:sz w:val="22"/>
                <w:szCs w:val="22"/>
                <w:color w:val="auto"/>
              </w:rPr>
            </w:pPr>
          </w:p>
        </w:tc>
        <w:tc>
          <w:tcPr>
            <w:tcW w:w="780" w:type="dxa"/>
            <w:vAlign w:val="bottom"/>
            <w:gridSpan w:val="3"/>
            <w:vMerge w:val="restart"/>
          </w:tcPr>
          <w:p>
            <w:pPr>
              <w:jc w:val="right"/>
              <w:ind w:right="240"/>
              <w:spacing w:after="0"/>
              <w:rPr>
                <w:sz w:val="20"/>
                <w:szCs w:val="20"/>
                <w:color w:val="auto"/>
              </w:rPr>
            </w:pPr>
            <w:r>
              <w:rPr>
                <w:rFonts w:ascii="Times New Roman" w:cs="Times New Roman" w:eastAsia="Times New Roman" w:hAnsi="Times New Roman"/>
                <w:sz w:val="10"/>
                <w:szCs w:val="10"/>
                <w:b w:val="1"/>
                <w:bCs w:val="1"/>
                <w:color w:val="auto"/>
                <w:w w:val="98"/>
              </w:rPr>
              <w:t>Acquired IP</w:t>
            </w:r>
          </w:p>
        </w:tc>
        <w:tc>
          <w:tcPr>
            <w:tcW w:w="620" w:type="dxa"/>
            <w:vAlign w:val="bottom"/>
            <w:gridSpan w:val="2"/>
            <w:vMerge w:val="restart"/>
          </w:tcPr>
          <w:p>
            <w:pPr>
              <w:jc w:val="right"/>
              <w:ind w:right="240"/>
              <w:spacing w:after="0"/>
              <w:rPr>
                <w:sz w:val="20"/>
                <w:szCs w:val="20"/>
                <w:color w:val="auto"/>
              </w:rPr>
            </w:pPr>
            <w:r>
              <w:rPr>
                <w:rFonts w:ascii="Times New Roman" w:cs="Times New Roman" w:eastAsia="Times New Roman" w:hAnsi="Times New Roman"/>
                <w:sz w:val="10"/>
                <w:szCs w:val="10"/>
                <w:b w:val="1"/>
                <w:bCs w:val="1"/>
                <w:color w:val="auto"/>
              </w:rPr>
              <w:t>Total</w:t>
            </w:r>
          </w:p>
        </w:tc>
        <w:tc>
          <w:tcPr>
            <w:tcW w:w="0" w:type="dxa"/>
            <w:vAlign w:val="bottom"/>
          </w:tcPr>
          <w:p>
            <w:pPr>
              <w:spacing w:after="0"/>
              <w:rPr>
                <w:sz w:val="1"/>
                <w:szCs w:val="1"/>
                <w:color w:val="auto"/>
              </w:rPr>
            </w:pPr>
          </w:p>
        </w:tc>
      </w:tr>
      <w:tr>
        <w:trPr>
          <w:trHeight w:val="121"/>
        </w:trPr>
        <w:tc>
          <w:tcPr>
            <w:tcW w:w="32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3400" w:type="dxa"/>
            <w:vAlign w:val="bottom"/>
          </w:tcPr>
          <w:p>
            <w:pPr>
              <w:spacing w:after="0"/>
              <w:rPr>
                <w:sz w:val="10"/>
                <w:szCs w:val="10"/>
                <w:color w:val="auto"/>
              </w:rPr>
            </w:pPr>
          </w:p>
        </w:tc>
        <w:tc>
          <w:tcPr>
            <w:tcW w:w="780" w:type="dxa"/>
            <w:vAlign w:val="bottom"/>
            <w:gridSpan w:val="2"/>
          </w:tcPr>
          <w:p>
            <w:pPr>
              <w:jc w:val="right"/>
              <w:ind w:right="220"/>
              <w:spacing w:after="0"/>
              <w:rPr>
                <w:sz w:val="20"/>
                <w:szCs w:val="20"/>
                <w:color w:val="auto"/>
              </w:rPr>
            </w:pPr>
            <w:r>
              <w:rPr>
                <w:rFonts w:ascii="Times New Roman" w:cs="Times New Roman" w:eastAsia="Times New Roman" w:hAnsi="Times New Roman"/>
                <w:sz w:val="10"/>
                <w:szCs w:val="10"/>
                <w:b w:val="1"/>
                <w:bCs w:val="1"/>
                <w:color w:val="auto"/>
                <w:w w:val="97"/>
              </w:rPr>
              <w:t>developed IP</w:t>
            </w:r>
          </w:p>
        </w:tc>
        <w:tc>
          <w:tcPr>
            <w:tcW w:w="480" w:type="dxa"/>
            <w:vAlign w:val="bottom"/>
            <w:gridSpan w:val="3"/>
            <w:vMerge w:val="continue"/>
          </w:tcPr>
          <w:p>
            <w:pPr>
              <w:spacing w:after="0"/>
              <w:rPr>
                <w:sz w:val="10"/>
                <w:szCs w:val="10"/>
                <w:color w:val="auto"/>
              </w:rPr>
            </w:pPr>
          </w:p>
        </w:tc>
        <w:tc>
          <w:tcPr>
            <w:tcW w:w="120" w:type="dxa"/>
            <w:vAlign w:val="bottom"/>
          </w:tcPr>
          <w:p>
            <w:pPr>
              <w:spacing w:after="0"/>
              <w:rPr>
                <w:sz w:val="10"/>
                <w:szCs w:val="10"/>
                <w:color w:val="auto"/>
              </w:rPr>
            </w:pPr>
          </w:p>
        </w:tc>
        <w:tc>
          <w:tcPr>
            <w:tcW w:w="780" w:type="dxa"/>
            <w:vAlign w:val="bottom"/>
            <w:gridSpan w:val="3"/>
            <w:vMerge w:val="continue"/>
          </w:tcPr>
          <w:p>
            <w:pPr>
              <w:spacing w:after="0"/>
              <w:rPr>
                <w:sz w:val="10"/>
                <w:szCs w:val="10"/>
                <w:color w:val="auto"/>
              </w:rPr>
            </w:pPr>
          </w:p>
        </w:tc>
        <w:tc>
          <w:tcPr>
            <w:tcW w:w="620" w:type="dxa"/>
            <w:vAlign w:val="bottom"/>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32"/>
        </w:trPr>
        <w:tc>
          <w:tcPr>
            <w:tcW w:w="320" w:type="dxa"/>
            <w:vAlign w:val="bottom"/>
          </w:tcPr>
          <w:p>
            <w:pPr>
              <w:spacing w:after="0"/>
              <w:rPr>
                <w:sz w:val="11"/>
                <w:szCs w:val="11"/>
                <w:color w:val="auto"/>
              </w:rPr>
            </w:pPr>
          </w:p>
        </w:tc>
        <w:tc>
          <w:tcPr>
            <w:tcW w:w="4320" w:type="dxa"/>
            <w:vAlign w:val="bottom"/>
            <w:tcBorders>
              <w:top w:val="single" w:sz="8" w:color="CCEEFF"/>
            </w:tcBorders>
            <w:gridSpan w:val="2"/>
            <w:shd w:val="clear" w:color="auto" w:fill="CCEEFF"/>
          </w:tcPr>
          <w:p>
            <w:pPr>
              <w:spacing w:after="0" w:line="132" w:lineRule="exact"/>
              <w:rPr>
                <w:sz w:val="20"/>
                <w:szCs w:val="20"/>
                <w:color w:val="auto"/>
              </w:rPr>
            </w:pPr>
            <w:r>
              <w:rPr>
                <w:rFonts w:ascii="Times New Roman" w:cs="Times New Roman" w:eastAsia="Times New Roman" w:hAnsi="Times New Roman"/>
                <w:sz w:val="13"/>
                <w:szCs w:val="13"/>
                <w:b w:val="1"/>
                <w:bCs w:val="1"/>
                <w:color w:val="auto"/>
              </w:rPr>
              <w:t>Acquisition cost</w:t>
            </w:r>
          </w:p>
        </w:tc>
        <w:tc>
          <w:tcPr>
            <w:tcW w:w="560" w:type="dxa"/>
            <w:vAlign w:val="bottom"/>
            <w:tcBorders>
              <w:top w:val="single" w:sz="8" w:color="auto"/>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28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460" w:type="dxa"/>
            <w:vAlign w:val="bottom"/>
            <w:tcBorders>
              <w:top w:val="single" w:sz="8" w:color="auto"/>
              <w:right w:val="single" w:sz="8" w:color="CCEEFF"/>
            </w:tcBorders>
            <w:shd w:val="clear" w:color="auto" w:fill="CCEEFF"/>
          </w:tcPr>
          <w:p>
            <w:pPr>
              <w:spacing w:after="0"/>
              <w:rPr>
                <w:sz w:val="11"/>
                <w:szCs w:val="11"/>
                <w:color w:val="auto"/>
              </w:rPr>
            </w:pPr>
          </w:p>
        </w:tc>
        <w:tc>
          <w:tcPr>
            <w:tcW w:w="100" w:type="dxa"/>
            <w:vAlign w:val="bottom"/>
            <w:tcBorders>
              <w:top w:val="single" w:sz="8" w:color="auto"/>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54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2"/>
        </w:trPr>
        <w:tc>
          <w:tcPr>
            <w:tcW w:w="320" w:type="dxa"/>
            <w:vAlign w:val="bottom"/>
          </w:tcPr>
          <w:p>
            <w:pPr>
              <w:spacing w:after="0"/>
              <w:rPr>
                <w:sz w:val="13"/>
                <w:szCs w:val="13"/>
                <w:color w:val="auto"/>
              </w:rPr>
            </w:pPr>
          </w:p>
        </w:tc>
        <w:tc>
          <w:tcPr>
            <w:tcW w:w="4320" w:type="dxa"/>
            <w:vAlign w:val="bottom"/>
            <w:gridSpan w:val="2"/>
          </w:tcPr>
          <w:p>
            <w:pPr>
              <w:spacing w:after="0"/>
              <w:rPr>
                <w:sz w:val="20"/>
                <w:szCs w:val="20"/>
                <w:color w:val="auto"/>
              </w:rPr>
            </w:pPr>
            <w:r>
              <w:rPr>
                <w:rFonts w:ascii="Times New Roman" w:cs="Times New Roman" w:eastAsia="Times New Roman" w:hAnsi="Times New Roman"/>
                <w:sz w:val="13"/>
                <w:szCs w:val="13"/>
                <w:color w:val="auto"/>
              </w:rPr>
              <w:t>Balance as of January 1, 2022</w:t>
            </w:r>
          </w:p>
        </w:tc>
        <w:tc>
          <w:tcPr>
            <w:tcW w:w="56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151,884</w:t>
            </w:r>
          </w:p>
        </w:tc>
        <w:tc>
          <w:tcPr>
            <w:tcW w:w="220" w:type="dxa"/>
            <w:vAlign w:val="bottom"/>
          </w:tcPr>
          <w:p>
            <w:pPr>
              <w:spacing w:after="0"/>
              <w:rPr>
                <w:sz w:val="13"/>
                <w:szCs w:val="13"/>
                <w:color w:val="auto"/>
              </w:rPr>
            </w:pPr>
          </w:p>
        </w:tc>
        <w:tc>
          <w:tcPr>
            <w:tcW w:w="480" w:type="dxa"/>
            <w:vAlign w:val="bottom"/>
            <w:gridSpan w:val="3"/>
          </w:tcPr>
          <w:p>
            <w:pPr>
              <w:jc w:val="right"/>
              <w:ind w:right="100"/>
              <w:spacing w:after="0"/>
              <w:rPr>
                <w:sz w:val="20"/>
                <w:szCs w:val="20"/>
                <w:color w:val="auto"/>
              </w:rPr>
            </w:pPr>
            <w:r>
              <w:rPr>
                <w:rFonts w:ascii="Times New Roman" w:cs="Times New Roman" w:eastAsia="Times New Roman" w:hAnsi="Times New Roman"/>
                <w:sz w:val="13"/>
                <w:szCs w:val="13"/>
                <w:color w:val="auto"/>
              </w:rPr>
              <w:t>1,267</w:t>
            </w:r>
          </w:p>
        </w:tc>
        <w:tc>
          <w:tcPr>
            <w:tcW w:w="900" w:type="dxa"/>
            <w:vAlign w:val="bottom"/>
            <w:gridSpan w:val="4"/>
          </w:tcPr>
          <w:p>
            <w:pPr>
              <w:jc w:val="right"/>
              <w:ind w:right="220"/>
              <w:spacing w:after="0"/>
              <w:rPr>
                <w:sz w:val="20"/>
                <w:szCs w:val="20"/>
                <w:color w:val="auto"/>
              </w:rPr>
            </w:pPr>
            <w:r>
              <w:rPr>
                <w:rFonts w:ascii="Times New Roman" w:cs="Times New Roman" w:eastAsia="Times New Roman" w:hAnsi="Times New Roman"/>
                <w:sz w:val="13"/>
                <w:szCs w:val="13"/>
                <w:color w:val="auto"/>
              </w:rPr>
              <w:t>1,541,855</w:t>
            </w:r>
          </w:p>
        </w:tc>
        <w:tc>
          <w:tcPr>
            <w:tcW w:w="62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w w:val="99"/>
              </w:rPr>
              <w:t>1,695,006</w:t>
            </w:r>
          </w:p>
        </w:tc>
        <w:tc>
          <w:tcPr>
            <w:tcW w:w="0" w:type="dxa"/>
            <w:vAlign w:val="bottom"/>
          </w:tcPr>
          <w:p>
            <w:pPr>
              <w:spacing w:after="0"/>
              <w:rPr>
                <w:sz w:val="1"/>
                <w:szCs w:val="1"/>
                <w:color w:val="auto"/>
              </w:rPr>
            </w:pPr>
          </w:p>
        </w:tc>
      </w:tr>
      <w:tr>
        <w:trPr>
          <w:trHeight w:val="152"/>
        </w:trPr>
        <w:tc>
          <w:tcPr>
            <w:tcW w:w="320" w:type="dxa"/>
            <w:vAlign w:val="bottom"/>
          </w:tcPr>
          <w:p>
            <w:pPr>
              <w:spacing w:after="0"/>
              <w:rPr>
                <w:sz w:val="13"/>
                <w:szCs w:val="13"/>
                <w:color w:val="auto"/>
              </w:rPr>
            </w:pPr>
          </w:p>
        </w:tc>
        <w:tc>
          <w:tcPr>
            <w:tcW w:w="4320" w:type="dxa"/>
            <w:vAlign w:val="bottom"/>
            <w:gridSpan w:val="2"/>
            <w:shd w:val="clear" w:color="auto" w:fill="CCEEFF"/>
          </w:tcPr>
          <w:p>
            <w:pPr>
              <w:spacing w:after="0" w:line="152" w:lineRule="exact"/>
              <w:rPr>
                <w:sz w:val="20"/>
                <w:szCs w:val="20"/>
                <w:color w:val="auto"/>
              </w:rPr>
            </w:pPr>
            <w:r>
              <w:rPr>
                <w:rFonts w:ascii="Times New Roman" w:cs="Times New Roman" w:eastAsia="Times New Roman" w:hAnsi="Times New Roman"/>
                <w:sz w:val="12"/>
                <w:szCs w:val="12"/>
                <w:color w:val="auto"/>
              </w:rPr>
              <w:t>Additions</w:t>
            </w:r>
            <w:r>
              <w:rPr>
                <w:rFonts w:ascii="Times New Roman" w:cs="Times New Roman" w:eastAsia="Times New Roman" w:hAnsi="Times New Roman"/>
                <w:sz w:val="17"/>
                <w:szCs w:val="17"/>
                <w:color w:val="auto"/>
                <w:vertAlign w:val="superscript"/>
              </w:rPr>
              <w:t>1</w:t>
            </w:r>
          </w:p>
        </w:tc>
        <w:tc>
          <w:tcPr>
            <w:tcW w:w="78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color w:val="auto"/>
              </w:rPr>
              <w:t>73,688</w:t>
            </w:r>
          </w:p>
        </w:tc>
        <w:tc>
          <w:tcPr>
            <w:tcW w:w="480" w:type="dxa"/>
            <w:vAlign w:val="bottom"/>
            <w:gridSpan w:val="3"/>
            <w:shd w:val="clear" w:color="auto" w:fill="CCEEFF"/>
          </w:tcPr>
          <w:p>
            <w:pPr>
              <w:ind w:left="200"/>
              <w:spacing w:after="0"/>
              <w:rPr>
                <w:sz w:val="20"/>
                <w:szCs w:val="20"/>
                <w:color w:val="auto"/>
              </w:rPr>
            </w:pPr>
            <w:r>
              <w:rPr>
                <w:rFonts w:ascii="Times New Roman" w:cs="Times New Roman" w:eastAsia="Times New Roman" w:hAnsi="Times New Roman"/>
                <w:sz w:val="13"/>
                <w:szCs w:val="13"/>
                <w:color w:val="auto"/>
              </w:rPr>
              <w:t>—</w:t>
            </w:r>
          </w:p>
        </w:tc>
        <w:tc>
          <w:tcPr>
            <w:tcW w:w="900" w:type="dxa"/>
            <w:vAlign w:val="bottom"/>
            <w:gridSpan w:val="4"/>
            <w:shd w:val="clear" w:color="auto" w:fill="CCEEFF"/>
          </w:tcPr>
          <w:p>
            <w:pPr>
              <w:jc w:val="right"/>
              <w:ind w:right="220"/>
              <w:spacing w:after="0"/>
              <w:rPr>
                <w:sz w:val="20"/>
                <w:szCs w:val="20"/>
                <w:color w:val="auto"/>
              </w:rPr>
            </w:pPr>
            <w:r>
              <w:rPr>
                <w:rFonts w:ascii="Times New Roman" w:cs="Times New Roman" w:eastAsia="Times New Roman" w:hAnsi="Times New Roman"/>
                <w:sz w:val="13"/>
                <w:szCs w:val="13"/>
                <w:color w:val="auto"/>
              </w:rPr>
              <w:t>201,699</w:t>
            </w:r>
          </w:p>
        </w:tc>
        <w:tc>
          <w:tcPr>
            <w:tcW w:w="62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3"/>
                <w:szCs w:val="13"/>
                <w:color w:val="auto"/>
              </w:rPr>
              <w:t>275,387</w:t>
            </w:r>
          </w:p>
        </w:tc>
        <w:tc>
          <w:tcPr>
            <w:tcW w:w="0" w:type="dxa"/>
            <w:vAlign w:val="bottom"/>
          </w:tcPr>
          <w:p>
            <w:pPr>
              <w:spacing w:after="0"/>
              <w:rPr>
                <w:sz w:val="1"/>
                <w:szCs w:val="1"/>
                <w:color w:val="auto"/>
              </w:rPr>
            </w:pPr>
          </w:p>
        </w:tc>
      </w:tr>
      <w:tr>
        <w:trPr>
          <w:trHeight w:val="152"/>
        </w:trPr>
        <w:tc>
          <w:tcPr>
            <w:tcW w:w="320" w:type="dxa"/>
            <w:vAlign w:val="bottom"/>
          </w:tcPr>
          <w:p>
            <w:pPr>
              <w:spacing w:after="0"/>
              <w:rPr>
                <w:sz w:val="13"/>
                <w:szCs w:val="13"/>
                <w:color w:val="auto"/>
              </w:rPr>
            </w:pPr>
          </w:p>
        </w:tc>
        <w:tc>
          <w:tcPr>
            <w:tcW w:w="4320" w:type="dxa"/>
            <w:vAlign w:val="bottom"/>
            <w:gridSpan w:val="2"/>
          </w:tcPr>
          <w:p>
            <w:pPr>
              <w:spacing w:after="0"/>
              <w:rPr>
                <w:sz w:val="20"/>
                <w:szCs w:val="20"/>
                <w:color w:val="auto"/>
              </w:rPr>
            </w:pPr>
            <w:r>
              <w:rPr>
                <w:rFonts w:ascii="Times New Roman" w:cs="Times New Roman" w:eastAsia="Times New Roman" w:hAnsi="Times New Roman"/>
                <w:sz w:val="13"/>
                <w:szCs w:val="13"/>
                <w:color w:val="auto"/>
              </w:rPr>
              <w:t>Replacement cost development project</w:t>
            </w:r>
          </w:p>
        </w:tc>
        <w:tc>
          <w:tcPr>
            <w:tcW w:w="78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(9,565)</w:t>
            </w:r>
          </w:p>
        </w:tc>
        <w:tc>
          <w:tcPr>
            <w:tcW w:w="480" w:type="dxa"/>
            <w:vAlign w:val="bottom"/>
            <w:gridSpan w:val="3"/>
          </w:tcPr>
          <w:p>
            <w:pPr>
              <w:ind w:left="200"/>
              <w:spacing w:after="0"/>
              <w:rPr>
                <w:sz w:val="20"/>
                <w:szCs w:val="20"/>
                <w:color w:val="auto"/>
              </w:rPr>
            </w:pPr>
            <w:r>
              <w:rPr>
                <w:rFonts w:ascii="Times New Roman" w:cs="Times New Roman" w:eastAsia="Times New Roman" w:hAnsi="Times New Roman"/>
                <w:sz w:val="13"/>
                <w:szCs w:val="13"/>
                <w:color w:val="auto"/>
              </w:rPr>
              <w:t>—</w:t>
            </w:r>
          </w:p>
        </w:tc>
        <w:tc>
          <w:tcPr>
            <w:tcW w:w="120" w:type="dxa"/>
            <w:vAlign w:val="bottom"/>
          </w:tcPr>
          <w:p>
            <w:pPr>
              <w:spacing w:after="0"/>
              <w:rPr>
                <w:sz w:val="13"/>
                <w:szCs w:val="13"/>
                <w:color w:val="auto"/>
              </w:rPr>
            </w:pPr>
          </w:p>
        </w:tc>
        <w:tc>
          <w:tcPr>
            <w:tcW w:w="780" w:type="dxa"/>
            <w:vAlign w:val="bottom"/>
            <w:gridSpan w:val="3"/>
          </w:tcPr>
          <w:p>
            <w:pPr>
              <w:jc w:val="right"/>
              <w:ind w:right="280"/>
              <w:spacing w:after="0"/>
              <w:rPr>
                <w:sz w:val="20"/>
                <w:szCs w:val="20"/>
                <w:color w:val="auto"/>
              </w:rPr>
            </w:pPr>
            <w:r>
              <w:rPr>
                <w:rFonts w:ascii="Times New Roman" w:cs="Times New Roman" w:eastAsia="Times New Roman" w:hAnsi="Times New Roman"/>
                <w:sz w:val="13"/>
                <w:szCs w:val="13"/>
                <w:color w:val="auto"/>
              </w:rPr>
              <w:t>—</w:t>
            </w:r>
          </w:p>
        </w:tc>
        <w:tc>
          <w:tcPr>
            <w:tcW w:w="62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(9,565)</w:t>
            </w:r>
          </w:p>
        </w:tc>
        <w:tc>
          <w:tcPr>
            <w:tcW w:w="0" w:type="dxa"/>
            <w:vAlign w:val="bottom"/>
          </w:tcPr>
          <w:p>
            <w:pPr>
              <w:spacing w:after="0"/>
              <w:rPr>
                <w:sz w:val="1"/>
                <w:szCs w:val="1"/>
                <w:color w:val="auto"/>
              </w:rPr>
            </w:pPr>
          </w:p>
        </w:tc>
      </w:tr>
      <w:tr>
        <w:trPr>
          <w:trHeight w:val="152"/>
        </w:trPr>
        <w:tc>
          <w:tcPr>
            <w:tcW w:w="320" w:type="dxa"/>
            <w:vAlign w:val="bottom"/>
          </w:tcPr>
          <w:p>
            <w:pPr>
              <w:spacing w:after="0"/>
              <w:rPr>
                <w:sz w:val="13"/>
                <w:szCs w:val="13"/>
                <w:color w:val="auto"/>
              </w:rPr>
            </w:pPr>
          </w:p>
        </w:tc>
        <w:tc>
          <w:tcPr>
            <w:tcW w:w="43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3"/>
                <w:szCs w:val="13"/>
                <w:color w:val="auto"/>
              </w:rPr>
              <w:t>Effect of foreign currency exchange rate differences</w:t>
            </w:r>
          </w:p>
        </w:tc>
        <w:tc>
          <w:tcPr>
            <w:tcW w:w="78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(35,450)</w:t>
            </w:r>
          </w:p>
        </w:tc>
        <w:tc>
          <w:tcPr>
            <w:tcW w:w="48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3"/>
                <w:szCs w:val="13"/>
                <w:color w:val="auto"/>
              </w:rPr>
              <w:t>(211)</w:t>
            </w:r>
          </w:p>
        </w:tc>
        <w:tc>
          <w:tcPr>
            <w:tcW w:w="900" w:type="dxa"/>
            <w:vAlign w:val="bottom"/>
            <w:gridSpan w:val="4"/>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(274,703)</w:t>
            </w:r>
          </w:p>
        </w:tc>
        <w:tc>
          <w:tcPr>
            <w:tcW w:w="6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(310,364)</w:t>
            </w:r>
          </w:p>
        </w:tc>
        <w:tc>
          <w:tcPr>
            <w:tcW w:w="0" w:type="dxa"/>
            <w:vAlign w:val="bottom"/>
          </w:tcPr>
          <w:p>
            <w:pPr>
              <w:spacing w:after="0"/>
              <w:rPr>
                <w:sz w:val="1"/>
                <w:szCs w:val="1"/>
                <w:color w:val="auto"/>
              </w:rPr>
            </w:pPr>
          </w:p>
        </w:tc>
      </w:tr>
      <w:tr>
        <w:trPr>
          <w:trHeight w:val="151"/>
        </w:trPr>
        <w:tc>
          <w:tcPr>
            <w:tcW w:w="320" w:type="dxa"/>
            <w:vAlign w:val="bottom"/>
          </w:tcPr>
          <w:p>
            <w:pPr>
              <w:spacing w:after="0"/>
              <w:rPr>
                <w:sz w:val="13"/>
                <w:szCs w:val="13"/>
                <w:color w:val="auto"/>
              </w:rPr>
            </w:pPr>
          </w:p>
        </w:tc>
        <w:tc>
          <w:tcPr>
            <w:tcW w:w="4320" w:type="dxa"/>
            <w:vAlign w:val="bottom"/>
            <w:gridSpan w:val="2"/>
          </w:tcPr>
          <w:p>
            <w:pPr>
              <w:spacing w:after="0"/>
              <w:rPr>
                <w:sz w:val="20"/>
                <w:szCs w:val="20"/>
                <w:color w:val="auto"/>
              </w:rPr>
            </w:pPr>
            <w:r>
              <w:rPr>
                <w:rFonts w:ascii="Times New Roman" w:cs="Times New Roman" w:eastAsia="Times New Roman" w:hAnsi="Times New Roman"/>
                <w:sz w:val="13"/>
                <w:szCs w:val="13"/>
                <w:b w:val="1"/>
                <w:bCs w:val="1"/>
                <w:color w:val="auto"/>
              </w:rPr>
              <w:t>Balance as of September 30, 2022</w:t>
            </w:r>
          </w:p>
        </w:tc>
        <w:tc>
          <w:tcPr>
            <w:tcW w:w="5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180,557</w:t>
            </w:r>
          </w:p>
        </w:tc>
        <w:tc>
          <w:tcPr>
            <w:tcW w:w="220" w:type="dxa"/>
            <w:vAlign w:val="bottom"/>
          </w:tcPr>
          <w:p>
            <w:pPr>
              <w:spacing w:after="0"/>
              <w:rPr>
                <w:sz w:val="13"/>
                <w:szCs w:val="13"/>
                <w:color w:val="auto"/>
              </w:rPr>
            </w:pPr>
          </w:p>
        </w:tc>
        <w:tc>
          <w:tcPr>
            <w:tcW w:w="380" w:type="dxa"/>
            <w:vAlign w:val="bottom"/>
            <w:tcBorders>
              <w:top w:val="single" w:sz="8" w:color="auto"/>
              <w:bottom w:val="single" w:sz="8" w:color="auto"/>
            </w:tcBorders>
            <w:gridSpan w:val="2"/>
          </w:tcPr>
          <w:p>
            <w:pPr>
              <w:jc w:val="right"/>
              <w:spacing w:after="0"/>
              <w:rPr>
                <w:sz w:val="20"/>
                <w:szCs w:val="20"/>
                <w:color w:val="auto"/>
              </w:rPr>
            </w:pPr>
            <w:r>
              <w:rPr>
                <w:rFonts w:ascii="Times New Roman" w:cs="Times New Roman" w:eastAsia="Times New Roman" w:hAnsi="Times New Roman"/>
                <w:sz w:val="13"/>
                <w:szCs w:val="13"/>
                <w:b w:val="1"/>
                <w:bCs w:val="1"/>
                <w:color w:val="auto"/>
              </w:rPr>
              <w:t>1,056</w:t>
            </w: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60" w:type="dxa"/>
            <w:vAlign w:val="bottom"/>
            <w:tcBorders>
              <w:top w:val="single" w:sz="8" w:color="auto"/>
              <w:bottom w:val="single" w:sz="8" w:color="auto"/>
            </w:tcBorders>
            <w:gridSpan w:val="2"/>
          </w:tcPr>
          <w:p>
            <w:pPr>
              <w:jc w:val="right"/>
              <w:spacing w:after="0"/>
              <w:rPr>
                <w:sz w:val="20"/>
                <w:szCs w:val="20"/>
                <w:color w:val="auto"/>
              </w:rPr>
            </w:pPr>
            <w:r>
              <w:rPr>
                <w:rFonts w:ascii="Times New Roman" w:cs="Times New Roman" w:eastAsia="Times New Roman" w:hAnsi="Times New Roman"/>
                <w:sz w:val="13"/>
                <w:szCs w:val="13"/>
                <w:b w:val="1"/>
                <w:bCs w:val="1"/>
                <w:color w:val="auto"/>
              </w:rPr>
              <w:t>1,468,851</w:t>
            </w:r>
          </w:p>
        </w:tc>
        <w:tc>
          <w:tcPr>
            <w:tcW w:w="220" w:type="dxa"/>
            <w:vAlign w:val="bottom"/>
          </w:tcPr>
          <w:p>
            <w:pPr>
              <w:spacing w:after="0"/>
              <w:rPr>
                <w:sz w:val="13"/>
                <w:szCs w:val="13"/>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w w:val="99"/>
              </w:rPr>
              <w:t>1,650,464</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320" w:type="dxa"/>
            <w:vAlign w:val="bottom"/>
          </w:tcPr>
          <w:p>
            <w:pPr>
              <w:spacing w:after="0"/>
              <w:rPr>
                <w:sz w:val="13"/>
                <w:szCs w:val="13"/>
                <w:color w:val="auto"/>
              </w:rPr>
            </w:pPr>
          </w:p>
        </w:tc>
        <w:tc>
          <w:tcPr>
            <w:tcW w:w="43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Accumulated amortization and impairment</w:t>
            </w:r>
          </w:p>
        </w:tc>
        <w:tc>
          <w:tcPr>
            <w:tcW w:w="56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6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5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320" w:type="dxa"/>
            <w:vAlign w:val="bottom"/>
          </w:tcPr>
          <w:p>
            <w:pPr>
              <w:spacing w:after="0"/>
              <w:rPr>
                <w:sz w:val="13"/>
                <w:szCs w:val="13"/>
                <w:color w:val="auto"/>
              </w:rPr>
            </w:pPr>
          </w:p>
        </w:tc>
        <w:tc>
          <w:tcPr>
            <w:tcW w:w="4320" w:type="dxa"/>
            <w:vAlign w:val="bottom"/>
            <w:gridSpan w:val="2"/>
          </w:tcPr>
          <w:p>
            <w:pPr>
              <w:spacing w:after="0"/>
              <w:rPr>
                <w:sz w:val="20"/>
                <w:szCs w:val="20"/>
                <w:color w:val="auto"/>
              </w:rPr>
            </w:pPr>
            <w:r>
              <w:rPr>
                <w:rFonts w:ascii="Times New Roman" w:cs="Times New Roman" w:eastAsia="Times New Roman" w:hAnsi="Times New Roman"/>
                <w:sz w:val="13"/>
                <w:szCs w:val="13"/>
                <w:color w:val="auto"/>
              </w:rPr>
              <w:t>Balance as of January 1, 2022</w:t>
            </w:r>
          </w:p>
        </w:tc>
        <w:tc>
          <w:tcPr>
            <w:tcW w:w="78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(15,659)</w:t>
            </w:r>
          </w:p>
        </w:tc>
        <w:tc>
          <w:tcPr>
            <w:tcW w:w="480" w:type="dxa"/>
            <w:vAlign w:val="bottom"/>
            <w:gridSpan w:val="3"/>
          </w:tcPr>
          <w:p>
            <w:pPr>
              <w:jc w:val="right"/>
              <w:ind w:right="60"/>
              <w:spacing w:after="0"/>
              <w:rPr>
                <w:sz w:val="20"/>
                <w:szCs w:val="20"/>
                <w:color w:val="auto"/>
              </w:rPr>
            </w:pPr>
            <w:r>
              <w:rPr>
                <w:rFonts w:ascii="Times New Roman" w:cs="Times New Roman" w:eastAsia="Times New Roman" w:hAnsi="Times New Roman"/>
                <w:sz w:val="13"/>
                <w:szCs w:val="13"/>
                <w:color w:val="auto"/>
              </w:rPr>
              <w:t>(283)</w:t>
            </w:r>
          </w:p>
        </w:tc>
        <w:tc>
          <w:tcPr>
            <w:tcW w:w="900" w:type="dxa"/>
            <w:vAlign w:val="bottom"/>
            <w:gridSpan w:val="4"/>
          </w:tcPr>
          <w:p>
            <w:pPr>
              <w:jc w:val="right"/>
              <w:ind w:right="180"/>
              <w:spacing w:after="0"/>
              <w:rPr>
                <w:sz w:val="20"/>
                <w:szCs w:val="20"/>
                <w:color w:val="auto"/>
              </w:rPr>
            </w:pPr>
            <w:r>
              <w:rPr>
                <w:rFonts w:ascii="Times New Roman" w:cs="Times New Roman" w:eastAsia="Times New Roman" w:hAnsi="Times New Roman"/>
                <w:sz w:val="13"/>
                <w:szCs w:val="13"/>
                <w:color w:val="auto"/>
              </w:rPr>
              <w:t>(366,637)</w:t>
            </w:r>
          </w:p>
        </w:tc>
        <w:tc>
          <w:tcPr>
            <w:tcW w:w="62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(382,579)</w:t>
            </w:r>
          </w:p>
        </w:tc>
        <w:tc>
          <w:tcPr>
            <w:tcW w:w="0" w:type="dxa"/>
            <w:vAlign w:val="bottom"/>
          </w:tcPr>
          <w:p>
            <w:pPr>
              <w:spacing w:after="0"/>
              <w:rPr>
                <w:sz w:val="1"/>
                <w:szCs w:val="1"/>
                <w:color w:val="auto"/>
              </w:rPr>
            </w:pPr>
          </w:p>
        </w:tc>
      </w:tr>
      <w:tr>
        <w:trPr>
          <w:trHeight w:val="152"/>
        </w:trPr>
        <w:tc>
          <w:tcPr>
            <w:tcW w:w="320" w:type="dxa"/>
            <w:vAlign w:val="bottom"/>
          </w:tcPr>
          <w:p>
            <w:pPr>
              <w:spacing w:after="0"/>
              <w:rPr>
                <w:sz w:val="13"/>
                <w:szCs w:val="13"/>
                <w:color w:val="auto"/>
              </w:rPr>
            </w:pPr>
          </w:p>
        </w:tc>
        <w:tc>
          <w:tcPr>
            <w:tcW w:w="43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3"/>
                <w:szCs w:val="13"/>
                <w:color w:val="auto"/>
              </w:rPr>
              <w:t>Amortization expense</w:t>
            </w:r>
          </w:p>
        </w:tc>
        <w:tc>
          <w:tcPr>
            <w:tcW w:w="78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(1,372)</w:t>
            </w:r>
          </w:p>
        </w:tc>
        <w:tc>
          <w:tcPr>
            <w:tcW w:w="48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3"/>
                <w:szCs w:val="13"/>
                <w:color w:val="auto"/>
              </w:rPr>
              <w:t>(111)</w:t>
            </w:r>
          </w:p>
        </w:tc>
        <w:tc>
          <w:tcPr>
            <w:tcW w:w="900" w:type="dxa"/>
            <w:vAlign w:val="bottom"/>
            <w:gridSpan w:val="4"/>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(83,768)</w:t>
            </w:r>
          </w:p>
        </w:tc>
        <w:tc>
          <w:tcPr>
            <w:tcW w:w="6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(85,251)</w:t>
            </w:r>
          </w:p>
        </w:tc>
        <w:tc>
          <w:tcPr>
            <w:tcW w:w="0" w:type="dxa"/>
            <w:vAlign w:val="bottom"/>
          </w:tcPr>
          <w:p>
            <w:pPr>
              <w:spacing w:after="0"/>
              <w:rPr>
                <w:sz w:val="1"/>
                <w:szCs w:val="1"/>
                <w:color w:val="auto"/>
              </w:rPr>
            </w:pPr>
          </w:p>
        </w:tc>
      </w:tr>
      <w:tr>
        <w:trPr>
          <w:trHeight w:val="152"/>
        </w:trPr>
        <w:tc>
          <w:tcPr>
            <w:tcW w:w="320" w:type="dxa"/>
            <w:vAlign w:val="bottom"/>
          </w:tcPr>
          <w:p>
            <w:pPr>
              <w:spacing w:after="0"/>
              <w:rPr>
                <w:sz w:val="13"/>
                <w:szCs w:val="13"/>
                <w:color w:val="auto"/>
              </w:rPr>
            </w:pPr>
          </w:p>
        </w:tc>
        <w:tc>
          <w:tcPr>
            <w:tcW w:w="4320" w:type="dxa"/>
            <w:vAlign w:val="bottom"/>
            <w:gridSpan w:val="2"/>
          </w:tcPr>
          <w:p>
            <w:pPr>
              <w:spacing w:after="0"/>
              <w:rPr>
                <w:sz w:val="20"/>
                <w:szCs w:val="20"/>
                <w:color w:val="auto"/>
              </w:rPr>
            </w:pPr>
            <w:r>
              <w:rPr>
                <w:rFonts w:ascii="Times New Roman" w:cs="Times New Roman" w:eastAsia="Times New Roman" w:hAnsi="Times New Roman"/>
                <w:sz w:val="13"/>
                <w:szCs w:val="13"/>
                <w:color w:val="auto"/>
              </w:rPr>
              <w:t>Effect of foreign currency exchange rate differences</w:t>
            </w:r>
          </w:p>
        </w:tc>
        <w:tc>
          <w:tcPr>
            <w:tcW w:w="56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2,987</w:t>
            </w:r>
          </w:p>
        </w:tc>
        <w:tc>
          <w:tcPr>
            <w:tcW w:w="220" w:type="dxa"/>
            <w:vAlign w:val="bottom"/>
          </w:tcPr>
          <w:p>
            <w:pPr>
              <w:spacing w:after="0"/>
              <w:rPr>
                <w:sz w:val="13"/>
                <w:szCs w:val="13"/>
                <w:color w:val="auto"/>
              </w:rPr>
            </w:pPr>
          </w:p>
        </w:tc>
        <w:tc>
          <w:tcPr>
            <w:tcW w:w="480" w:type="dxa"/>
            <w:vAlign w:val="bottom"/>
            <w:gridSpan w:val="3"/>
          </w:tcPr>
          <w:p>
            <w:pPr>
              <w:jc w:val="right"/>
              <w:ind w:right="100"/>
              <w:spacing w:after="0"/>
              <w:rPr>
                <w:sz w:val="20"/>
                <w:szCs w:val="20"/>
                <w:color w:val="auto"/>
              </w:rPr>
            </w:pPr>
            <w:r>
              <w:rPr>
                <w:rFonts w:ascii="Times New Roman" w:cs="Times New Roman" w:eastAsia="Times New Roman" w:hAnsi="Times New Roman"/>
                <w:sz w:val="13"/>
                <w:szCs w:val="13"/>
                <w:color w:val="auto"/>
              </w:rPr>
              <w:t>59</w:t>
            </w:r>
          </w:p>
        </w:tc>
        <w:tc>
          <w:tcPr>
            <w:tcW w:w="900" w:type="dxa"/>
            <w:vAlign w:val="bottom"/>
            <w:gridSpan w:val="4"/>
          </w:tcPr>
          <w:p>
            <w:pPr>
              <w:jc w:val="right"/>
              <w:ind w:right="220"/>
              <w:spacing w:after="0"/>
              <w:rPr>
                <w:sz w:val="20"/>
                <w:szCs w:val="20"/>
                <w:color w:val="auto"/>
              </w:rPr>
            </w:pPr>
            <w:r>
              <w:rPr>
                <w:rFonts w:ascii="Times New Roman" w:cs="Times New Roman" w:eastAsia="Times New Roman" w:hAnsi="Times New Roman"/>
                <w:sz w:val="13"/>
                <w:szCs w:val="13"/>
                <w:color w:val="auto"/>
              </w:rPr>
              <w:t>68,530</w:t>
            </w:r>
          </w:p>
        </w:tc>
        <w:tc>
          <w:tcPr>
            <w:tcW w:w="62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rPr>
              <w:t>71,576</w:t>
            </w:r>
          </w:p>
        </w:tc>
        <w:tc>
          <w:tcPr>
            <w:tcW w:w="0" w:type="dxa"/>
            <w:vAlign w:val="bottom"/>
          </w:tcPr>
          <w:p>
            <w:pPr>
              <w:spacing w:after="0"/>
              <w:rPr>
                <w:sz w:val="1"/>
                <w:szCs w:val="1"/>
                <w:color w:val="auto"/>
              </w:rPr>
            </w:pPr>
          </w:p>
        </w:tc>
      </w:tr>
      <w:tr>
        <w:trPr>
          <w:trHeight w:val="20"/>
        </w:trPr>
        <w:tc>
          <w:tcPr>
            <w:tcW w:w="32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340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tcBorders>
              <w:right w:val="single" w:sz="8" w:color="auto"/>
            </w:tcBorders>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1"/>
        </w:trPr>
        <w:tc>
          <w:tcPr>
            <w:tcW w:w="320" w:type="dxa"/>
            <w:vAlign w:val="bottom"/>
          </w:tcPr>
          <w:p>
            <w:pPr>
              <w:spacing w:after="0"/>
              <w:rPr>
                <w:sz w:val="13"/>
                <w:szCs w:val="13"/>
                <w:color w:val="auto"/>
              </w:rPr>
            </w:pPr>
          </w:p>
        </w:tc>
        <w:tc>
          <w:tcPr>
            <w:tcW w:w="43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Balance as of September 30, 2022</w:t>
            </w:r>
          </w:p>
        </w:tc>
        <w:tc>
          <w:tcPr>
            <w:tcW w:w="78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b w:val="1"/>
                <w:bCs w:val="1"/>
                <w:color w:val="auto"/>
              </w:rPr>
              <w:t>(14,044)</w:t>
            </w:r>
          </w:p>
        </w:tc>
        <w:tc>
          <w:tcPr>
            <w:tcW w:w="48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3"/>
                <w:szCs w:val="13"/>
                <w:b w:val="1"/>
                <w:bCs w:val="1"/>
                <w:color w:val="auto"/>
              </w:rPr>
              <w:t>(335)</w:t>
            </w:r>
          </w:p>
        </w:tc>
        <w:tc>
          <w:tcPr>
            <w:tcW w:w="900" w:type="dxa"/>
            <w:vAlign w:val="bottom"/>
            <w:gridSpan w:val="4"/>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b w:val="1"/>
                <w:bCs w:val="1"/>
                <w:color w:val="auto"/>
              </w:rPr>
              <w:t>(381,875)</w:t>
            </w:r>
          </w:p>
        </w:tc>
        <w:tc>
          <w:tcPr>
            <w:tcW w:w="6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b w:val="1"/>
                <w:bCs w:val="1"/>
                <w:color w:val="auto"/>
              </w:rPr>
              <w:t>(396,254)</w:t>
            </w:r>
          </w:p>
        </w:tc>
        <w:tc>
          <w:tcPr>
            <w:tcW w:w="0" w:type="dxa"/>
            <w:vAlign w:val="bottom"/>
          </w:tcPr>
          <w:p>
            <w:pPr>
              <w:spacing w:after="0"/>
              <w:rPr>
                <w:sz w:val="1"/>
                <w:szCs w:val="1"/>
                <w:color w:val="auto"/>
              </w:rPr>
            </w:pPr>
          </w:p>
        </w:tc>
      </w:tr>
      <w:tr>
        <w:trPr>
          <w:trHeight w:val="151"/>
        </w:trPr>
        <w:tc>
          <w:tcPr>
            <w:tcW w:w="320" w:type="dxa"/>
            <w:vAlign w:val="bottom"/>
          </w:tcPr>
          <w:p>
            <w:pPr>
              <w:spacing w:after="0"/>
              <w:rPr>
                <w:sz w:val="13"/>
                <w:szCs w:val="13"/>
                <w:color w:val="auto"/>
              </w:rPr>
            </w:pPr>
          </w:p>
        </w:tc>
        <w:tc>
          <w:tcPr>
            <w:tcW w:w="4320" w:type="dxa"/>
            <w:vAlign w:val="bottom"/>
            <w:gridSpan w:val="2"/>
          </w:tcPr>
          <w:p>
            <w:pPr>
              <w:spacing w:after="0"/>
              <w:rPr>
                <w:sz w:val="20"/>
                <w:szCs w:val="20"/>
                <w:color w:val="auto"/>
              </w:rPr>
            </w:pPr>
            <w:r>
              <w:rPr>
                <w:rFonts w:ascii="Times New Roman" w:cs="Times New Roman" w:eastAsia="Times New Roman" w:hAnsi="Times New Roman"/>
                <w:sz w:val="13"/>
                <w:szCs w:val="13"/>
                <w:b w:val="1"/>
                <w:bCs w:val="1"/>
                <w:color w:val="auto"/>
              </w:rPr>
              <w:t>Carrying amount as of September 30, 2022</w:t>
            </w:r>
          </w:p>
        </w:tc>
        <w:tc>
          <w:tcPr>
            <w:tcW w:w="5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166,513</w:t>
            </w:r>
          </w:p>
        </w:tc>
        <w:tc>
          <w:tcPr>
            <w:tcW w:w="220" w:type="dxa"/>
            <w:vAlign w:val="bottom"/>
          </w:tcPr>
          <w:p>
            <w:pPr>
              <w:spacing w:after="0"/>
              <w:rPr>
                <w:sz w:val="13"/>
                <w:szCs w:val="13"/>
                <w:color w:val="auto"/>
              </w:rPr>
            </w:pPr>
          </w:p>
        </w:tc>
        <w:tc>
          <w:tcPr>
            <w:tcW w:w="380" w:type="dxa"/>
            <w:vAlign w:val="bottom"/>
            <w:tcBorders>
              <w:top w:val="single" w:sz="8" w:color="auto"/>
              <w:bottom w:val="single" w:sz="8" w:color="auto"/>
            </w:tcBorders>
            <w:gridSpan w:val="2"/>
          </w:tcPr>
          <w:p>
            <w:pPr>
              <w:ind w:left="200"/>
              <w:spacing w:after="0"/>
              <w:rPr>
                <w:sz w:val="20"/>
                <w:szCs w:val="20"/>
                <w:color w:val="auto"/>
              </w:rPr>
            </w:pPr>
            <w:r>
              <w:rPr>
                <w:rFonts w:ascii="Times New Roman" w:cs="Times New Roman" w:eastAsia="Times New Roman" w:hAnsi="Times New Roman"/>
                <w:sz w:val="13"/>
                <w:szCs w:val="13"/>
                <w:b w:val="1"/>
                <w:bCs w:val="1"/>
                <w:color w:val="auto"/>
                <w:w w:val="81"/>
              </w:rPr>
              <w:t>721</w:t>
            </w: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60" w:type="dxa"/>
            <w:vAlign w:val="bottom"/>
            <w:tcBorders>
              <w:top w:val="single" w:sz="8" w:color="auto"/>
              <w:bottom w:val="single" w:sz="8" w:color="auto"/>
            </w:tcBorders>
            <w:gridSpan w:val="2"/>
          </w:tcPr>
          <w:p>
            <w:pPr>
              <w:jc w:val="right"/>
              <w:spacing w:after="0"/>
              <w:rPr>
                <w:sz w:val="20"/>
                <w:szCs w:val="20"/>
                <w:color w:val="auto"/>
              </w:rPr>
            </w:pPr>
            <w:r>
              <w:rPr>
                <w:rFonts w:ascii="Times New Roman" w:cs="Times New Roman" w:eastAsia="Times New Roman" w:hAnsi="Times New Roman"/>
                <w:sz w:val="13"/>
                <w:szCs w:val="13"/>
                <w:b w:val="1"/>
                <w:bCs w:val="1"/>
                <w:color w:val="auto"/>
              </w:rPr>
              <w:t>1,086,976</w:t>
            </w:r>
          </w:p>
        </w:tc>
        <w:tc>
          <w:tcPr>
            <w:tcW w:w="220" w:type="dxa"/>
            <w:vAlign w:val="bottom"/>
          </w:tcPr>
          <w:p>
            <w:pPr>
              <w:spacing w:after="0"/>
              <w:rPr>
                <w:sz w:val="13"/>
                <w:szCs w:val="13"/>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w w:val="99"/>
              </w:rPr>
              <w:t>1,254,210</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167" w:lineRule="exact"/>
        <w:rPr>
          <w:sz w:val="20"/>
          <w:szCs w:val="20"/>
          <w:color w:val="auto"/>
        </w:rPr>
      </w:pPr>
    </w:p>
    <w:p>
      <w:pPr>
        <w:jc w:val="both"/>
        <w:ind w:left="780" w:right="879" w:hanging="143"/>
        <w:spacing w:after="0" w:line="255" w:lineRule="auto"/>
        <w:tabs>
          <w:tab w:leader="none" w:pos="780" w:val="left"/>
        </w:tabs>
        <w:numPr>
          <w:ilvl w:val="0"/>
          <w:numId w:val="13"/>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 Of $275,387 in additions for the nine months ended September 30, 2022, $198,994 has been settled in cash. These $198,994 are included in the $642,846 in the cash-flow statement in cash from investing activities related to additions to intangible assets, while $443,852 is settled in cash in 2022 but added as investments through Trade payables - related parties in prior years.</w:t>
      </w:r>
    </w:p>
    <w:p>
      <w:pPr>
        <w:spacing w:after="0" w:line="130" w:lineRule="exact"/>
        <w:rPr>
          <w:sz w:val="20"/>
          <w:szCs w:val="20"/>
          <w:color w:val="auto"/>
        </w:rPr>
      </w:pPr>
    </w:p>
    <w:p>
      <w:pPr>
        <w:ind w:left="640" w:right="699"/>
        <w:spacing w:after="0" w:line="251" w:lineRule="auto"/>
        <w:rPr>
          <w:sz w:val="20"/>
          <w:szCs w:val="20"/>
          <w:color w:val="auto"/>
        </w:rPr>
      </w:pPr>
      <w:r>
        <w:rPr>
          <w:rFonts w:ascii="Times New Roman" w:cs="Times New Roman" w:eastAsia="Times New Roman" w:hAnsi="Times New Roman"/>
          <w:sz w:val="13"/>
          <w:szCs w:val="13"/>
          <w:color w:val="auto"/>
        </w:rPr>
        <w:t>Additions to internally developed IP are primarily related to the Polestar Precept concept car and various other internal programs, such as model year changes, for the nine months ended September 30, 2022. Additions of acquired IP during the nine months ended September 30, 2022 were related to acquisitions of the Polestar 2 (“PS2”) and Polestar 3 (“PS3”) IP from Volvo Cars. Polestar also acquired IP related to the Polestar 4 (“PS4”) from Geely. Refer to Note 8 - Related party transactions for further details.</w:t>
      </w:r>
    </w:p>
    <w:p>
      <w:pPr>
        <w:spacing w:after="0" w:line="133"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Changes to the carrying amount of goodwill and trademarks during the period were as follows:</w:t>
      </w:r>
    </w:p>
    <w:p>
      <w:pPr>
        <w:spacing w:after="0" w:line="10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23</w:t>
      </w:r>
    </w:p>
    <w:p>
      <w:pPr>
        <w:sectPr>
          <w:pgSz w:w="11900" w:h="16838" w:orient="portrait"/>
          <w:cols w:equalWidth="0" w:num="1">
            <w:col w:w="9019"/>
          </w:cols>
          <w:pgMar w:left="1440" w:top="231" w:right="1440" w:bottom="1440" w:gutter="0" w:footer="0" w:header="0"/>
        </w:sectPr>
      </w:pPr>
    </w:p>
    <w:bookmarkStart w:id="80" w:name="page81"/>
    <w:bookmarkEnd w:id="80"/>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0" w:lineRule="exact"/>
        <w:rPr>
          <w:sz w:val="20"/>
          <w:szCs w:val="20"/>
          <w:color w:val="auto"/>
        </w:rPr>
      </w:pPr>
    </w:p>
    <w:tbl>
      <w:tblPr>
        <w:tblLayout w:type="fixed"/>
        <w:tblInd w:w="1260" w:type="dxa"/>
        <w:tblCellMar>
          <w:top w:w="0" w:type="dxa"/>
          <w:left w:w="0" w:type="dxa"/>
          <w:bottom w:w="0" w:type="dxa"/>
          <w:right w:w="0" w:type="dxa"/>
        </w:tblCellMar>
      </w:tblPr>
      <w:tr>
        <w:trPr>
          <w:trHeight w:val="121"/>
        </w:trPr>
        <w:tc>
          <w:tcPr>
            <w:tcW w:w="3580" w:type="dxa"/>
            <w:vAlign w:val="bottom"/>
          </w:tcPr>
          <w:p>
            <w:pPr>
              <w:spacing w:after="0"/>
              <w:rPr>
                <w:sz w:val="10"/>
                <w:szCs w:val="10"/>
                <w:color w:val="auto"/>
              </w:rPr>
            </w:pPr>
          </w:p>
        </w:tc>
        <w:tc>
          <w:tcPr>
            <w:tcW w:w="1500" w:type="dxa"/>
            <w:vAlign w:val="bottom"/>
            <w:gridSpan w:val="3"/>
          </w:tcPr>
          <w:p>
            <w:pPr>
              <w:jc w:val="right"/>
              <w:ind w:right="160"/>
              <w:spacing w:after="0"/>
              <w:rPr>
                <w:sz w:val="20"/>
                <w:szCs w:val="20"/>
                <w:color w:val="auto"/>
              </w:rPr>
            </w:pPr>
            <w:r>
              <w:rPr>
                <w:rFonts w:ascii="Times New Roman" w:cs="Times New Roman" w:eastAsia="Times New Roman" w:hAnsi="Times New Roman"/>
                <w:sz w:val="10"/>
                <w:szCs w:val="10"/>
                <w:b w:val="1"/>
                <w:bCs w:val="1"/>
                <w:color w:val="auto"/>
              </w:rPr>
              <w:t>Goodwill</w:t>
            </w:r>
          </w:p>
        </w:tc>
        <w:tc>
          <w:tcPr>
            <w:tcW w:w="900" w:type="dxa"/>
            <w:vAlign w:val="bottom"/>
            <w:gridSpan w:val="3"/>
          </w:tcPr>
          <w:p>
            <w:pPr>
              <w:jc w:val="right"/>
              <w:ind w:right="260"/>
              <w:spacing w:after="0"/>
              <w:rPr>
                <w:sz w:val="20"/>
                <w:szCs w:val="20"/>
                <w:color w:val="auto"/>
              </w:rPr>
            </w:pPr>
            <w:r>
              <w:rPr>
                <w:rFonts w:ascii="Times New Roman" w:cs="Times New Roman" w:eastAsia="Times New Roman" w:hAnsi="Times New Roman"/>
                <w:sz w:val="10"/>
                <w:szCs w:val="10"/>
                <w:b w:val="1"/>
                <w:bCs w:val="1"/>
                <w:color w:val="auto"/>
              </w:rPr>
              <w:t>Trademarks</w:t>
            </w:r>
          </w:p>
        </w:tc>
        <w:tc>
          <w:tcPr>
            <w:tcW w:w="520" w:type="dxa"/>
            <w:vAlign w:val="bottom"/>
            <w:gridSpan w:val="2"/>
          </w:tcPr>
          <w:p>
            <w:pPr>
              <w:jc w:val="right"/>
              <w:ind w:right="200"/>
              <w:spacing w:after="0"/>
              <w:rPr>
                <w:sz w:val="20"/>
                <w:szCs w:val="20"/>
                <w:color w:val="auto"/>
              </w:rPr>
            </w:pPr>
            <w:r>
              <w:rPr>
                <w:rFonts w:ascii="Times New Roman" w:cs="Times New Roman" w:eastAsia="Times New Roman" w:hAnsi="Times New Roman"/>
                <w:sz w:val="10"/>
                <w:szCs w:val="10"/>
                <w:b w:val="1"/>
                <w:bCs w:val="1"/>
                <w:color w:val="auto"/>
              </w:rPr>
              <w:t>Total</w:t>
            </w:r>
          </w:p>
        </w:tc>
      </w:tr>
      <w:tr>
        <w:trPr>
          <w:trHeight w:val="141"/>
        </w:trPr>
        <w:tc>
          <w:tcPr>
            <w:tcW w:w="3580" w:type="dxa"/>
            <w:vAlign w:val="bottom"/>
            <w:tcBorders>
              <w:top w:val="single" w:sz="8" w:color="CCEEFF"/>
            </w:tcBorders>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Balance as of January 1, 2022</w:t>
            </w:r>
          </w:p>
        </w:tc>
        <w:tc>
          <w:tcPr>
            <w:tcW w:w="960" w:type="dxa"/>
            <w:vAlign w:val="bottom"/>
            <w:tcBorders>
              <w:top w:val="single" w:sz="8" w:color="CCEEFF"/>
            </w:tcBorders>
            <w:shd w:val="clear" w:color="auto" w:fill="CCEEFF"/>
          </w:tcPr>
          <w:p>
            <w:pPr>
              <w:spacing w:after="0"/>
              <w:rPr>
                <w:sz w:val="12"/>
                <w:szCs w:val="12"/>
                <w:color w:val="auto"/>
              </w:rPr>
            </w:pPr>
          </w:p>
        </w:tc>
        <w:tc>
          <w:tcPr>
            <w:tcW w:w="40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53,282</w:t>
            </w:r>
          </w:p>
        </w:tc>
        <w:tc>
          <w:tcPr>
            <w:tcW w:w="14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54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2,647</w:t>
            </w:r>
          </w:p>
        </w:tc>
        <w:tc>
          <w:tcPr>
            <w:tcW w:w="260" w:type="dxa"/>
            <w:vAlign w:val="bottom"/>
            <w:tcBorders>
              <w:top w:val="single" w:sz="8" w:color="CCEEFF"/>
            </w:tcBorders>
            <w:shd w:val="clear" w:color="auto" w:fill="CCEEFF"/>
          </w:tcPr>
          <w:p>
            <w:pPr>
              <w:spacing w:after="0"/>
              <w:rPr>
                <w:sz w:val="12"/>
                <w:szCs w:val="12"/>
                <w:color w:val="auto"/>
              </w:rPr>
            </w:pPr>
          </w:p>
        </w:tc>
        <w:tc>
          <w:tcPr>
            <w:tcW w:w="44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55,929</w:t>
            </w:r>
          </w:p>
        </w:tc>
        <w:tc>
          <w:tcPr>
            <w:tcW w:w="80" w:type="dxa"/>
            <w:vAlign w:val="bottom"/>
            <w:tcBorders>
              <w:top w:val="single" w:sz="8" w:color="CCEEFF"/>
            </w:tcBorders>
            <w:shd w:val="clear" w:color="auto" w:fill="CCEEFF"/>
          </w:tcPr>
          <w:p>
            <w:pPr>
              <w:spacing w:after="0"/>
              <w:rPr>
                <w:sz w:val="12"/>
                <w:szCs w:val="12"/>
                <w:color w:val="auto"/>
              </w:rPr>
            </w:pPr>
          </w:p>
        </w:tc>
      </w:tr>
      <w:tr>
        <w:trPr>
          <w:trHeight w:val="152"/>
        </w:trPr>
        <w:tc>
          <w:tcPr>
            <w:tcW w:w="3580" w:type="dxa"/>
            <w:vAlign w:val="bottom"/>
          </w:tcPr>
          <w:p>
            <w:pPr>
              <w:spacing w:after="0"/>
              <w:rPr>
                <w:sz w:val="20"/>
                <w:szCs w:val="20"/>
                <w:color w:val="auto"/>
              </w:rPr>
            </w:pPr>
            <w:r>
              <w:rPr>
                <w:rFonts w:ascii="Times New Roman" w:cs="Times New Roman" w:eastAsia="Times New Roman" w:hAnsi="Times New Roman"/>
                <w:sz w:val="13"/>
                <w:szCs w:val="13"/>
                <w:color w:val="auto"/>
              </w:rPr>
              <w:t>Effect of foreign currency exchange rate differences</w:t>
            </w:r>
          </w:p>
        </w:tc>
        <w:tc>
          <w:tcPr>
            <w:tcW w:w="960" w:type="dxa"/>
            <w:vAlign w:val="bottom"/>
          </w:tcPr>
          <w:p>
            <w:pPr>
              <w:spacing w:after="0"/>
              <w:rPr>
                <w:sz w:val="13"/>
                <w:szCs w:val="13"/>
                <w:color w:val="auto"/>
              </w:rPr>
            </w:pPr>
          </w:p>
        </w:tc>
        <w:tc>
          <w:tcPr>
            <w:tcW w:w="54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(9,776)</w:t>
            </w:r>
          </w:p>
        </w:tc>
        <w:tc>
          <w:tcPr>
            <w:tcW w:w="900" w:type="dxa"/>
            <w:vAlign w:val="bottom"/>
            <w:gridSpan w:val="3"/>
          </w:tcPr>
          <w:p>
            <w:pPr>
              <w:jc w:val="right"/>
              <w:ind w:right="220"/>
              <w:spacing w:after="0"/>
              <w:rPr>
                <w:sz w:val="20"/>
                <w:szCs w:val="20"/>
                <w:color w:val="auto"/>
              </w:rPr>
            </w:pPr>
            <w:r>
              <w:rPr>
                <w:rFonts w:ascii="Times New Roman" w:cs="Times New Roman" w:eastAsia="Times New Roman" w:hAnsi="Times New Roman"/>
                <w:sz w:val="13"/>
                <w:szCs w:val="13"/>
                <w:color w:val="auto"/>
              </w:rPr>
              <w:t>(486)</w:t>
            </w:r>
          </w:p>
        </w:tc>
        <w:tc>
          <w:tcPr>
            <w:tcW w:w="52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(10,262)</w:t>
            </w:r>
          </w:p>
        </w:tc>
      </w:tr>
      <w:tr>
        <w:trPr>
          <w:trHeight w:val="151"/>
        </w:trPr>
        <w:tc>
          <w:tcPr>
            <w:tcW w:w="35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Balance as of September 30, 2022</w:t>
            </w:r>
          </w:p>
        </w:tc>
        <w:tc>
          <w:tcPr>
            <w:tcW w:w="960" w:type="dxa"/>
            <w:vAlign w:val="bottom"/>
            <w:shd w:val="clear" w:color="auto" w:fill="CCEEFF"/>
          </w:tcPr>
          <w:p>
            <w:pPr>
              <w:spacing w:after="0"/>
              <w:rPr>
                <w:sz w:val="13"/>
                <w:szCs w:val="13"/>
                <w:color w:val="auto"/>
              </w:rPr>
            </w:pPr>
          </w:p>
        </w:tc>
        <w:tc>
          <w:tcPr>
            <w:tcW w:w="4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43,506</w:t>
            </w:r>
          </w:p>
        </w:tc>
        <w:tc>
          <w:tcPr>
            <w:tcW w:w="1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2,161</w:t>
            </w:r>
          </w:p>
        </w:tc>
        <w:tc>
          <w:tcPr>
            <w:tcW w:w="260" w:type="dxa"/>
            <w:vAlign w:val="bottom"/>
            <w:shd w:val="clear" w:color="auto" w:fill="CCEEFF"/>
          </w:tcPr>
          <w:p>
            <w:pPr>
              <w:spacing w:after="0"/>
              <w:rPr>
                <w:sz w:val="13"/>
                <w:szCs w:val="13"/>
                <w:color w:val="auto"/>
              </w:rPr>
            </w:pPr>
          </w:p>
        </w:tc>
        <w:tc>
          <w:tcPr>
            <w:tcW w:w="4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45,667</w:t>
            </w:r>
          </w:p>
        </w:tc>
        <w:tc>
          <w:tcPr>
            <w:tcW w:w="80" w:type="dxa"/>
            <w:vAlign w:val="bottom"/>
            <w:shd w:val="clear" w:color="auto" w:fill="CCEEFF"/>
          </w:tcPr>
          <w:p>
            <w:pPr>
              <w:spacing w:after="0"/>
              <w:rPr>
                <w:sz w:val="13"/>
                <w:szCs w:val="13"/>
                <w:color w:val="auto"/>
              </w:rPr>
            </w:pPr>
          </w:p>
        </w:tc>
      </w:tr>
    </w:tbl>
    <w:p>
      <w:pPr>
        <w:spacing w:after="0" w:line="22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Note 6 - Equity</w:t>
      </w:r>
    </w:p>
    <w:p>
      <w:pPr>
        <w:spacing w:after="0" w:line="80" w:lineRule="exact"/>
        <w:rPr>
          <w:sz w:val="20"/>
          <w:szCs w:val="20"/>
          <w:color w:val="auto"/>
        </w:rPr>
      </w:pPr>
    </w:p>
    <w:p>
      <w:pPr>
        <w:ind w:left="640" w:right="679"/>
        <w:spacing w:after="0" w:line="248" w:lineRule="auto"/>
        <w:rPr>
          <w:sz w:val="20"/>
          <w:szCs w:val="20"/>
          <w:color w:val="auto"/>
        </w:rPr>
      </w:pPr>
      <w:r>
        <w:rPr>
          <w:rFonts w:ascii="Times New Roman" w:cs="Times New Roman" w:eastAsia="Times New Roman" w:hAnsi="Times New Roman"/>
          <w:sz w:val="13"/>
          <w:szCs w:val="13"/>
          <w:color w:val="auto"/>
        </w:rPr>
        <w:t>Between January 1, 2022, and prior to the Closing of the merger with GGI, there were no events impacting the Group’s equity other than the issuance of 50,000 British Pound Sterling (“GBP”) Redeemable Preferred Shares in ListCo with a par value of GBP 1.00, equivalent to $65, to the Former Parent. This issuance was part of ListCo’s incorporation in the United Kingdom as a subsidiary of the Former Parent in preparation for the Closing of the merger with GGI. The issuance was included in Other contributed capital within the Unaudited Condensed Consolidated Statement of Financial Position. Refer to Note 1 - Significant accounting policies and judgements for the list of events impacting equity upon the Closing of the merger with GGI. The following instruments of ListCo were issued and outstanding as of September 30, 2022:</w:t>
      </w:r>
    </w:p>
    <w:p>
      <w:pPr>
        <w:spacing w:after="0" w:line="68" w:lineRule="exact"/>
        <w:rPr>
          <w:sz w:val="20"/>
          <w:szCs w:val="20"/>
          <w:color w:val="auto"/>
        </w:rPr>
      </w:pPr>
    </w:p>
    <w:p>
      <w:pPr>
        <w:ind w:left="1320" w:hanging="303"/>
        <w:spacing w:after="0"/>
        <w:tabs>
          <w:tab w:leader="none" w:pos="1320" w:val="left"/>
        </w:tabs>
        <w:numPr>
          <w:ilvl w:val="0"/>
          <w:numId w:val="14"/>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467,144,972 Class A Shares with a par value of $0.01, of which 241,264,235 were owned by related parties;</w:t>
      </w:r>
    </w:p>
    <w:p>
      <w:pPr>
        <w:spacing w:after="0" w:line="87" w:lineRule="exact"/>
        <w:rPr>
          <w:rFonts w:ascii="Times New Roman" w:cs="Times New Roman" w:eastAsia="Times New Roman" w:hAnsi="Times New Roman"/>
          <w:sz w:val="13"/>
          <w:szCs w:val="13"/>
          <w:color w:val="auto"/>
        </w:rPr>
      </w:pPr>
    </w:p>
    <w:p>
      <w:pPr>
        <w:ind w:left="1320" w:hanging="303"/>
        <w:spacing w:after="0"/>
        <w:tabs>
          <w:tab w:leader="none" w:pos="1320" w:val="left"/>
        </w:tabs>
        <w:numPr>
          <w:ilvl w:val="0"/>
          <w:numId w:val="14"/>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1,642,233,575 Class B Shares with a par value of $0.01, of which all were owned by related parties;</w:t>
      </w:r>
    </w:p>
    <w:p>
      <w:pPr>
        <w:spacing w:after="0" w:line="87" w:lineRule="exact"/>
        <w:rPr>
          <w:rFonts w:ascii="Times New Roman" w:cs="Times New Roman" w:eastAsia="Times New Roman" w:hAnsi="Times New Roman"/>
          <w:sz w:val="13"/>
          <w:szCs w:val="13"/>
          <w:color w:val="auto"/>
        </w:rPr>
      </w:pPr>
    </w:p>
    <w:p>
      <w:pPr>
        <w:ind w:left="1320" w:hanging="303"/>
        <w:spacing w:after="0"/>
        <w:tabs>
          <w:tab w:leader="none" w:pos="1320" w:val="left"/>
        </w:tabs>
        <w:numPr>
          <w:ilvl w:val="0"/>
          <w:numId w:val="14"/>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15,999,965 Class C-1 Shares with a par value of $0.10;</w:t>
      </w:r>
    </w:p>
    <w:p>
      <w:pPr>
        <w:spacing w:after="0" w:line="87" w:lineRule="exact"/>
        <w:rPr>
          <w:rFonts w:ascii="Times New Roman" w:cs="Times New Roman" w:eastAsia="Times New Roman" w:hAnsi="Times New Roman"/>
          <w:sz w:val="13"/>
          <w:szCs w:val="13"/>
          <w:color w:val="auto"/>
        </w:rPr>
      </w:pPr>
    </w:p>
    <w:p>
      <w:pPr>
        <w:ind w:left="1320" w:hanging="303"/>
        <w:spacing w:after="0"/>
        <w:tabs>
          <w:tab w:leader="none" w:pos="1320" w:val="left"/>
        </w:tabs>
        <w:numPr>
          <w:ilvl w:val="0"/>
          <w:numId w:val="14"/>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9,000,000 Class C-2 Shares with a par value of $0.10; and</w:t>
      </w:r>
    </w:p>
    <w:p>
      <w:pPr>
        <w:spacing w:after="0" w:line="87" w:lineRule="exact"/>
        <w:rPr>
          <w:rFonts w:ascii="Times New Roman" w:cs="Times New Roman" w:eastAsia="Times New Roman" w:hAnsi="Times New Roman"/>
          <w:sz w:val="13"/>
          <w:szCs w:val="13"/>
          <w:color w:val="auto"/>
        </w:rPr>
      </w:pPr>
    </w:p>
    <w:p>
      <w:pPr>
        <w:ind w:left="1320" w:hanging="303"/>
        <w:spacing w:after="0"/>
        <w:tabs>
          <w:tab w:leader="none" w:pos="1320" w:val="left"/>
        </w:tabs>
        <w:numPr>
          <w:ilvl w:val="0"/>
          <w:numId w:val="14"/>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50,000 Redeemable Preferred Shares with a par value of GBP 1.00.</w:t>
      </w:r>
    </w:p>
    <w:p>
      <w:pPr>
        <w:spacing w:after="0" w:line="154" w:lineRule="exact"/>
        <w:rPr>
          <w:sz w:val="20"/>
          <w:szCs w:val="20"/>
          <w:color w:val="auto"/>
        </w:rPr>
      </w:pPr>
    </w:p>
    <w:p>
      <w:pPr>
        <w:ind w:left="640" w:right="659"/>
        <w:spacing w:after="0" w:line="248" w:lineRule="auto"/>
        <w:rPr>
          <w:sz w:val="20"/>
          <w:szCs w:val="20"/>
          <w:color w:val="auto"/>
        </w:rPr>
      </w:pPr>
      <w:r>
        <w:rPr>
          <w:rFonts w:ascii="Times New Roman" w:cs="Times New Roman" w:eastAsia="Times New Roman" w:hAnsi="Times New Roman"/>
          <w:sz w:val="13"/>
          <w:szCs w:val="13"/>
          <w:color w:val="auto"/>
        </w:rPr>
        <w:t>Holders of Class A Shares in ListCo are entitled to one vote per share and holders of Class B Shares in ListCo are entitled to ten votes per share. Holders of Class C Shares in ListCo are entitled to one vote per share for certain matters, but have no voting rights with respect to general matters voted on by holders of Class A Shares and Class B Shares in ListCo. Additionally, holders of GBP Redeemable Preferred Shares in ListCo have no voting rights. Any dividends or other distributions paid by ListCo shall be issued to holders of outstanding Class A Shares and Class B Shares in ListCo. Holders of Class C Shares and GBP Redeemable Preferred Shares in ListCo are not entitled to participate in any dividends or other distributions. Refer to Note 9 - Reverse recapitalization for additional information on the Class C Shares.</w:t>
      </w:r>
    </w:p>
    <w:p>
      <w:pPr>
        <w:spacing w:after="0" w:line="135"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Changes to the number of Class A Shares and Class B Shares in ListCo issued and outstanding during the period were as follows:</w:t>
      </w:r>
    </w:p>
    <w:p>
      <w:pPr>
        <w:spacing w:after="0" w:line="169" w:lineRule="exact"/>
        <w:rPr>
          <w:sz w:val="20"/>
          <w:szCs w:val="20"/>
          <w:color w:val="auto"/>
        </w:rPr>
      </w:pPr>
    </w:p>
    <w:tbl>
      <w:tblPr>
        <w:tblLayout w:type="fixed"/>
        <w:tblInd w:w="1560" w:type="dxa"/>
        <w:tblCellMar>
          <w:top w:w="0" w:type="dxa"/>
          <w:left w:w="0" w:type="dxa"/>
          <w:bottom w:w="0" w:type="dxa"/>
          <w:right w:w="0" w:type="dxa"/>
        </w:tblCellMar>
      </w:tblPr>
      <w:tr>
        <w:trPr>
          <w:trHeight w:val="121"/>
        </w:trPr>
        <w:tc>
          <w:tcPr>
            <w:tcW w:w="2360" w:type="dxa"/>
            <w:vAlign w:val="bottom"/>
          </w:tcPr>
          <w:p>
            <w:pPr>
              <w:spacing w:after="0"/>
              <w:rPr>
                <w:sz w:val="10"/>
                <w:szCs w:val="10"/>
                <w:color w:val="auto"/>
              </w:rPr>
            </w:pPr>
          </w:p>
        </w:tc>
        <w:tc>
          <w:tcPr>
            <w:tcW w:w="2040" w:type="dxa"/>
            <w:vAlign w:val="bottom"/>
          </w:tcPr>
          <w:p>
            <w:pPr>
              <w:spacing w:after="0"/>
              <w:rPr>
                <w:sz w:val="10"/>
                <w:szCs w:val="10"/>
                <w:color w:val="auto"/>
              </w:rPr>
            </w:pPr>
          </w:p>
        </w:tc>
        <w:tc>
          <w:tcPr>
            <w:tcW w:w="680" w:type="dxa"/>
            <w:vAlign w:val="bottom"/>
          </w:tcPr>
          <w:p>
            <w:pPr>
              <w:jc w:val="right"/>
              <w:ind w:right="119"/>
              <w:spacing w:after="0"/>
              <w:rPr>
                <w:sz w:val="20"/>
                <w:szCs w:val="20"/>
                <w:color w:val="auto"/>
              </w:rPr>
            </w:pPr>
            <w:r>
              <w:rPr>
                <w:rFonts w:ascii="Times New Roman" w:cs="Times New Roman" w:eastAsia="Times New Roman" w:hAnsi="Times New Roman"/>
                <w:sz w:val="10"/>
                <w:szCs w:val="10"/>
                <w:b w:val="1"/>
                <w:bCs w:val="1"/>
                <w:color w:val="auto"/>
              </w:rPr>
              <w:t>Class A</w:t>
            </w:r>
          </w:p>
        </w:tc>
        <w:tc>
          <w:tcPr>
            <w:tcW w:w="140" w:type="dxa"/>
            <w:vAlign w:val="bottom"/>
          </w:tcPr>
          <w:p>
            <w:pPr>
              <w:spacing w:after="0"/>
              <w:rPr>
                <w:sz w:val="10"/>
                <w:szCs w:val="10"/>
                <w:color w:val="auto"/>
              </w:rPr>
            </w:pPr>
          </w:p>
        </w:tc>
        <w:tc>
          <w:tcPr>
            <w:tcW w:w="660" w:type="dxa"/>
            <w:vAlign w:val="bottom"/>
            <w:gridSpan w:val="2"/>
          </w:tcPr>
          <w:p>
            <w:pPr>
              <w:ind w:left="140"/>
              <w:spacing w:after="0"/>
              <w:rPr>
                <w:sz w:val="20"/>
                <w:szCs w:val="20"/>
                <w:color w:val="auto"/>
              </w:rPr>
            </w:pPr>
            <w:r>
              <w:rPr>
                <w:rFonts w:ascii="Times New Roman" w:cs="Times New Roman" w:eastAsia="Times New Roman" w:hAnsi="Times New Roman"/>
                <w:sz w:val="10"/>
                <w:szCs w:val="10"/>
                <w:b w:val="1"/>
                <w:bCs w:val="1"/>
                <w:color w:val="auto"/>
              </w:rPr>
              <w:t>Class B</w:t>
            </w:r>
          </w:p>
        </w:tc>
      </w:tr>
      <w:tr>
        <w:trPr>
          <w:trHeight w:val="141"/>
        </w:trPr>
        <w:tc>
          <w:tcPr>
            <w:tcW w:w="2360" w:type="dxa"/>
            <w:vAlign w:val="bottom"/>
            <w:tcBorders>
              <w:top w:val="single" w:sz="8" w:color="CCEEFF"/>
            </w:tcBorders>
            <w:shd w:val="clear" w:color="auto" w:fill="CCEEFF"/>
          </w:tcPr>
          <w:p>
            <w:pPr>
              <w:spacing w:after="0" w:line="141" w:lineRule="exact"/>
              <w:rPr>
                <w:sz w:val="20"/>
                <w:szCs w:val="20"/>
                <w:color w:val="auto"/>
              </w:rPr>
            </w:pPr>
            <w:r>
              <w:rPr>
                <w:rFonts w:ascii="Times New Roman" w:cs="Times New Roman" w:eastAsia="Times New Roman" w:hAnsi="Times New Roman"/>
                <w:sz w:val="13"/>
                <w:szCs w:val="13"/>
                <w:b w:val="1"/>
                <w:bCs w:val="1"/>
                <w:color w:val="auto"/>
              </w:rPr>
              <w:t>Balance as of January 1, 2022</w:t>
            </w:r>
          </w:p>
        </w:tc>
        <w:tc>
          <w:tcPr>
            <w:tcW w:w="2040" w:type="dxa"/>
            <w:vAlign w:val="bottom"/>
            <w:tcBorders>
              <w:top w:val="single" w:sz="8" w:color="CCEEFF"/>
            </w:tcBorders>
            <w:shd w:val="clear" w:color="auto" w:fill="CCEEFF"/>
          </w:tcPr>
          <w:p>
            <w:pPr>
              <w:spacing w:after="0"/>
              <w:rPr>
                <w:sz w:val="12"/>
                <w:szCs w:val="12"/>
                <w:color w:val="auto"/>
              </w:rPr>
            </w:pPr>
          </w:p>
        </w:tc>
        <w:tc>
          <w:tcPr>
            <w:tcW w:w="68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b w:val="1"/>
                <w:bCs w:val="1"/>
                <w:color w:val="auto"/>
              </w:rPr>
              <w:t>197,026,729</w:t>
            </w:r>
          </w:p>
        </w:tc>
        <w:tc>
          <w:tcPr>
            <w:tcW w:w="140" w:type="dxa"/>
            <w:vAlign w:val="bottom"/>
            <w:tcBorders>
              <w:top w:val="single" w:sz="8" w:color="CCEEFF"/>
            </w:tcBorders>
            <w:shd w:val="clear" w:color="auto" w:fill="CCEEFF"/>
          </w:tcPr>
          <w:p>
            <w:pPr>
              <w:spacing w:after="0"/>
              <w:rPr>
                <w:sz w:val="12"/>
                <w:szCs w:val="12"/>
                <w:color w:val="auto"/>
              </w:rPr>
            </w:pPr>
          </w:p>
        </w:tc>
        <w:tc>
          <w:tcPr>
            <w:tcW w:w="62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b w:val="1"/>
                <w:bCs w:val="1"/>
                <w:color w:val="auto"/>
              </w:rPr>
              <w:t>35,377,866</w:t>
            </w:r>
          </w:p>
        </w:tc>
        <w:tc>
          <w:tcPr>
            <w:tcW w:w="40" w:type="dxa"/>
            <w:vAlign w:val="bottom"/>
            <w:tcBorders>
              <w:top w:val="single" w:sz="8" w:color="CCEEFF"/>
            </w:tcBorders>
            <w:shd w:val="clear" w:color="auto" w:fill="CCEEFF"/>
          </w:tcPr>
          <w:p>
            <w:pPr>
              <w:spacing w:after="0"/>
              <w:rPr>
                <w:sz w:val="12"/>
                <w:szCs w:val="12"/>
                <w:color w:val="auto"/>
              </w:rPr>
            </w:pPr>
          </w:p>
        </w:tc>
      </w:tr>
      <w:tr>
        <w:trPr>
          <w:trHeight w:val="152"/>
        </w:trPr>
        <w:tc>
          <w:tcPr>
            <w:tcW w:w="2360" w:type="dxa"/>
            <w:vAlign w:val="bottom"/>
          </w:tcPr>
          <w:p>
            <w:pPr>
              <w:spacing w:after="0"/>
              <w:rPr>
                <w:sz w:val="20"/>
                <w:szCs w:val="20"/>
                <w:color w:val="auto"/>
              </w:rPr>
            </w:pPr>
            <w:r>
              <w:rPr>
                <w:rFonts w:ascii="Times New Roman" w:cs="Times New Roman" w:eastAsia="Times New Roman" w:hAnsi="Times New Roman"/>
                <w:sz w:val="13"/>
                <w:szCs w:val="13"/>
                <w:color w:val="auto"/>
              </w:rPr>
              <w:t>Issuance during the period</w:t>
            </w:r>
          </w:p>
        </w:tc>
        <w:tc>
          <w:tcPr>
            <w:tcW w:w="2040" w:type="dxa"/>
            <w:vAlign w:val="bottom"/>
          </w:tcPr>
          <w:p>
            <w:pPr>
              <w:spacing w:after="0"/>
              <w:rPr>
                <w:sz w:val="13"/>
                <w:szCs w:val="13"/>
                <w:color w:val="auto"/>
              </w:rPr>
            </w:pPr>
          </w:p>
        </w:tc>
        <w:tc>
          <w:tcPr>
            <w:tcW w:w="68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140" w:type="dxa"/>
            <w:vAlign w:val="bottom"/>
          </w:tcPr>
          <w:p>
            <w:pPr>
              <w:spacing w:after="0"/>
              <w:rPr>
                <w:sz w:val="13"/>
                <w:szCs w:val="13"/>
                <w:color w:val="auto"/>
              </w:rPr>
            </w:pPr>
          </w:p>
        </w:tc>
        <w:tc>
          <w:tcPr>
            <w:tcW w:w="660" w:type="dxa"/>
            <w:vAlign w:val="bottom"/>
            <w:gridSpan w:val="2"/>
          </w:tcPr>
          <w:p>
            <w:pPr>
              <w:ind w:left="420"/>
              <w:spacing w:after="0"/>
              <w:rPr>
                <w:sz w:val="20"/>
                <w:szCs w:val="20"/>
                <w:color w:val="auto"/>
              </w:rPr>
            </w:pPr>
            <w:r>
              <w:rPr>
                <w:rFonts w:ascii="Times New Roman" w:cs="Times New Roman" w:eastAsia="Times New Roman" w:hAnsi="Times New Roman"/>
                <w:sz w:val="13"/>
                <w:szCs w:val="13"/>
                <w:color w:val="auto"/>
              </w:rPr>
              <w:t>—</w:t>
            </w:r>
          </w:p>
        </w:tc>
      </w:tr>
      <w:tr>
        <w:trPr>
          <w:trHeight w:val="152"/>
        </w:trPr>
        <w:tc>
          <w:tcPr>
            <w:tcW w:w="236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Conversion from Class A to Class B</w:t>
            </w:r>
          </w:p>
        </w:tc>
        <w:tc>
          <w:tcPr>
            <w:tcW w:w="204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140" w:type="dxa"/>
            <w:vAlign w:val="bottom"/>
            <w:shd w:val="clear" w:color="auto" w:fill="CCEEFF"/>
          </w:tcPr>
          <w:p>
            <w:pPr>
              <w:spacing w:after="0"/>
              <w:rPr>
                <w:sz w:val="13"/>
                <w:szCs w:val="13"/>
                <w:color w:val="auto"/>
              </w:rPr>
            </w:pPr>
          </w:p>
        </w:tc>
        <w:tc>
          <w:tcPr>
            <w:tcW w:w="660" w:type="dxa"/>
            <w:vAlign w:val="bottom"/>
            <w:gridSpan w:val="2"/>
            <w:shd w:val="clear" w:color="auto" w:fill="CCEEFF"/>
          </w:tcPr>
          <w:p>
            <w:pPr>
              <w:ind w:left="420"/>
              <w:spacing w:after="0"/>
              <w:rPr>
                <w:sz w:val="20"/>
                <w:szCs w:val="20"/>
                <w:color w:val="auto"/>
              </w:rPr>
            </w:pPr>
            <w:r>
              <w:rPr>
                <w:rFonts w:ascii="Times New Roman" w:cs="Times New Roman" w:eastAsia="Times New Roman" w:hAnsi="Times New Roman"/>
                <w:sz w:val="13"/>
                <w:szCs w:val="13"/>
                <w:color w:val="auto"/>
              </w:rPr>
              <w:t>—</w:t>
            </w:r>
          </w:p>
        </w:tc>
      </w:tr>
      <w:tr>
        <w:trPr>
          <w:trHeight w:val="151"/>
        </w:trPr>
        <w:tc>
          <w:tcPr>
            <w:tcW w:w="236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Balance as of June 23, 2022</w:t>
            </w:r>
          </w:p>
        </w:tc>
        <w:tc>
          <w:tcPr>
            <w:tcW w:w="2040" w:type="dxa"/>
            <w:vAlign w:val="bottom"/>
          </w:tcPr>
          <w:p>
            <w:pPr>
              <w:spacing w:after="0"/>
              <w:rPr>
                <w:sz w:val="13"/>
                <w:szCs w:val="13"/>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197,026,729</w:t>
            </w:r>
          </w:p>
        </w:tc>
        <w:tc>
          <w:tcPr>
            <w:tcW w:w="140" w:type="dxa"/>
            <w:vAlign w:val="bottom"/>
          </w:tcPr>
          <w:p>
            <w:pPr>
              <w:spacing w:after="0"/>
              <w:rPr>
                <w:sz w:val="13"/>
                <w:szCs w:val="13"/>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35,377,866</w:t>
            </w:r>
          </w:p>
        </w:tc>
        <w:tc>
          <w:tcPr>
            <w:tcW w:w="40" w:type="dxa"/>
            <w:vAlign w:val="bottom"/>
          </w:tcPr>
          <w:p>
            <w:pPr>
              <w:spacing w:after="0"/>
              <w:rPr>
                <w:sz w:val="13"/>
                <w:szCs w:val="13"/>
                <w:color w:val="auto"/>
              </w:rPr>
            </w:pPr>
          </w:p>
        </w:tc>
      </w:tr>
      <w:tr>
        <w:trPr>
          <w:trHeight w:val="151"/>
        </w:trPr>
        <w:tc>
          <w:tcPr>
            <w:tcW w:w="236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Issuance during the period</w:t>
            </w:r>
          </w:p>
        </w:tc>
        <w:tc>
          <w:tcPr>
            <w:tcW w:w="27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172,267,623</w:t>
            </w:r>
          </w:p>
        </w:tc>
        <w:tc>
          <w:tcPr>
            <w:tcW w:w="140" w:type="dxa"/>
            <w:vAlign w:val="bottom"/>
            <w:shd w:val="clear" w:color="auto" w:fill="CCEEFF"/>
          </w:tcPr>
          <w:p>
            <w:pPr>
              <w:spacing w:after="0"/>
              <w:rPr>
                <w:sz w:val="13"/>
                <w:szCs w:val="13"/>
                <w:color w:val="auto"/>
              </w:rPr>
            </w:pPr>
          </w:p>
        </w:tc>
        <w:tc>
          <w:tcPr>
            <w:tcW w:w="660" w:type="dxa"/>
            <w:vAlign w:val="bottom"/>
            <w:gridSpan w:val="2"/>
            <w:shd w:val="clear" w:color="auto" w:fill="CCEEFF"/>
          </w:tcPr>
          <w:p>
            <w:pPr>
              <w:ind w:left="420"/>
              <w:spacing w:after="0"/>
              <w:rPr>
                <w:sz w:val="20"/>
                <w:szCs w:val="20"/>
                <w:color w:val="auto"/>
              </w:rPr>
            </w:pPr>
            <w:r>
              <w:rPr>
                <w:rFonts w:ascii="Times New Roman" w:cs="Times New Roman" w:eastAsia="Times New Roman" w:hAnsi="Times New Roman"/>
                <w:sz w:val="13"/>
                <w:szCs w:val="13"/>
                <w:color w:val="auto"/>
              </w:rPr>
              <w:t>—</w:t>
            </w:r>
          </w:p>
        </w:tc>
      </w:tr>
      <w:tr>
        <w:trPr>
          <w:trHeight w:val="256"/>
        </w:trPr>
        <w:tc>
          <w:tcPr>
            <w:tcW w:w="2360" w:type="dxa"/>
            <w:vAlign w:val="bottom"/>
          </w:tcPr>
          <w:p>
            <w:pPr>
              <w:spacing w:after="0"/>
              <w:rPr>
                <w:sz w:val="22"/>
                <w:szCs w:val="22"/>
                <w:color w:val="auto"/>
              </w:rPr>
            </w:pPr>
          </w:p>
        </w:tc>
        <w:tc>
          <w:tcPr>
            <w:tcW w:w="2040" w:type="dxa"/>
            <w:vAlign w:val="bottom"/>
          </w:tcPr>
          <w:p>
            <w:pPr>
              <w:jc w:val="right"/>
              <w:ind w:right="1337"/>
              <w:spacing w:after="0"/>
              <w:rPr>
                <w:sz w:val="20"/>
                <w:szCs w:val="20"/>
                <w:color w:val="auto"/>
              </w:rPr>
            </w:pPr>
            <w:r>
              <w:rPr>
                <w:rFonts w:ascii="Times New Roman" w:cs="Times New Roman" w:eastAsia="Times New Roman" w:hAnsi="Times New Roman"/>
                <w:sz w:val="13"/>
                <w:szCs w:val="13"/>
                <w:color w:val="auto"/>
              </w:rPr>
              <w:t>24</w:t>
            </w:r>
          </w:p>
        </w:tc>
        <w:tc>
          <w:tcPr>
            <w:tcW w:w="6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40" w:type="dxa"/>
            <w:vAlign w:val="bottom"/>
          </w:tcPr>
          <w:p>
            <w:pPr>
              <w:spacing w:after="0"/>
              <w:rPr>
                <w:sz w:val="22"/>
                <w:szCs w:val="22"/>
                <w:color w:val="auto"/>
              </w:rPr>
            </w:pPr>
          </w:p>
        </w:tc>
      </w:tr>
    </w:tbl>
    <w:p>
      <w:pPr>
        <w:sectPr>
          <w:pgSz w:w="11900" w:h="16838" w:orient="portrait"/>
          <w:cols w:equalWidth="0" w:num="1">
            <w:col w:w="9019"/>
          </w:cols>
          <w:pgMar w:left="1440" w:top="231" w:right="1440" w:bottom="1440" w:gutter="0" w:footer="0" w:header="0"/>
        </w:sectPr>
      </w:pPr>
    </w:p>
    <w:bookmarkStart w:id="81" w:name="page82"/>
    <w:bookmarkEnd w:id="81"/>
    <w:p>
      <w:pPr>
        <w:jc w:val="center"/>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106" w:lineRule="exact"/>
        <w:rPr>
          <w:sz w:val="20"/>
          <w:szCs w:val="20"/>
          <w:color w:val="auto"/>
        </w:rPr>
      </w:pPr>
    </w:p>
    <w:tbl>
      <w:tblPr>
        <w:tblLayout w:type="fixed"/>
        <w:tblInd w:w="1560" w:type="dxa"/>
        <w:tblCellMar>
          <w:top w:w="0" w:type="dxa"/>
          <w:left w:w="0" w:type="dxa"/>
          <w:bottom w:w="0" w:type="dxa"/>
          <w:right w:w="0" w:type="dxa"/>
        </w:tblCellMar>
      </w:tblPr>
      <w:tr>
        <w:trPr>
          <w:trHeight w:val="152"/>
        </w:trPr>
        <w:tc>
          <w:tcPr>
            <w:tcW w:w="41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Removal of Polestar Automotive Holding Limited from the Group</w:t>
            </w:r>
          </w:p>
        </w:tc>
        <w:tc>
          <w:tcPr>
            <w:tcW w:w="72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7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r>
      <w:tr>
        <w:trPr>
          <w:trHeight w:val="152"/>
        </w:trPr>
        <w:tc>
          <w:tcPr>
            <w:tcW w:w="412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Conversion from Class A to Class B</w:t>
            </w:r>
          </w:p>
        </w:tc>
        <w:tc>
          <w:tcPr>
            <w:tcW w:w="920" w:type="dxa"/>
            <w:vAlign w:val="bottom"/>
            <w:gridSpan w:val="2"/>
          </w:tcPr>
          <w:p>
            <w:pPr>
              <w:jc w:val="center"/>
              <w:ind w:right="80"/>
              <w:spacing w:after="0"/>
              <w:rPr>
                <w:sz w:val="20"/>
                <w:szCs w:val="20"/>
                <w:color w:val="auto"/>
              </w:rPr>
            </w:pPr>
            <w:r>
              <w:rPr>
                <w:rFonts w:ascii="Times New Roman" w:cs="Times New Roman" w:eastAsia="Times New Roman" w:hAnsi="Times New Roman"/>
                <w:sz w:val="13"/>
                <w:szCs w:val="13"/>
                <w:color w:val="auto"/>
                <w:w w:val="97"/>
              </w:rPr>
              <w:t>(197,026,729)</w:t>
            </w: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3"/>
                <w:szCs w:val="13"/>
                <w:color w:val="auto"/>
                <w:w w:val="98"/>
              </w:rPr>
              <w:t>1,642,233,575</w:t>
            </w:r>
          </w:p>
        </w:tc>
      </w:tr>
      <w:tr>
        <w:trPr>
          <w:trHeight w:val="152"/>
        </w:trPr>
        <w:tc>
          <w:tcPr>
            <w:tcW w:w="4120" w:type="dxa"/>
            <w:vAlign w:val="bottom"/>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Conversion from Class B to Class A</w:t>
            </w:r>
          </w:p>
        </w:tc>
        <w:tc>
          <w:tcPr>
            <w:tcW w:w="720" w:type="dxa"/>
            <w:vAlign w:val="bottom"/>
            <w:shd w:val="clear" w:color="auto" w:fill="CCEEFF"/>
          </w:tcPr>
          <w:p>
            <w:pPr>
              <w:jc w:val="center"/>
              <w:ind w:left="37"/>
              <w:spacing w:after="0"/>
              <w:rPr>
                <w:sz w:val="20"/>
                <w:szCs w:val="20"/>
                <w:color w:val="auto"/>
              </w:rPr>
            </w:pPr>
            <w:r>
              <w:rPr>
                <w:rFonts w:ascii="Times New Roman" w:cs="Times New Roman" w:eastAsia="Times New Roman" w:hAnsi="Times New Roman"/>
                <w:sz w:val="13"/>
                <w:szCs w:val="13"/>
                <w:color w:val="auto"/>
                <w:w w:val="95"/>
              </w:rPr>
              <w:t>294,877,349</w:t>
            </w:r>
          </w:p>
        </w:tc>
        <w:tc>
          <w:tcPr>
            <w:tcW w:w="20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(35,377,866)</w:t>
            </w:r>
          </w:p>
        </w:tc>
      </w:tr>
      <w:tr>
        <w:trPr>
          <w:trHeight w:val="151"/>
        </w:trPr>
        <w:tc>
          <w:tcPr>
            <w:tcW w:w="412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Balance as of September 30, 2022</w:t>
            </w:r>
          </w:p>
        </w:tc>
        <w:tc>
          <w:tcPr>
            <w:tcW w:w="720" w:type="dxa"/>
            <w:vAlign w:val="bottom"/>
            <w:tcBorders>
              <w:top w:val="single" w:sz="8" w:color="auto"/>
              <w:bottom w:val="single" w:sz="8" w:color="auto"/>
            </w:tcBorders>
          </w:tcPr>
          <w:p>
            <w:pPr>
              <w:jc w:val="center"/>
              <w:ind w:left="37"/>
              <w:spacing w:after="0"/>
              <w:rPr>
                <w:sz w:val="20"/>
                <w:szCs w:val="20"/>
                <w:color w:val="auto"/>
              </w:rPr>
            </w:pPr>
            <w:r>
              <w:rPr>
                <w:rFonts w:ascii="Times New Roman" w:cs="Times New Roman" w:eastAsia="Times New Roman" w:hAnsi="Times New Roman"/>
                <w:sz w:val="13"/>
                <w:szCs w:val="13"/>
                <w:b w:val="1"/>
                <w:bCs w:val="1"/>
                <w:color w:val="auto"/>
                <w:w w:val="95"/>
              </w:rPr>
              <w:t>467,144,972</w:t>
            </w:r>
          </w:p>
        </w:tc>
        <w:tc>
          <w:tcPr>
            <w:tcW w:w="200" w:type="dxa"/>
            <w:vAlign w:val="bottom"/>
          </w:tcPr>
          <w:p>
            <w:pPr>
              <w:spacing w:after="0"/>
              <w:rPr>
                <w:sz w:val="13"/>
                <w:szCs w:val="13"/>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w w:val="98"/>
              </w:rPr>
              <w:t>1,642,233,575</w:t>
            </w:r>
          </w:p>
        </w:tc>
        <w:tc>
          <w:tcPr>
            <w:tcW w:w="80" w:type="dxa"/>
            <w:vAlign w:val="bottom"/>
          </w:tcPr>
          <w:p>
            <w:pPr>
              <w:spacing w:after="0"/>
              <w:rPr>
                <w:sz w:val="13"/>
                <w:szCs w:val="13"/>
                <w:color w:val="auto"/>
              </w:rPr>
            </w:pPr>
          </w:p>
        </w:tc>
      </w:tr>
    </w:tbl>
    <w:p>
      <w:pPr>
        <w:spacing w:after="0" w:line="148" w:lineRule="exact"/>
        <w:rPr>
          <w:sz w:val="20"/>
          <w:szCs w:val="20"/>
          <w:color w:val="auto"/>
        </w:rPr>
      </w:pPr>
    </w:p>
    <w:p>
      <w:pPr>
        <w:ind w:left="640" w:right="739"/>
        <w:spacing w:after="0" w:line="267" w:lineRule="auto"/>
        <w:rPr>
          <w:sz w:val="20"/>
          <w:szCs w:val="20"/>
          <w:color w:val="auto"/>
        </w:rPr>
      </w:pPr>
      <w:r>
        <w:rPr>
          <w:rFonts w:ascii="Times New Roman" w:cs="Times New Roman" w:eastAsia="Times New Roman" w:hAnsi="Times New Roman"/>
          <w:sz w:val="13"/>
          <w:szCs w:val="13"/>
          <w:color w:val="auto"/>
        </w:rPr>
        <w:t>As of September 30, 2022, there were an additional 4,532,855,028 Class A Shares and 135,133,164 Class B Shares with par values of $0.01 authorized for issuance. No additional Class C Shares or Redeemable Preferred Shares were authorized for issuance.</w:t>
      </w:r>
    </w:p>
    <w:p>
      <w:pPr>
        <w:spacing w:after="0" w:line="196"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Note 7 - Liabilities to credit institutions</w:t>
      </w:r>
    </w:p>
    <w:p>
      <w:pPr>
        <w:spacing w:after="0" w:line="80"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The carrying amount of Polestar Group’s liabilities to credit institutions as of September 30, 2022 and December 31, 2021 are as follows:</w:t>
      </w:r>
    </w:p>
    <w:p>
      <w:pPr>
        <w:spacing w:after="0" w:line="158" w:lineRule="exact"/>
        <w:rPr>
          <w:sz w:val="20"/>
          <w:szCs w:val="20"/>
          <w:color w:val="auto"/>
        </w:rPr>
      </w:pPr>
    </w:p>
    <w:tbl>
      <w:tblPr>
        <w:tblLayout w:type="fixed"/>
        <w:tblInd w:w="1560" w:type="dxa"/>
        <w:tblCellMar>
          <w:top w:w="0" w:type="dxa"/>
          <w:left w:w="0" w:type="dxa"/>
          <w:bottom w:w="0" w:type="dxa"/>
          <w:right w:w="0" w:type="dxa"/>
        </w:tblCellMar>
      </w:tblPr>
      <w:tr>
        <w:trPr>
          <w:trHeight w:val="115"/>
        </w:trPr>
        <w:tc>
          <w:tcPr>
            <w:tcW w:w="1340" w:type="dxa"/>
            <w:vAlign w:val="bottom"/>
            <w:vMerge w:val="restart"/>
          </w:tcPr>
          <w:p>
            <w:pPr>
              <w:spacing w:after="0"/>
              <w:rPr>
                <w:sz w:val="20"/>
                <w:szCs w:val="20"/>
                <w:color w:val="auto"/>
              </w:rPr>
            </w:pPr>
            <w:r>
              <w:rPr>
                <w:rFonts w:ascii="Times New Roman" w:cs="Times New Roman" w:eastAsia="Times New Roman" w:hAnsi="Times New Roman"/>
                <w:sz w:val="10"/>
                <w:szCs w:val="10"/>
                <w:b w:val="1"/>
                <w:bCs w:val="1"/>
                <w:color w:val="auto"/>
              </w:rPr>
              <w:t>Liabilities to credit institutions</w:t>
            </w:r>
          </w:p>
        </w:tc>
        <w:tc>
          <w:tcPr>
            <w:tcW w:w="2280" w:type="dxa"/>
            <w:vAlign w:val="bottom"/>
            <w:vMerge w:val="restart"/>
          </w:tcPr>
          <w:p>
            <w:pPr>
              <w:spacing w:after="0"/>
              <w:rPr>
                <w:sz w:val="10"/>
                <w:szCs w:val="10"/>
                <w:color w:val="auto"/>
              </w:rPr>
            </w:pPr>
          </w:p>
        </w:tc>
        <w:tc>
          <w:tcPr>
            <w:tcW w:w="1380" w:type="dxa"/>
            <w:vAlign w:val="bottom"/>
            <w:gridSpan w:val="3"/>
          </w:tcPr>
          <w:p>
            <w:pPr>
              <w:spacing w:after="0"/>
              <w:rPr>
                <w:sz w:val="20"/>
                <w:szCs w:val="20"/>
                <w:color w:val="auto"/>
              </w:rPr>
            </w:pPr>
            <w:r>
              <w:rPr>
                <w:rFonts w:ascii="Times New Roman" w:cs="Times New Roman" w:eastAsia="Times New Roman" w:hAnsi="Times New Roman"/>
                <w:sz w:val="10"/>
                <w:szCs w:val="10"/>
                <w:b w:val="1"/>
                <w:bCs w:val="1"/>
                <w:color w:val="auto"/>
              </w:rPr>
              <w:t>As of September 30,</w:t>
            </w:r>
          </w:p>
        </w:tc>
        <w:tc>
          <w:tcPr>
            <w:tcW w:w="880" w:type="dxa"/>
            <w:vAlign w:val="bottom"/>
            <w:gridSpan w:val="2"/>
          </w:tcPr>
          <w:p>
            <w:pPr>
              <w:jc w:val="right"/>
              <w:ind w:right="40"/>
              <w:spacing w:after="0"/>
              <w:rPr>
                <w:sz w:val="20"/>
                <w:szCs w:val="20"/>
                <w:color w:val="auto"/>
              </w:rPr>
            </w:pPr>
            <w:r>
              <w:rPr>
                <w:rFonts w:ascii="Times New Roman" w:cs="Times New Roman" w:eastAsia="Times New Roman" w:hAnsi="Times New Roman"/>
                <w:sz w:val="10"/>
                <w:szCs w:val="10"/>
                <w:b w:val="1"/>
                <w:bCs w:val="1"/>
                <w:color w:val="auto"/>
                <w:w w:val="99"/>
              </w:rPr>
              <w:t>As of December 31,</w:t>
            </w:r>
          </w:p>
        </w:tc>
        <w:tc>
          <w:tcPr>
            <w:tcW w:w="0" w:type="dxa"/>
            <w:vAlign w:val="bottom"/>
          </w:tcPr>
          <w:p>
            <w:pPr>
              <w:spacing w:after="0"/>
              <w:rPr>
                <w:sz w:val="1"/>
                <w:szCs w:val="1"/>
                <w:color w:val="auto"/>
              </w:rPr>
            </w:pPr>
          </w:p>
        </w:tc>
      </w:tr>
      <w:tr>
        <w:trPr>
          <w:trHeight w:val="131"/>
        </w:trPr>
        <w:tc>
          <w:tcPr>
            <w:tcW w:w="1340" w:type="dxa"/>
            <w:vAlign w:val="bottom"/>
            <w:tcBorders>
              <w:bottom w:val="single" w:sz="8" w:color="auto"/>
            </w:tcBorders>
            <w:vMerge w:val="continue"/>
          </w:tcPr>
          <w:p>
            <w:pPr>
              <w:spacing w:after="0"/>
              <w:rPr>
                <w:sz w:val="11"/>
                <w:szCs w:val="11"/>
                <w:color w:val="auto"/>
              </w:rPr>
            </w:pPr>
          </w:p>
        </w:tc>
        <w:tc>
          <w:tcPr>
            <w:tcW w:w="2280" w:type="dxa"/>
            <w:vAlign w:val="bottom"/>
            <w:vMerge w:val="continue"/>
          </w:tcPr>
          <w:p>
            <w:pPr>
              <w:spacing w:after="0"/>
              <w:rPr>
                <w:sz w:val="11"/>
                <w:szCs w:val="11"/>
                <w:color w:val="auto"/>
              </w:rPr>
            </w:pPr>
          </w:p>
        </w:tc>
        <w:tc>
          <w:tcPr>
            <w:tcW w:w="860" w:type="dxa"/>
            <w:vAlign w:val="bottom"/>
          </w:tcPr>
          <w:p>
            <w:pPr>
              <w:jc w:val="right"/>
              <w:ind w:right="261"/>
              <w:spacing w:after="0" w:line="112" w:lineRule="exact"/>
              <w:rPr>
                <w:sz w:val="20"/>
                <w:szCs w:val="20"/>
                <w:color w:val="auto"/>
              </w:rPr>
            </w:pPr>
            <w:r>
              <w:rPr>
                <w:rFonts w:ascii="Times New Roman" w:cs="Times New Roman" w:eastAsia="Times New Roman" w:hAnsi="Times New Roman"/>
                <w:sz w:val="10"/>
                <w:szCs w:val="10"/>
                <w:b w:val="1"/>
                <w:bCs w:val="1"/>
                <w:color w:val="auto"/>
              </w:rPr>
              <w:t>2022</w:t>
            </w:r>
          </w:p>
        </w:tc>
        <w:tc>
          <w:tcPr>
            <w:tcW w:w="2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840" w:type="dxa"/>
            <w:vAlign w:val="bottom"/>
          </w:tcPr>
          <w:p>
            <w:pPr>
              <w:jc w:val="right"/>
              <w:ind w:right="261"/>
              <w:spacing w:after="0" w:line="112" w:lineRule="exact"/>
              <w:rPr>
                <w:sz w:val="20"/>
                <w:szCs w:val="20"/>
                <w:color w:val="auto"/>
              </w:rPr>
            </w:pPr>
            <w:r>
              <w:rPr>
                <w:rFonts w:ascii="Times New Roman" w:cs="Times New Roman" w:eastAsia="Times New Roman" w:hAnsi="Times New Roman"/>
                <w:sz w:val="10"/>
                <w:szCs w:val="10"/>
                <w:b w:val="1"/>
                <w:bCs w:val="1"/>
                <w:color w:val="auto"/>
              </w:rPr>
              <w:t>2021</w:t>
            </w:r>
          </w:p>
        </w:tc>
        <w:tc>
          <w:tcPr>
            <w:tcW w:w="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1"/>
        </w:trPr>
        <w:tc>
          <w:tcPr>
            <w:tcW w:w="3620" w:type="dxa"/>
            <w:vAlign w:val="bottom"/>
            <w:tcBorders>
              <w:top w:val="single" w:sz="8" w:color="CCEEFF"/>
            </w:tcBorders>
            <w:gridSpan w:val="2"/>
            <w:shd w:val="clear" w:color="auto" w:fill="CCEEFF"/>
          </w:tcPr>
          <w:p>
            <w:pPr>
              <w:spacing w:after="0" w:line="131" w:lineRule="exact"/>
              <w:rPr>
                <w:sz w:val="20"/>
                <w:szCs w:val="20"/>
                <w:color w:val="auto"/>
              </w:rPr>
            </w:pPr>
            <w:r>
              <w:rPr>
                <w:rFonts w:ascii="Times New Roman" w:cs="Times New Roman" w:eastAsia="Times New Roman" w:hAnsi="Times New Roman"/>
                <w:sz w:val="13"/>
                <w:szCs w:val="13"/>
                <w:color w:val="auto"/>
              </w:rPr>
              <w:t>Working capital loans from banks</w:t>
            </w:r>
          </w:p>
        </w:tc>
        <w:tc>
          <w:tcPr>
            <w:tcW w:w="860" w:type="dxa"/>
            <w:vAlign w:val="bottom"/>
            <w:tcBorders>
              <w:top w:val="single" w:sz="8" w:color="auto"/>
            </w:tcBorders>
            <w:shd w:val="clear" w:color="auto" w:fill="CCEEFF"/>
          </w:tcPr>
          <w:p>
            <w:pPr>
              <w:jc w:val="right"/>
              <w:spacing w:after="0" w:line="131" w:lineRule="exact"/>
              <w:rPr>
                <w:sz w:val="20"/>
                <w:szCs w:val="20"/>
                <w:color w:val="auto"/>
              </w:rPr>
            </w:pPr>
            <w:r>
              <w:rPr>
                <w:rFonts w:ascii="Times New Roman" w:cs="Times New Roman" w:eastAsia="Times New Roman" w:hAnsi="Times New Roman"/>
                <w:sz w:val="13"/>
                <w:szCs w:val="13"/>
                <w:color w:val="auto"/>
              </w:rPr>
              <w:t>1,143,011</w:t>
            </w:r>
          </w:p>
        </w:tc>
        <w:tc>
          <w:tcPr>
            <w:tcW w:w="20" w:type="dxa"/>
            <w:vAlign w:val="bottom"/>
            <w:tcBorders>
              <w:top w:val="single" w:sz="8" w:color="CCEEFF"/>
            </w:tcBorders>
            <w:shd w:val="clear" w:color="auto" w:fill="CCEEFF"/>
          </w:tcPr>
          <w:p>
            <w:pPr>
              <w:spacing w:after="0"/>
              <w:rPr>
                <w:sz w:val="11"/>
                <w:szCs w:val="11"/>
                <w:color w:val="auto"/>
              </w:rPr>
            </w:pPr>
          </w:p>
        </w:tc>
        <w:tc>
          <w:tcPr>
            <w:tcW w:w="500" w:type="dxa"/>
            <w:vAlign w:val="bottom"/>
            <w:tcBorders>
              <w:top w:val="single" w:sz="8" w:color="CCEEFF"/>
            </w:tcBorders>
            <w:shd w:val="clear" w:color="auto" w:fill="CCEEFF"/>
          </w:tcPr>
          <w:p>
            <w:pPr>
              <w:spacing w:after="0"/>
              <w:rPr>
                <w:sz w:val="11"/>
                <w:szCs w:val="11"/>
                <w:color w:val="auto"/>
              </w:rPr>
            </w:pPr>
          </w:p>
        </w:tc>
        <w:tc>
          <w:tcPr>
            <w:tcW w:w="840" w:type="dxa"/>
            <w:vAlign w:val="bottom"/>
            <w:tcBorders>
              <w:top w:val="single" w:sz="8" w:color="auto"/>
            </w:tcBorders>
            <w:shd w:val="clear" w:color="auto" w:fill="CCEEFF"/>
          </w:tcPr>
          <w:p>
            <w:pPr>
              <w:jc w:val="right"/>
              <w:spacing w:after="0" w:line="131" w:lineRule="exact"/>
              <w:rPr>
                <w:sz w:val="20"/>
                <w:szCs w:val="20"/>
                <w:color w:val="auto"/>
              </w:rPr>
            </w:pPr>
            <w:r>
              <w:rPr>
                <w:rFonts w:ascii="Times New Roman" w:cs="Times New Roman" w:eastAsia="Times New Roman" w:hAnsi="Times New Roman"/>
                <w:sz w:val="13"/>
                <w:szCs w:val="13"/>
                <w:color w:val="auto"/>
              </w:rPr>
              <w:t>609,209</w:t>
            </w:r>
          </w:p>
        </w:tc>
        <w:tc>
          <w:tcPr>
            <w:tcW w:w="40" w:type="dxa"/>
            <w:vAlign w:val="bottom"/>
            <w:tcBorders>
              <w:top w:val="single" w:sz="8" w:color="CCEEFF"/>
            </w:tcBorders>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2"/>
        </w:trPr>
        <w:tc>
          <w:tcPr>
            <w:tcW w:w="3620" w:type="dxa"/>
            <w:vAlign w:val="bottom"/>
            <w:gridSpan w:val="2"/>
          </w:tcPr>
          <w:p>
            <w:pPr>
              <w:spacing w:after="0"/>
              <w:rPr>
                <w:sz w:val="20"/>
                <w:szCs w:val="20"/>
                <w:color w:val="auto"/>
              </w:rPr>
            </w:pPr>
            <w:r>
              <w:rPr>
                <w:rFonts w:ascii="Times New Roman" w:cs="Times New Roman" w:eastAsia="Times New Roman" w:hAnsi="Times New Roman"/>
                <w:sz w:val="13"/>
                <w:szCs w:val="13"/>
                <w:color w:val="auto"/>
              </w:rPr>
              <w:t>Floorplan facilities</w:t>
            </w:r>
          </w:p>
        </w:tc>
        <w:tc>
          <w:tcPr>
            <w:tcW w:w="88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18,759</w:t>
            </w:r>
          </w:p>
        </w:tc>
        <w:tc>
          <w:tcPr>
            <w:tcW w:w="500" w:type="dxa"/>
            <w:vAlign w:val="bottom"/>
          </w:tcPr>
          <w:p>
            <w:pPr>
              <w:spacing w:after="0"/>
              <w:rPr>
                <w:sz w:val="13"/>
                <w:szCs w:val="13"/>
                <w:color w:val="auto"/>
              </w:rPr>
            </w:pPr>
          </w:p>
        </w:tc>
        <w:tc>
          <w:tcPr>
            <w:tcW w:w="88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18,664</w:t>
            </w:r>
          </w:p>
        </w:tc>
        <w:tc>
          <w:tcPr>
            <w:tcW w:w="0" w:type="dxa"/>
            <w:vAlign w:val="bottom"/>
          </w:tcPr>
          <w:p>
            <w:pPr>
              <w:spacing w:after="0"/>
              <w:rPr>
                <w:sz w:val="1"/>
                <w:szCs w:val="1"/>
                <w:color w:val="auto"/>
              </w:rPr>
            </w:pPr>
          </w:p>
        </w:tc>
      </w:tr>
      <w:tr>
        <w:trPr>
          <w:trHeight w:val="152"/>
        </w:trPr>
        <w:tc>
          <w:tcPr>
            <w:tcW w:w="36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3"/>
                <w:szCs w:val="13"/>
                <w:color w:val="auto"/>
              </w:rPr>
              <w:t>Sale-leaseback facilities</w:t>
            </w:r>
          </w:p>
        </w:tc>
        <w:tc>
          <w:tcPr>
            <w:tcW w:w="8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14,812</w:t>
            </w:r>
          </w:p>
        </w:tc>
        <w:tc>
          <w:tcPr>
            <w:tcW w:w="500" w:type="dxa"/>
            <w:vAlign w:val="bottom"/>
            <w:shd w:val="clear" w:color="auto" w:fill="CCEEFF"/>
          </w:tcPr>
          <w:p>
            <w:pPr>
              <w:spacing w:after="0"/>
              <w:rPr>
                <w:sz w:val="13"/>
                <w:szCs w:val="13"/>
                <w:color w:val="auto"/>
              </w:rPr>
            </w:pPr>
          </w:p>
        </w:tc>
        <w:tc>
          <w:tcPr>
            <w:tcW w:w="8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14,465</w:t>
            </w:r>
          </w:p>
        </w:tc>
        <w:tc>
          <w:tcPr>
            <w:tcW w:w="0" w:type="dxa"/>
            <w:vAlign w:val="bottom"/>
          </w:tcPr>
          <w:p>
            <w:pPr>
              <w:spacing w:after="0"/>
              <w:rPr>
                <w:sz w:val="1"/>
                <w:szCs w:val="1"/>
                <w:color w:val="auto"/>
              </w:rPr>
            </w:pPr>
          </w:p>
        </w:tc>
      </w:tr>
      <w:tr>
        <w:trPr>
          <w:trHeight w:val="151"/>
        </w:trPr>
        <w:tc>
          <w:tcPr>
            <w:tcW w:w="3620" w:type="dxa"/>
            <w:vAlign w:val="bottom"/>
            <w:gridSpan w:val="2"/>
          </w:tcPr>
          <w:p>
            <w:pPr>
              <w:spacing w:after="0"/>
              <w:rPr>
                <w:sz w:val="20"/>
                <w:szCs w:val="20"/>
                <w:color w:val="auto"/>
              </w:rPr>
            </w:pPr>
            <w:r>
              <w:rPr>
                <w:rFonts w:ascii="Times New Roman" w:cs="Times New Roman" w:eastAsia="Times New Roman" w:hAnsi="Times New Roman"/>
                <w:sz w:val="13"/>
                <w:szCs w:val="13"/>
                <w:b w:val="1"/>
                <w:bCs w:val="1"/>
                <w:color w:val="auto"/>
              </w:rPr>
              <w:t>Balance as of September 30, 2022</w:t>
            </w:r>
          </w:p>
        </w:tc>
        <w:tc>
          <w:tcPr>
            <w:tcW w:w="8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1,176,582</w:t>
            </w:r>
          </w:p>
        </w:tc>
        <w:tc>
          <w:tcPr>
            <w:tcW w:w="20" w:type="dxa"/>
            <w:vAlign w:val="bottom"/>
            <w:tcBorders>
              <w:bottom w:val="single" w:sz="8" w:color="auto"/>
            </w:tcBorders>
          </w:tcPr>
          <w:p>
            <w:pPr>
              <w:spacing w:after="0"/>
              <w:rPr>
                <w:sz w:val="13"/>
                <w:szCs w:val="13"/>
                <w:color w:val="auto"/>
              </w:rPr>
            </w:pPr>
          </w:p>
        </w:tc>
        <w:tc>
          <w:tcPr>
            <w:tcW w:w="500" w:type="dxa"/>
            <w:vAlign w:val="bottom"/>
          </w:tcPr>
          <w:p>
            <w:pPr>
              <w:spacing w:after="0"/>
              <w:rPr>
                <w:sz w:val="13"/>
                <w:szCs w:val="13"/>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642,338</w:t>
            </w: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14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The Group has the following working capital loans outstanding as of September 30, 2022:</w:t>
      </w:r>
    </w:p>
    <w:p>
      <w:pPr>
        <w:spacing w:after="0" w:line="158" w:lineRule="exact"/>
        <w:rPr>
          <w:sz w:val="20"/>
          <w:szCs w:val="20"/>
          <w:color w:val="auto"/>
        </w:rPr>
      </w:pPr>
    </w:p>
    <w:tbl>
      <w:tblPr>
        <w:tblLayout w:type="fixed"/>
        <w:tblInd w:w="640" w:type="dxa"/>
        <w:tblCellMar>
          <w:top w:w="0" w:type="dxa"/>
          <w:left w:w="0" w:type="dxa"/>
          <w:bottom w:w="0" w:type="dxa"/>
          <w:right w:w="0" w:type="dxa"/>
        </w:tblCellMar>
      </w:tblPr>
      <w:tr>
        <w:trPr>
          <w:trHeight w:val="115"/>
        </w:trPr>
        <w:tc>
          <w:tcPr>
            <w:tcW w:w="4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8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3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940" w:type="dxa"/>
            <w:vAlign w:val="bottom"/>
            <w:gridSpan w:val="2"/>
          </w:tcPr>
          <w:p>
            <w:pPr>
              <w:jc w:val="right"/>
              <w:ind w:right="100"/>
              <w:spacing w:after="0"/>
              <w:rPr>
                <w:sz w:val="20"/>
                <w:szCs w:val="20"/>
                <w:color w:val="auto"/>
              </w:rPr>
            </w:pPr>
            <w:r>
              <w:rPr>
                <w:rFonts w:ascii="Times New Roman" w:cs="Times New Roman" w:eastAsia="Times New Roman" w:hAnsi="Times New Roman"/>
                <w:sz w:val="10"/>
                <w:szCs w:val="10"/>
                <w:b w:val="1"/>
                <w:bCs w:val="1"/>
                <w:color w:val="auto"/>
                <w:w w:val="98"/>
              </w:rPr>
              <w:t>Nominal amount in</w:t>
            </w:r>
          </w:p>
        </w:tc>
        <w:tc>
          <w:tcPr>
            <w:tcW w:w="5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4"/>
        </w:trPr>
        <w:tc>
          <w:tcPr>
            <w:tcW w:w="420" w:type="dxa"/>
            <w:vAlign w:val="bottom"/>
            <w:vMerge w:val="restart"/>
          </w:tcPr>
          <w:p>
            <w:pPr>
              <w:spacing w:after="0"/>
              <w:rPr>
                <w:sz w:val="20"/>
                <w:szCs w:val="20"/>
                <w:color w:val="auto"/>
              </w:rPr>
            </w:pPr>
            <w:r>
              <w:rPr>
                <w:rFonts w:ascii="Times New Roman" w:cs="Times New Roman" w:eastAsia="Times New Roman" w:hAnsi="Times New Roman"/>
                <w:sz w:val="10"/>
                <w:szCs w:val="10"/>
                <w:b w:val="1"/>
                <w:bCs w:val="1"/>
                <w:color w:val="auto"/>
                <w:w w:val="97"/>
              </w:rPr>
              <w:t>Currency</w:t>
            </w:r>
          </w:p>
        </w:tc>
        <w:tc>
          <w:tcPr>
            <w:tcW w:w="60" w:type="dxa"/>
            <w:vAlign w:val="bottom"/>
          </w:tcPr>
          <w:p>
            <w:pPr>
              <w:spacing w:after="0"/>
              <w:rPr>
                <w:sz w:val="9"/>
                <w:szCs w:val="9"/>
                <w:color w:val="auto"/>
              </w:rPr>
            </w:pPr>
          </w:p>
        </w:tc>
        <w:tc>
          <w:tcPr>
            <w:tcW w:w="1900" w:type="dxa"/>
            <w:vAlign w:val="bottom"/>
            <w:gridSpan w:val="2"/>
            <w:vMerge w:val="restart"/>
          </w:tcPr>
          <w:p>
            <w:pPr>
              <w:ind w:left="780"/>
              <w:spacing w:after="0"/>
              <w:rPr>
                <w:sz w:val="20"/>
                <w:szCs w:val="20"/>
                <w:color w:val="auto"/>
              </w:rPr>
            </w:pPr>
            <w:r>
              <w:rPr>
                <w:rFonts w:ascii="Times New Roman" w:cs="Times New Roman" w:eastAsia="Times New Roman" w:hAnsi="Times New Roman"/>
                <w:sz w:val="10"/>
                <w:szCs w:val="10"/>
                <w:b w:val="1"/>
                <w:bCs w:val="1"/>
                <w:color w:val="auto"/>
              </w:rPr>
              <w:t>Term</w:t>
            </w:r>
          </w:p>
        </w:tc>
        <w:tc>
          <w:tcPr>
            <w:tcW w:w="660" w:type="dxa"/>
            <w:vAlign w:val="bottom"/>
            <w:gridSpan w:val="2"/>
            <w:vMerge w:val="restart"/>
          </w:tcPr>
          <w:p>
            <w:pPr>
              <w:ind w:left="120"/>
              <w:spacing w:after="0"/>
              <w:rPr>
                <w:sz w:val="20"/>
                <w:szCs w:val="20"/>
                <w:color w:val="auto"/>
              </w:rPr>
            </w:pPr>
            <w:r>
              <w:rPr>
                <w:rFonts w:ascii="Times New Roman" w:cs="Times New Roman" w:eastAsia="Times New Roman" w:hAnsi="Times New Roman"/>
                <w:sz w:val="10"/>
                <w:szCs w:val="10"/>
                <w:b w:val="1"/>
                <w:bCs w:val="1"/>
                <w:color w:val="auto"/>
              </w:rPr>
              <w:t>Security</w:t>
            </w:r>
          </w:p>
        </w:tc>
        <w:tc>
          <w:tcPr>
            <w:tcW w:w="3380" w:type="dxa"/>
            <w:vAlign w:val="bottom"/>
            <w:gridSpan w:val="2"/>
            <w:vMerge w:val="restart"/>
          </w:tcPr>
          <w:p>
            <w:pPr>
              <w:ind w:left="1480"/>
              <w:spacing w:after="0"/>
              <w:rPr>
                <w:sz w:val="20"/>
                <w:szCs w:val="20"/>
                <w:color w:val="auto"/>
              </w:rPr>
            </w:pPr>
            <w:r>
              <w:rPr>
                <w:rFonts w:ascii="Times New Roman" w:cs="Times New Roman" w:eastAsia="Times New Roman" w:hAnsi="Times New Roman"/>
                <w:sz w:val="10"/>
                <w:szCs w:val="10"/>
                <w:b w:val="1"/>
                <w:bCs w:val="1"/>
                <w:color w:val="auto"/>
              </w:rPr>
              <w:t>Interest</w:t>
            </w:r>
          </w:p>
        </w:tc>
        <w:tc>
          <w:tcPr>
            <w:tcW w:w="940" w:type="dxa"/>
            <w:vAlign w:val="bottom"/>
            <w:gridSpan w:val="2"/>
          </w:tcPr>
          <w:p>
            <w:pPr>
              <w:jc w:val="right"/>
              <w:ind w:right="100"/>
              <w:spacing w:after="0" w:line="104" w:lineRule="exact"/>
              <w:rPr>
                <w:sz w:val="20"/>
                <w:szCs w:val="20"/>
                <w:color w:val="auto"/>
              </w:rPr>
            </w:pPr>
            <w:r>
              <w:rPr>
                <w:rFonts w:ascii="Times New Roman" w:cs="Times New Roman" w:eastAsia="Times New Roman" w:hAnsi="Times New Roman"/>
                <w:sz w:val="10"/>
                <w:szCs w:val="10"/>
                <w:b w:val="1"/>
                <w:bCs w:val="1"/>
                <w:color w:val="auto"/>
                <w:w w:val="98"/>
              </w:rPr>
              <w:t>respective currency</w:t>
            </w:r>
          </w:p>
        </w:tc>
        <w:tc>
          <w:tcPr>
            <w:tcW w:w="580" w:type="dxa"/>
            <w:vAlign w:val="bottom"/>
            <w:gridSpan w:val="3"/>
            <w:vMerge w:val="restart"/>
          </w:tcPr>
          <w:p>
            <w:pPr>
              <w:ind w:left="140"/>
              <w:spacing w:after="0"/>
              <w:rPr>
                <w:sz w:val="20"/>
                <w:szCs w:val="20"/>
                <w:color w:val="auto"/>
              </w:rPr>
            </w:pPr>
            <w:r>
              <w:rPr>
                <w:rFonts w:ascii="Times New Roman" w:cs="Times New Roman" w:eastAsia="Times New Roman" w:hAnsi="Times New Roman"/>
                <w:sz w:val="10"/>
                <w:szCs w:val="10"/>
                <w:b w:val="1"/>
                <w:bCs w:val="1"/>
                <w:color w:val="auto"/>
              </w:rPr>
              <w:t>TUSD</w:t>
            </w:r>
          </w:p>
        </w:tc>
        <w:tc>
          <w:tcPr>
            <w:tcW w:w="0" w:type="dxa"/>
            <w:vAlign w:val="bottom"/>
          </w:tcPr>
          <w:p>
            <w:pPr>
              <w:spacing w:after="0"/>
              <w:rPr>
                <w:sz w:val="1"/>
                <w:szCs w:val="1"/>
                <w:color w:val="auto"/>
              </w:rPr>
            </w:pPr>
          </w:p>
        </w:tc>
      </w:tr>
      <w:tr>
        <w:trPr>
          <w:trHeight w:val="131"/>
        </w:trPr>
        <w:tc>
          <w:tcPr>
            <w:tcW w:w="420" w:type="dxa"/>
            <w:vAlign w:val="bottom"/>
            <w:tcBorders>
              <w:bottom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900" w:type="dxa"/>
            <w:vAlign w:val="bottom"/>
            <w:gridSpan w:val="2"/>
            <w:vMerge w:val="continue"/>
          </w:tcPr>
          <w:p>
            <w:pPr>
              <w:spacing w:after="0"/>
              <w:rPr>
                <w:sz w:val="11"/>
                <w:szCs w:val="11"/>
                <w:color w:val="auto"/>
              </w:rPr>
            </w:pPr>
          </w:p>
        </w:tc>
        <w:tc>
          <w:tcPr>
            <w:tcW w:w="660" w:type="dxa"/>
            <w:vAlign w:val="bottom"/>
            <w:gridSpan w:val="2"/>
            <w:vMerge w:val="continue"/>
          </w:tcPr>
          <w:p>
            <w:pPr>
              <w:spacing w:after="0"/>
              <w:rPr>
                <w:sz w:val="11"/>
                <w:szCs w:val="11"/>
                <w:color w:val="auto"/>
              </w:rPr>
            </w:pPr>
          </w:p>
        </w:tc>
        <w:tc>
          <w:tcPr>
            <w:tcW w:w="3380" w:type="dxa"/>
            <w:vAlign w:val="bottom"/>
            <w:gridSpan w:val="2"/>
            <w:vMerge w:val="continue"/>
          </w:tcPr>
          <w:p>
            <w:pPr>
              <w:spacing w:after="0"/>
              <w:rPr>
                <w:sz w:val="11"/>
                <w:szCs w:val="11"/>
                <w:color w:val="auto"/>
              </w:rPr>
            </w:pPr>
          </w:p>
        </w:tc>
        <w:tc>
          <w:tcPr>
            <w:tcW w:w="940" w:type="dxa"/>
            <w:vAlign w:val="bottom"/>
            <w:gridSpan w:val="2"/>
          </w:tcPr>
          <w:p>
            <w:pPr>
              <w:ind w:left="160"/>
              <w:spacing w:after="0" w:line="112" w:lineRule="exact"/>
              <w:rPr>
                <w:sz w:val="20"/>
                <w:szCs w:val="20"/>
                <w:color w:val="auto"/>
              </w:rPr>
            </w:pPr>
            <w:r>
              <w:rPr>
                <w:rFonts w:ascii="Times New Roman" w:cs="Times New Roman" w:eastAsia="Times New Roman" w:hAnsi="Times New Roman"/>
                <w:sz w:val="10"/>
                <w:szCs w:val="10"/>
                <w:b w:val="1"/>
                <w:bCs w:val="1"/>
                <w:color w:val="auto"/>
              </w:rPr>
              <w:t>(thousands)</w:t>
            </w:r>
          </w:p>
        </w:tc>
        <w:tc>
          <w:tcPr>
            <w:tcW w:w="580" w:type="dxa"/>
            <w:vAlign w:val="bottom"/>
            <w:gridSpan w:val="3"/>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31"/>
        </w:trPr>
        <w:tc>
          <w:tcPr>
            <w:tcW w:w="420" w:type="dxa"/>
            <w:vAlign w:val="bottom"/>
            <w:tcBorders>
              <w:top w:val="single" w:sz="8" w:color="CCEEFF"/>
            </w:tcBorders>
            <w:shd w:val="clear" w:color="auto" w:fill="CCEEFF"/>
          </w:tcPr>
          <w:p>
            <w:pPr>
              <w:spacing w:after="0" w:line="131" w:lineRule="exact"/>
              <w:rPr>
                <w:sz w:val="20"/>
                <w:szCs w:val="20"/>
                <w:color w:val="auto"/>
              </w:rPr>
            </w:pPr>
            <w:r>
              <w:rPr>
                <w:rFonts w:ascii="Times New Roman" w:cs="Times New Roman" w:eastAsia="Times New Roman" w:hAnsi="Times New Roman"/>
                <w:sz w:val="13"/>
                <w:szCs w:val="13"/>
                <w:color w:val="auto"/>
              </w:rPr>
              <w:t>EUR</w:t>
            </w:r>
          </w:p>
        </w:tc>
        <w:tc>
          <w:tcPr>
            <w:tcW w:w="60" w:type="dxa"/>
            <w:vAlign w:val="bottom"/>
            <w:tcBorders>
              <w:top w:val="single" w:sz="8" w:color="CCEEFF"/>
            </w:tcBorders>
            <w:shd w:val="clear" w:color="auto" w:fill="CCEEFF"/>
          </w:tcPr>
          <w:p>
            <w:pPr>
              <w:spacing w:after="0"/>
              <w:rPr>
                <w:sz w:val="11"/>
                <w:szCs w:val="11"/>
                <w:color w:val="auto"/>
              </w:rPr>
            </w:pPr>
          </w:p>
        </w:tc>
        <w:tc>
          <w:tcPr>
            <w:tcW w:w="1800" w:type="dxa"/>
            <w:vAlign w:val="bottom"/>
            <w:tcBorders>
              <w:top w:val="single" w:sz="8" w:color="auto"/>
            </w:tcBorders>
            <w:shd w:val="clear" w:color="auto" w:fill="CCEEFF"/>
          </w:tcPr>
          <w:p>
            <w:pPr>
              <w:ind w:left="40"/>
              <w:spacing w:after="0" w:line="131" w:lineRule="exact"/>
              <w:rPr>
                <w:sz w:val="20"/>
                <w:szCs w:val="20"/>
                <w:color w:val="auto"/>
              </w:rPr>
            </w:pPr>
            <w:r>
              <w:rPr>
                <w:rFonts w:ascii="Times New Roman" w:cs="Times New Roman" w:eastAsia="Times New Roman" w:hAnsi="Times New Roman"/>
                <w:sz w:val="13"/>
                <w:szCs w:val="13"/>
                <w:color w:val="auto"/>
              </w:rPr>
              <w:t>February 2022 - February 2023</w:t>
            </w:r>
          </w:p>
        </w:tc>
        <w:tc>
          <w:tcPr>
            <w:tcW w:w="100" w:type="dxa"/>
            <w:vAlign w:val="bottom"/>
            <w:tcBorders>
              <w:top w:val="single" w:sz="8" w:color="CCEEFF"/>
            </w:tcBorders>
            <w:shd w:val="clear" w:color="auto" w:fill="CCEEFF"/>
          </w:tcPr>
          <w:p>
            <w:pPr>
              <w:spacing w:after="0"/>
              <w:rPr>
                <w:sz w:val="11"/>
                <w:szCs w:val="11"/>
                <w:color w:val="auto"/>
              </w:rPr>
            </w:pPr>
          </w:p>
        </w:tc>
        <w:tc>
          <w:tcPr>
            <w:tcW w:w="580" w:type="dxa"/>
            <w:vAlign w:val="bottom"/>
            <w:tcBorders>
              <w:top w:val="single" w:sz="8" w:color="auto"/>
            </w:tcBorders>
            <w:shd w:val="clear" w:color="auto" w:fill="CCEEFF"/>
          </w:tcPr>
          <w:p>
            <w:pPr>
              <w:ind w:left="40"/>
              <w:spacing w:after="0" w:line="131" w:lineRule="exact"/>
              <w:rPr>
                <w:sz w:val="20"/>
                <w:szCs w:val="20"/>
                <w:color w:val="auto"/>
              </w:rPr>
            </w:pPr>
            <w:r>
              <w:rPr>
                <w:rFonts w:ascii="Times New Roman" w:cs="Times New Roman" w:eastAsia="Times New Roman" w:hAnsi="Times New Roman"/>
                <w:sz w:val="11"/>
                <w:szCs w:val="11"/>
                <w:color w:val="auto"/>
              </w:rPr>
              <w:t>Secured</w:t>
            </w:r>
            <w:r>
              <w:rPr>
                <w:rFonts w:ascii="Times New Roman" w:cs="Times New Roman" w:eastAsia="Times New Roman" w:hAnsi="Times New Roman"/>
                <w:sz w:val="15"/>
                <w:szCs w:val="15"/>
                <w:color w:val="auto"/>
                <w:vertAlign w:val="superscript"/>
              </w:rPr>
              <w:t>4</w:t>
            </w:r>
          </w:p>
        </w:tc>
        <w:tc>
          <w:tcPr>
            <w:tcW w:w="80" w:type="dxa"/>
            <w:vAlign w:val="bottom"/>
            <w:tcBorders>
              <w:top w:val="single" w:sz="8" w:color="CCEEFF"/>
            </w:tcBorders>
            <w:shd w:val="clear" w:color="auto" w:fill="CCEEFF"/>
          </w:tcPr>
          <w:p>
            <w:pPr>
              <w:spacing w:after="0"/>
              <w:rPr>
                <w:sz w:val="11"/>
                <w:szCs w:val="11"/>
                <w:color w:val="auto"/>
              </w:rPr>
            </w:pPr>
          </w:p>
        </w:tc>
        <w:tc>
          <w:tcPr>
            <w:tcW w:w="3300" w:type="dxa"/>
            <w:vAlign w:val="bottom"/>
            <w:tcBorders>
              <w:top w:val="single" w:sz="8" w:color="auto"/>
            </w:tcBorders>
            <w:shd w:val="clear" w:color="auto" w:fill="CCEEFF"/>
          </w:tcPr>
          <w:p>
            <w:pPr>
              <w:spacing w:after="0" w:line="131" w:lineRule="exact"/>
              <w:rPr>
                <w:sz w:val="20"/>
                <w:szCs w:val="20"/>
                <w:color w:val="auto"/>
              </w:rPr>
            </w:pPr>
            <w:r>
              <w:rPr>
                <w:rFonts w:ascii="Times New Roman" w:cs="Times New Roman" w:eastAsia="Times New Roman" w:hAnsi="Times New Roman"/>
                <w:sz w:val="11"/>
                <w:szCs w:val="11"/>
                <w:color w:val="auto"/>
              </w:rPr>
              <w:t>3-month EURIBOR</w:t>
            </w:r>
            <w:r>
              <w:rPr>
                <w:rFonts w:ascii="Times New Roman" w:cs="Times New Roman" w:eastAsia="Times New Roman" w:hAnsi="Times New Roman"/>
                <w:sz w:val="15"/>
                <w:szCs w:val="15"/>
                <w:color w:val="auto"/>
                <w:vertAlign w:val="superscript"/>
              </w:rPr>
              <w:t>5</w:t>
            </w:r>
            <w:r>
              <w:rPr>
                <w:rFonts w:ascii="Times New Roman" w:cs="Times New Roman" w:eastAsia="Times New Roman" w:hAnsi="Times New Roman"/>
                <w:sz w:val="11"/>
                <w:szCs w:val="11"/>
                <w:color w:val="auto"/>
              </w:rPr>
              <w:t xml:space="preserve"> plus 2.1% and an arrangement fee of 0.15%</w:t>
            </w:r>
          </w:p>
        </w:tc>
        <w:tc>
          <w:tcPr>
            <w:tcW w:w="80" w:type="dxa"/>
            <w:vAlign w:val="bottom"/>
            <w:tcBorders>
              <w:top w:val="single" w:sz="8" w:color="CCEEFF"/>
            </w:tcBorders>
            <w:shd w:val="clear" w:color="auto" w:fill="CCEEFF"/>
          </w:tcPr>
          <w:p>
            <w:pPr>
              <w:spacing w:after="0"/>
              <w:rPr>
                <w:sz w:val="11"/>
                <w:szCs w:val="11"/>
                <w:color w:val="auto"/>
              </w:rPr>
            </w:pPr>
          </w:p>
        </w:tc>
        <w:tc>
          <w:tcPr>
            <w:tcW w:w="840" w:type="dxa"/>
            <w:vAlign w:val="bottom"/>
            <w:tcBorders>
              <w:top w:val="single" w:sz="8" w:color="auto"/>
            </w:tcBorders>
            <w:shd w:val="clear" w:color="auto" w:fill="CCEEFF"/>
          </w:tcPr>
          <w:p>
            <w:pPr>
              <w:jc w:val="right"/>
              <w:spacing w:after="0" w:line="131" w:lineRule="exact"/>
              <w:rPr>
                <w:sz w:val="20"/>
                <w:szCs w:val="20"/>
                <w:color w:val="auto"/>
              </w:rPr>
            </w:pPr>
            <w:r>
              <w:rPr>
                <w:rFonts w:ascii="Times New Roman" w:cs="Times New Roman" w:eastAsia="Times New Roman" w:hAnsi="Times New Roman"/>
                <w:sz w:val="13"/>
                <w:szCs w:val="13"/>
                <w:color w:val="auto"/>
              </w:rPr>
              <w:t>344,894</w:t>
            </w:r>
          </w:p>
        </w:tc>
        <w:tc>
          <w:tcPr>
            <w:tcW w:w="100" w:type="dxa"/>
            <w:vAlign w:val="bottom"/>
            <w:tcBorders>
              <w:top w:val="single" w:sz="8" w:color="CCEEFF"/>
            </w:tcBorders>
            <w:shd w:val="clear" w:color="auto" w:fill="CCEEFF"/>
          </w:tcPr>
          <w:p>
            <w:pPr>
              <w:spacing w:after="0"/>
              <w:rPr>
                <w:sz w:val="11"/>
                <w:szCs w:val="11"/>
                <w:color w:val="auto"/>
              </w:rPr>
            </w:pPr>
          </w:p>
        </w:tc>
        <w:tc>
          <w:tcPr>
            <w:tcW w:w="540" w:type="dxa"/>
            <w:vAlign w:val="bottom"/>
            <w:tcBorders>
              <w:top w:val="single" w:sz="8" w:color="auto"/>
            </w:tcBorders>
            <w:shd w:val="clear" w:color="auto" w:fill="CCEEFF"/>
          </w:tcPr>
          <w:p>
            <w:pPr>
              <w:jc w:val="right"/>
              <w:spacing w:after="0" w:line="131" w:lineRule="exact"/>
              <w:rPr>
                <w:sz w:val="20"/>
                <w:szCs w:val="20"/>
                <w:color w:val="auto"/>
              </w:rPr>
            </w:pPr>
            <w:r>
              <w:rPr>
                <w:rFonts w:ascii="Times New Roman" w:cs="Times New Roman" w:eastAsia="Times New Roman" w:hAnsi="Times New Roman"/>
                <w:sz w:val="13"/>
                <w:szCs w:val="13"/>
                <w:color w:val="auto"/>
              </w:rPr>
              <w:t>337,065</w:t>
            </w:r>
          </w:p>
        </w:tc>
        <w:tc>
          <w:tcPr>
            <w:tcW w:w="20" w:type="dxa"/>
            <w:vAlign w:val="bottom"/>
            <w:tcBorders>
              <w:top w:val="single" w:sz="8" w:color="CCEEFF"/>
            </w:tcBorders>
            <w:shd w:val="clear" w:color="auto" w:fill="CCEEFF"/>
          </w:tcPr>
          <w:p>
            <w:pPr>
              <w:spacing w:after="0"/>
              <w:rPr>
                <w:sz w:val="11"/>
                <w:szCs w:val="11"/>
                <w:color w:val="auto"/>
              </w:rPr>
            </w:pPr>
          </w:p>
        </w:tc>
        <w:tc>
          <w:tcPr>
            <w:tcW w:w="20" w:type="dxa"/>
            <w:vAlign w:val="bottom"/>
            <w:tcBorders>
              <w:top w:val="single" w:sz="8" w:color="CCEEFF"/>
            </w:tcBorders>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2"/>
        </w:trPr>
        <w:tc>
          <w:tcPr>
            <w:tcW w:w="420" w:type="dxa"/>
            <w:vAlign w:val="bottom"/>
          </w:tcPr>
          <w:p>
            <w:pPr>
              <w:spacing w:after="0"/>
              <w:rPr>
                <w:sz w:val="20"/>
                <w:szCs w:val="20"/>
                <w:color w:val="auto"/>
              </w:rPr>
            </w:pPr>
            <w:r>
              <w:rPr>
                <w:rFonts w:ascii="Times New Roman" w:cs="Times New Roman" w:eastAsia="Times New Roman" w:hAnsi="Times New Roman"/>
                <w:sz w:val="13"/>
                <w:szCs w:val="13"/>
                <w:color w:val="auto"/>
              </w:rPr>
              <w:t>CNY</w:t>
            </w:r>
          </w:p>
        </w:tc>
        <w:tc>
          <w:tcPr>
            <w:tcW w:w="60" w:type="dxa"/>
            <w:vAlign w:val="bottom"/>
          </w:tcPr>
          <w:p>
            <w:pPr>
              <w:spacing w:after="0"/>
              <w:rPr>
                <w:sz w:val="13"/>
                <w:szCs w:val="13"/>
                <w:color w:val="auto"/>
              </w:rPr>
            </w:pPr>
          </w:p>
        </w:tc>
        <w:tc>
          <w:tcPr>
            <w:tcW w:w="1900" w:type="dxa"/>
            <w:vAlign w:val="bottom"/>
            <w:gridSpan w:val="2"/>
          </w:tcPr>
          <w:p>
            <w:pPr>
              <w:ind w:left="40"/>
              <w:spacing w:after="0"/>
              <w:rPr>
                <w:sz w:val="20"/>
                <w:szCs w:val="20"/>
                <w:color w:val="auto"/>
              </w:rPr>
            </w:pPr>
            <w:r>
              <w:rPr>
                <w:rFonts w:ascii="Times New Roman" w:cs="Times New Roman" w:eastAsia="Times New Roman" w:hAnsi="Times New Roman"/>
                <w:sz w:val="13"/>
                <w:szCs w:val="13"/>
                <w:color w:val="auto"/>
              </w:rPr>
              <w:t>June 2022 - June 2023</w:t>
            </w:r>
          </w:p>
        </w:tc>
        <w:tc>
          <w:tcPr>
            <w:tcW w:w="660" w:type="dxa"/>
            <w:vAlign w:val="bottom"/>
            <w:gridSpan w:val="2"/>
          </w:tcPr>
          <w:p>
            <w:pPr>
              <w:ind w:left="40"/>
              <w:spacing w:after="0"/>
              <w:rPr>
                <w:sz w:val="20"/>
                <w:szCs w:val="20"/>
                <w:color w:val="auto"/>
              </w:rPr>
            </w:pPr>
            <w:r>
              <w:rPr>
                <w:rFonts w:ascii="Times New Roman" w:cs="Times New Roman" w:eastAsia="Times New Roman" w:hAnsi="Times New Roman"/>
                <w:sz w:val="13"/>
                <w:szCs w:val="13"/>
                <w:color w:val="auto"/>
              </w:rPr>
              <w:t>Unsecured</w:t>
            </w:r>
          </w:p>
        </w:tc>
        <w:tc>
          <w:tcPr>
            <w:tcW w:w="3380" w:type="dxa"/>
            <w:vAlign w:val="bottom"/>
            <w:gridSpan w:val="2"/>
          </w:tcPr>
          <w:p>
            <w:pPr>
              <w:spacing w:after="0" w:line="152" w:lineRule="exact"/>
              <w:rPr>
                <w:sz w:val="20"/>
                <w:szCs w:val="20"/>
                <w:color w:val="auto"/>
              </w:rPr>
            </w:pPr>
            <w:r>
              <w:rPr>
                <w:rFonts w:ascii="Times New Roman" w:cs="Times New Roman" w:eastAsia="Times New Roman" w:hAnsi="Times New Roman"/>
                <w:sz w:val="12"/>
                <w:szCs w:val="12"/>
                <w:color w:val="auto"/>
              </w:rPr>
              <w:t>12-month LPR</w:t>
            </w:r>
            <w:r>
              <w:rPr>
                <w:rFonts w:ascii="Times New Roman" w:cs="Times New Roman" w:eastAsia="Times New Roman" w:hAnsi="Times New Roman"/>
                <w:sz w:val="17"/>
                <w:szCs w:val="17"/>
                <w:color w:val="auto"/>
                <w:vertAlign w:val="superscript"/>
              </w:rPr>
              <w:t>1</w:t>
            </w:r>
            <w:r>
              <w:rPr>
                <w:rFonts w:ascii="Times New Roman" w:cs="Times New Roman" w:eastAsia="Times New Roman" w:hAnsi="Times New Roman"/>
                <w:sz w:val="12"/>
                <w:szCs w:val="12"/>
                <w:color w:val="auto"/>
              </w:rPr>
              <w:t xml:space="preserve"> plus 1.25%, settled monthly</w:t>
            </w:r>
          </w:p>
        </w:tc>
        <w:tc>
          <w:tcPr>
            <w:tcW w:w="94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500,000</w:t>
            </w:r>
          </w:p>
        </w:tc>
        <w:tc>
          <w:tcPr>
            <w:tcW w:w="56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70,290</w:t>
            </w: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CNY</w:t>
            </w:r>
          </w:p>
        </w:tc>
        <w:tc>
          <w:tcPr>
            <w:tcW w:w="60" w:type="dxa"/>
            <w:vAlign w:val="bottom"/>
            <w:shd w:val="clear" w:color="auto" w:fill="CCEEFF"/>
          </w:tcPr>
          <w:p>
            <w:pPr>
              <w:spacing w:after="0"/>
              <w:rPr>
                <w:sz w:val="13"/>
                <w:szCs w:val="13"/>
                <w:color w:val="auto"/>
              </w:rPr>
            </w:pPr>
          </w:p>
        </w:tc>
        <w:tc>
          <w:tcPr>
            <w:tcW w:w="19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3"/>
                <w:szCs w:val="13"/>
                <w:color w:val="auto"/>
              </w:rPr>
              <w:t>August 2022 - August 2023</w:t>
            </w:r>
          </w:p>
        </w:tc>
        <w:tc>
          <w:tcPr>
            <w:tcW w:w="66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3"/>
                <w:szCs w:val="13"/>
                <w:color w:val="auto"/>
              </w:rPr>
              <w:t>Unsecured</w:t>
            </w:r>
          </w:p>
        </w:tc>
        <w:tc>
          <w:tcPr>
            <w:tcW w:w="33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3"/>
                <w:szCs w:val="13"/>
                <w:color w:val="auto"/>
              </w:rPr>
              <w:t>12-month LPR plus 0.05%, settled quarterly</w:t>
            </w:r>
          </w:p>
        </w:tc>
        <w:tc>
          <w:tcPr>
            <w:tcW w:w="9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716,000</w:t>
            </w:r>
          </w:p>
        </w:tc>
        <w:tc>
          <w:tcPr>
            <w:tcW w:w="56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100,656</w:t>
            </w:r>
          </w:p>
        </w:tc>
        <w:tc>
          <w:tcPr>
            <w:tcW w:w="2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20" w:type="dxa"/>
            <w:vAlign w:val="bottom"/>
          </w:tcPr>
          <w:p>
            <w:pPr>
              <w:spacing w:after="0"/>
              <w:rPr>
                <w:sz w:val="20"/>
                <w:szCs w:val="20"/>
                <w:color w:val="auto"/>
              </w:rPr>
            </w:pPr>
            <w:r>
              <w:rPr>
                <w:rFonts w:ascii="Times New Roman" w:cs="Times New Roman" w:eastAsia="Times New Roman" w:hAnsi="Times New Roman"/>
                <w:sz w:val="13"/>
                <w:szCs w:val="13"/>
                <w:color w:val="auto"/>
              </w:rPr>
              <w:t>USD</w:t>
            </w:r>
          </w:p>
        </w:tc>
        <w:tc>
          <w:tcPr>
            <w:tcW w:w="60" w:type="dxa"/>
            <w:vAlign w:val="bottom"/>
          </w:tcPr>
          <w:p>
            <w:pPr>
              <w:spacing w:after="0"/>
              <w:rPr>
                <w:sz w:val="13"/>
                <w:szCs w:val="13"/>
                <w:color w:val="auto"/>
              </w:rPr>
            </w:pPr>
          </w:p>
        </w:tc>
        <w:tc>
          <w:tcPr>
            <w:tcW w:w="1900" w:type="dxa"/>
            <w:vAlign w:val="bottom"/>
            <w:gridSpan w:val="2"/>
          </w:tcPr>
          <w:p>
            <w:pPr>
              <w:ind w:left="40"/>
              <w:spacing w:after="0"/>
              <w:rPr>
                <w:sz w:val="20"/>
                <w:szCs w:val="20"/>
                <w:color w:val="auto"/>
              </w:rPr>
            </w:pPr>
            <w:r>
              <w:rPr>
                <w:rFonts w:ascii="Times New Roman" w:cs="Times New Roman" w:eastAsia="Times New Roman" w:hAnsi="Times New Roman"/>
                <w:sz w:val="13"/>
                <w:szCs w:val="13"/>
                <w:color w:val="auto"/>
              </w:rPr>
              <w:t>August 2022 - August 2023</w:t>
            </w:r>
          </w:p>
        </w:tc>
        <w:tc>
          <w:tcPr>
            <w:tcW w:w="660" w:type="dxa"/>
            <w:vAlign w:val="bottom"/>
            <w:gridSpan w:val="2"/>
          </w:tcPr>
          <w:p>
            <w:pPr>
              <w:ind w:left="40"/>
              <w:spacing w:after="0"/>
              <w:rPr>
                <w:sz w:val="20"/>
                <w:szCs w:val="20"/>
                <w:color w:val="auto"/>
              </w:rPr>
            </w:pPr>
            <w:r>
              <w:rPr>
                <w:rFonts w:ascii="Times New Roman" w:cs="Times New Roman" w:eastAsia="Times New Roman" w:hAnsi="Times New Roman"/>
                <w:sz w:val="13"/>
                <w:szCs w:val="13"/>
                <w:color w:val="auto"/>
              </w:rPr>
              <w:t>Unsecured</w:t>
            </w:r>
          </w:p>
        </w:tc>
        <w:tc>
          <w:tcPr>
            <w:tcW w:w="3380" w:type="dxa"/>
            <w:vAlign w:val="bottom"/>
            <w:gridSpan w:val="2"/>
          </w:tcPr>
          <w:p>
            <w:pPr>
              <w:spacing w:after="0"/>
              <w:rPr>
                <w:sz w:val="20"/>
                <w:szCs w:val="20"/>
                <w:color w:val="auto"/>
              </w:rPr>
            </w:pPr>
            <w:r>
              <w:rPr>
                <w:rFonts w:ascii="Times New Roman" w:cs="Times New Roman" w:eastAsia="Times New Roman" w:hAnsi="Times New Roman"/>
                <w:sz w:val="13"/>
                <w:szCs w:val="13"/>
                <w:color w:val="auto"/>
              </w:rPr>
              <w:t>3-month LPR plus 2.3%, settled quarterly</w:t>
            </w:r>
          </w:p>
        </w:tc>
        <w:tc>
          <w:tcPr>
            <w:tcW w:w="94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147,000</w:t>
            </w:r>
          </w:p>
        </w:tc>
        <w:tc>
          <w:tcPr>
            <w:tcW w:w="56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147,000</w:t>
            </w: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USD</w:t>
            </w:r>
          </w:p>
        </w:tc>
        <w:tc>
          <w:tcPr>
            <w:tcW w:w="60" w:type="dxa"/>
            <w:vAlign w:val="bottom"/>
            <w:shd w:val="clear" w:color="auto" w:fill="CCEEFF"/>
          </w:tcPr>
          <w:p>
            <w:pPr>
              <w:spacing w:after="0"/>
              <w:rPr>
                <w:sz w:val="13"/>
                <w:szCs w:val="13"/>
                <w:color w:val="auto"/>
              </w:rPr>
            </w:pPr>
          </w:p>
        </w:tc>
        <w:tc>
          <w:tcPr>
            <w:tcW w:w="19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3"/>
                <w:szCs w:val="13"/>
                <w:color w:val="auto"/>
              </w:rPr>
              <w:t>September 2022 - September 2023</w:t>
            </w:r>
          </w:p>
        </w:tc>
        <w:tc>
          <w:tcPr>
            <w:tcW w:w="66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3"/>
                <w:szCs w:val="13"/>
                <w:color w:val="auto"/>
              </w:rPr>
              <w:t>Unsecured</w:t>
            </w:r>
          </w:p>
        </w:tc>
        <w:tc>
          <w:tcPr>
            <w:tcW w:w="33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3"/>
                <w:szCs w:val="13"/>
                <w:color w:val="auto"/>
              </w:rPr>
              <w:t>3-month LPR plus 2.3%, settled quarterly</w:t>
            </w:r>
          </w:p>
        </w:tc>
        <w:tc>
          <w:tcPr>
            <w:tcW w:w="9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255,000</w:t>
            </w:r>
          </w:p>
        </w:tc>
        <w:tc>
          <w:tcPr>
            <w:tcW w:w="56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255,000</w:t>
            </w:r>
          </w:p>
        </w:tc>
        <w:tc>
          <w:tcPr>
            <w:tcW w:w="2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20" w:type="dxa"/>
            <w:vAlign w:val="bottom"/>
          </w:tcPr>
          <w:p>
            <w:pPr>
              <w:spacing w:after="0"/>
              <w:rPr>
                <w:sz w:val="20"/>
                <w:szCs w:val="20"/>
                <w:color w:val="auto"/>
              </w:rPr>
            </w:pPr>
            <w:r>
              <w:rPr>
                <w:rFonts w:ascii="Times New Roman" w:cs="Times New Roman" w:eastAsia="Times New Roman" w:hAnsi="Times New Roman"/>
                <w:sz w:val="13"/>
                <w:szCs w:val="13"/>
                <w:color w:val="auto"/>
              </w:rPr>
              <w:t>USD</w:t>
            </w:r>
          </w:p>
        </w:tc>
        <w:tc>
          <w:tcPr>
            <w:tcW w:w="60" w:type="dxa"/>
            <w:vAlign w:val="bottom"/>
          </w:tcPr>
          <w:p>
            <w:pPr>
              <w:spacing w:after="0"/>
              <w:rPr>
                <w:sz w:val="13"/>
                <w:szCs w:val="13"/>
                <w:color w:val="auto"/>
              </w:rPr>
            </w:pPr>
          </w:p>
        </w:tc>
        <w:tc>
          <w:tcPr>
            <w:tcW w:w="1900" w:type="dxa"/>
            <w:vAlign w:val="bottom"/>
            <w:gridSpan w:val="2"/>
          </w:tcPr>
          <w:p>
            <w:pPr>
              <w:ind w:left="40"/>
              <w:spacing w:after="0"/>
              <w:rPr>
                <w:sz w:val="20"/>
                <w:szCs w:val="20"/>
                <w:color w:val="auto"/>
              </w:rPr>
            </w:pPr>
            <w:r>
              <w:rPr>
                <w:rFonts w:ascii="Times New Roman" w:cs="Times New Roman" w:eastAsia="Times New Roman" w:hAnsi="Times New Roman"/>
                <w:sz w:val="13"/>
                <w:szCs w:val="13"/>
                <w:color w:val="auto"/>
              </w:rPr>
              <w:t>September 2022 - September 2023</w:t>
            </w:r>
          </w:p>
        </w:tc>
        <w:tc>
          <w:tcPr>
            <w:tcW w:w="660" w:type="dxa"/>
            <w:vAlign w:val="bottom"/>
            <w:gridSpan w:val="2"/>
          </w:tcPr>
          <w:p>
            <w:pPr>
              <w:ind w:left="40"/>
              <w:spacing w:after="0" w:line="152" w:lineRule="exact"/>
              <w:rPr>
                <w:sz w:val="20"/>
                <w:szCs w:val="20"/>
                <w:color w:val="auto"/>
              </w:rPr>
            </w:pPr>
            <w:r>
              <w:rPr>
                <w:rFonts w:ascii="Times New Roman" w:cs="Times New Roman" w:eastAsia="Times New Roman" w:hAnsi="Times New Roman"/>
                <w:sz w:val="12"/>
                <w:szCs w:val="12"/>
                <w:color w:val="auto"/>
              </w:rPr>
              <w:t>Secured</w:t>
            </w:r>
            <w:r>
              <w:rPr>
                <w:rFonts w:ascii="Times New Roman" w:cs="Times New Roman" w:eastAsia="Times New Roman" w:hAnsi="Times New Roman"/>
                <w:sz w:val="17"/>
                <w:szCs w:val="17"/>
                <w:color w:val="auto"/>
                <w:vertAlign w:val="superscript"/>
              </w:rPr>
              <w:t>2</w:t>
            </w:r>
          </w:p>
        </w:tc>
        <w:tc>
          <w:tcPr>
            <w:tcW w:w="3380" w:type="dxa"/>
            <w:vAlign w:val="bottom"/>
            <w:gridSpan w:val="2"/>
          </w:tcPr>
          <w:p>
            <w:pPr>
              <w:spacing w:after="0"/>
              <w:rPr>
                <w:sz w:val="20"/>
                <w:szCs w:val="20"/>
                <w:color w:val="auto"/>
              </w:rPr>
            </w:pPr>
            <w:r>
              <w:rPr>
                <w:rFonts w:ascii="Times New Roman" w:cs="Times New Roman" w:eastAsia="Times New Roman" w:hAnsi="Times New Roman"/>
                <w:sz w:val="13"/>
                <w:szCs w:val="13"/>
                <w:color w:val="auto"/>
              </w:rPr>
              <w:t>4.48% per annum</w:t>
            </w:r>
          </w:p>
        </w:tc>
        <w:tc>
          <w:tcPr>
            <w:tcW w:w="940" w:type="dxa"/>
            <w:vAlign w:val="bottom"/>
            <w:gridSpan w:val="2"/>
          </w:tcPr>
          <w:p>
            <w:pPr>
              <w:jc w:val="right"/>
              <w:ind w:right="100"/>
              <w:spacing w:after="0"/>
              <w:rPr>
                <w:sz w:val="20"/>
                <w:szCs w:val="20"/>
                <w:color w:val="auto"/>
              </w:rPr>
            </w:pPr>
            <w:r>
              <w:rPr>
                <w:rFonts w:ascii="Times New Roman" w:cs="Times New Roman" w:eastAsia="Times New Roman" w:hAnsi="Times New Roman"/>
                <w:sz w:val="13"/>
                <w:szCs w:val="13"/>
                <w:color w:val="auto"/>
              </w:rPr>
              <w:t>133,000</w:t>
            </w:r>
          </w:p>
        </w:tc>
        <w:tc>
          <w:tcPr>
            <w:tcW w:w="56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133,000</w:t>
            </w: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USD</w:t>
            </w:r>
          </w:p>
        </w:tc>
        <w:tc>
          <w:tcPr>
            <w:tcW w:w="60" w:type="dxa"/>
            <w:vAlign w:val="bottom"/>
            <w:shd w:val="clear" w:color="auto" w:fill="CCEEFF"/>
          </w:tcPr>
          <w:p>
            <w:pPr>
              <w:spacing w:after="0"/>
              <w:rPr>
                <w:sz w:val="13"/>
                <w:szCs w:val="13"/>
                <w:color w:val="auto"/>
              </w:rPr>
            </w:pPr>
          </w:p>
        </w:tc>
        <w:tc>
          <w:tcPr>
            <w:tcW w:w="19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3"/>
                <w:szCs w:val="13"/>
                <w:color w:val="auto"/>
              </w:rPr>
              <w:t>September 2022 - September 2023</w:t>
            </w:r>
          </w:p>
        </w:tc>
        <w:tc>
          <w:tcPr>
            <w:tcW w:w="66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3"/>
                <w:szCs w:val="13"/>
                <w:color w:val="auto"/>
              </w:rPr>
              <w:t>Unsecured</w:t>
            </w:r>
          </w:p>
        </w:tc>
        <w:tc>
          <w:tcPr>
            <w:tcW w:w="3380" w:type="dxa"/>
            <w:vAlign w:val="bottom"/>
            <w:gridSpan w:val="2"/>
            <w:shd w:val="clear" w:color="auto" w:fill="CCEEFF"/>
          </w:tcPr>
          <w:p>
            <w:pPr>
              <w:spacing w:after="0" w:line="152" w:lineRule="exact"/>
              <w:rPr>
                <w:sz w:val="20"/>
                <w:szCs w:val="20"/>
                <w:color w:val="auto"/>
              </w:rPr>
            </w:pPr>
            <w:r>
              <w:rPr>
                <w:rFonts w:ascii="Times New Roman" w:cs="Times New Roman" w:eastAsia="Times New Roman" w:hAnsi="Times New Roman"/>
                <w:sz w:val="12"/>
                <w:szCs w:val="12"/>
                <w:color w:val="auto"/>
              </w:rPr>
              <w:t>3-month SOFR</w:t>
            </w:r>
            <w:r>
              <w:rPr>
                <w:rFonts w:ascii="Times New Roman" w:cs="Times New Roman" w:eastAsia="Times New Roman" w:hAnsi="Times New Roman"/>
                <w:sz w:val="17"/>
                <w:szCs w:val="17"/>
                <w:color w:val="auto"/>
                <w:vertAlign w:val="superscript"/>
              </w:rPr>
              <w:t>3</w:t>
            </w:r>
            <w:r>
              <w:rPr>
                <w:rFonts w:ascii="Times New Roman" w:cs="Times New Roman" w:eastAsia="Times New Roman" w:hAnsi="Times New Roman"/>
                <w:sz w:val="12"/>
                <w:szCs w:val="12"/>
                <w:color w:val="auto"/>
              </w:rPr>
              <w:t xml:space="preserve"> plus 2.4%, settled quarterly</w:t>
            </w:r>
          </w:p>
        </w:tc>
        <w:tc>
          <w:tcPr>
            <w:tcW w:w="9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100,000</w:t>
            </w:r>
          </w:p>
        </w:tc>
        <w:tc>
          <w:tcPr>
            <w:tcW w:w="56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100,000</w:t>
            </w:r>
          </w:p>
        </w:tc>
        <w:tc>
          <w:tcPr>
            <w:tcW w:w="2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2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Total</w:t>
            </w:r>
          </w:p>
        </w:tc>
        <w:tc>
          <w:tcPr>
            <w:tcW w:w="60" w:type="dxa"/>
            <w:vAlign w:val="bottom"/>
          </w:tcPr>
          <w:p>
            <w:pPr>
              <w:spacing w:after="0"/>
              <w:rPr>
                <w:sz w:val="13"/>
                <w:szCs w:val="13"/>
                <w:color w:val="auto"/>
              </w:rPr>
            </w:pPr>
          </w:p>
        </w:tc>
        <w:tc>
          <w:tcPr>
            <w:tcW w:w="18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3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60" w:type="dxa"/>
            <w:vAlign w:val="bottom"/>
            <w:tcBorders>
              <w:bottom w:val="single" w:sz="8" w:color="auto"/>
            </w:tcBorders>
            <w:gridSpan w:val="2"/>
          </w:tcPr>
          <w:p>
            <w:pPr>
              <w:jc w:val="right"/>
              <w:ind w:right="20"/>
              <w:spacing w:after="0"/>
              <w:rPr>
                <w:sz w:val="20"/>
                <w:szCs w:val="20"/>
                <w:color w:val="auto"/>
              </w:rPr>
            </w:pPr>
            <w:r>
              <w:rPr>
                <w:rFonts w:ascii="Times New Roman" w:cs="Times New Roman" w:eastAsia="Times New Roman" w:hAnsi="Times New Roman"/>
                <w:sz w:val="13"/>
                <w:szCs w:val="13"/>
                <w:b w:val="1"/>
                <w:bCs w:val="1"/>
                <w:color w:val="auto"/>
                <w:w w:val="99"/>
              </w:rPr>
              <w:t>1,143,011</w:t>
            </w: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167"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1  - People’s Bank of China (“PBOC”) Loan Prime Rate (“LPR”).</w:t>
      </w:r>
    </w:p>
    <w:p>
      <w:pPr>
        <w:spacing w:after="0" w:line="15" w:lineRule="exact"/>
        <w:rPr>
          <w:sz w:val="20"/>
          <w:szCs w:val="20"/>
          <w:color w:val="auto"/>
        </w:rPr>
      </w:pPr>
    </w:p>
    <w:p>
      <w:pPr>
        <w:ind w:left="780" w:hanging="143"/>
        <w:spacing w:after="0"/>
        <w:tabs>
          <w:tab w:leader="none" w:pos="780" w:val="left"/>
        </w:tabs>
        <w:numPr>
          <w:ilvl w:val="0"/>
          <w:numId w:val="15"/>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 Secured by a related party, including a subsidiary guarantee from Polestar Shanghai as well as letters of keep well from the two major shareholders.</w:t>
      </w:r>
    </w:p>
    <w:p>
      <w:pPr>
        <w:spacing w:after="0" w:line="2" w:lineRule="exact"/>
        <w:rPr>
          <w:rFonts w:ascii="Times New Roman" w:cs="Times New Roman" w:eastAsia="Times New Roman" w:hAnsi="Times New Roman"/>
          <w:sz w:val="13"/>
          <w:szCs w:val="13"/>
          <w:color w:val="auto"/>
        </w:rPr>
      </w:pPr>
    </w:p>
    <w:p>
      <w:pPr>
        <w:ind w:left="640"/>
        <w:spacing w:after="0"/>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3  - Secured Overnight Financing Rate (“SOFR”).</w:t>
      </w:r>
    </w:p>
    <w:p>
      <w:pPr>
        <w:spacing w:after="0" w:line="2" w:lineRule="exact"/>
        <w:rPr>
          <w:rFonts w:ascii="Times New Roman" w:cs="Times New Roman" w:eastAsia="Times New Roman" w:hAnsi="Times New Roman"/>
          <w:sz w:val="13"/>
          <w:szCs w:val="13"/>
          <w:color w:val="auto"/>
        </w:rPr>
      </w:pPr>
    </w:p>
    <w:p>
      <w:pPr>
        <w:ind w:left="780" w:right="759" w:hanging="152"/>
        <w:spacing w:after="0" w:line="246" w:lineRule="auto"/>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4 - New vehicle inventory purchased via this facility is pledged as security until repaid. This facility has a repayment period of 90 days and includes a covenant tied to the Group’s financial performance.</w:t>
      </w:r>
    </w:p>
    <w:p>
      <w:pPr>
        <w:spacing w:after="0" w:line="8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25</w:t>
      </w:r>
    </w:p>
    <w:p>
      <w:pPr>
        <w:sectPr>
          <w:pgSz w:w="11900" w:h="16838" w:orient="portrait"/>
          <w:cols w:equalWidth="0" w:num="1">
            <w:col w:w="9019"/>
          </w:cols>
          <w:pgMar w:left="1440" w:top="231" w:right="1440" w:bottom="1440" w:gutter="0" w:footer="0" w:header="0"/>
        </w:sectPr>
      </w:pPr>
    </w:p>
    <w:bookmarkStart w:id="82" w:name="page83"/>
    <w:bookmarkEnd w:id="82"/>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3"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5 - Euro Interbank Offered Rate (“EURIBOR”).</w:t>
      </w:r>
    </w:p>
    <w:p>
      <w:pPr>
        <w:spacing w:after="0" w:line="22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Floorplan and related party facilities</w:t>
      </w:r>
    </w:p>
    <w:p>
      <w:pPr>
        <w:spacing w:after="0" w:line="80" w:lineRule="exact"/>
        <w:rPr>
          <w:sz w:val="20"/>
          <w:szCs w:val="20"/>
          <w:color w:val="auto"/>
        </w:rPr>
      </w:pPr>
    </w:p>
    <w:p>
      <w:pPr>
        <w:ind w:left="640" w:right="679"/>
        <w:spacing w:after="0" w:line="246" w:lineRule="auto"/>
        <w:rPr>
          <w:sz w:val="20"/>
          <w:szCs w:val="20"/>
          <w:color w:val="auto"/>
        </w:rPr>
      </w:pPr>
      <w:r>
        <w:rPr>
          <w:rFonts w:ascii="Times New Roman" w:cs="Times New Roman" w:eastAsia="Times New Roman" w:hAnsi="Times New Roman"/>
          <w:sz w:val="13"/>
          <w:szCs w:val="13"/>
          <w:color w:val="auto"/>
        </w:rPr>
        <w:t>In the ordinary course of business, Polestar, on a market-by-market basis, enters into multiple low-value credit facilities with various financial service providers to fund operations related to vehicle sales. These facilities provide access to credit with the option to renew as mutually determined by Polestar Group and the financial service provider. The facilities are partially secured by the underlying assets on a market-by-market basis. As of September 30, 2022 and December 31, 2021, the aggregate amount outstanding under these arrangements to external credit institutions was $18,759 and $18,664, respectively. The aggregated amount outstanding as of September 30, 2022 and December 31, 2021 to related parties amounted to $8,986 and $13,789, respectively. The Group maintains a working capital loan with the related party Volvo Cars that is presented separately in Interest-bearing current liabilities - related parties within the Unaudited Condensed Consolidated Statement of Financial Position. Refer to Note 8 - Related party transactions for further details.</w:t>
      </w:r>
    </w:p>
    <w:p>
      <w:pPr>
        <w:spacing w:after="0" w:line="213"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Sale-leaseback facilities</w:t>
      </w:r>
    </w:p>
    <w:p>
      <w:pPr>
        <w:spacing w:after="0" w:line="80" w:lineRule="exact"/>
        <w:rPr>
          <w:sz w:val="20"/>
          <w:szCs w:val="20"/>
          <w:color w:val="auto"/>
        </w:rPr>
      </w:pPr>
    </w:p>
    <w:p>
      <w:pPr>
        <w:ind w:left="640" w:right="699"/>
        <w:spacing w:after="0" w:line="251" w:lineRule="auto"/>
        <w:rPr>
          <w:sz w:val="20"/>
          <w:szCs w:val="20"/>
          <w:color w:val="auto"/>
        </w:rPr>
      </w:pPr>
      <w:r>
        <w:rPr>
          <w:rFonts w:ascii="Times New Roman" w:cs="Times New Roman" w:eastAsia="Times New Roman" w:hAnsi="Times New Roman"/>
          <w:sz w:val="13"/>
          <w:szCs w:val="13"/>
          <w:color w:val="auto"/>
        </w:rPr>
        <w:t>Polestar has also entered into contracts to sell vehicles and then lease such vehicles back for a period of up to twelve months. At the end of the lease-back period, Polestar is obligated to re-purchase the vehicles. Accordingly, the consideration received for these transactions was recorded as a financing transaction. As of September 30, 2022 and December 31, 2021, $14,812 and $14,465 of this financing obligation was outstanding, respectively, and had accrued interest of $376 and $1,679, respectively.</w:t>
      </w:r>
    </w:p>
    <w:p>
      <w:pPr>
        <w:spacing w:after="0" w:line="133" w:lineRule="exact"/>
        <w:rPr>
          <w:sz w:val="20"/>
          <w:szCs w:val="20"/>
          <w:color w:val="auto"/>
        </w:rPr>
      </w:pPr>
    </w:p>
    <w:p>
      <w:pPr>
        <w:ind w:left="640" w:right="699"/>
        <w:spacing w:after="0" w:line="249" w:lineRule="auto"/>
        <w:rPr>
          <w:sz w:val="20"/>
          <w:szCs w:val="20"/>
          <w:color w:val="auto"/>
        </w:rPr>
      </w:pPr>
      <w:r>
        <w:rPr>
          <w:rFonts w:ascii="Times New Roman" w:cs="Times New Roman" w:eastAsia="Times New Roman" w:hAnsi="Times New Roman"/>
          <w:sz w:val="13"/>
          <w:szCs w:val="13"/>
          <w:color w:val="auto"/>
        </w:rPr>
        <w:t>Since the contracts identified above are short-term with a duration of twelve months or less, the carrying amount of the contracts is deemed to be a reasonable approximation of their fair value. The Group’s risk management policies related to debt instruments are further detailed in Note 2 - Financial risk management of the Consolidated Financial Statements, as of, and for the year ended, December 31, 2021 that were included in the Form 20-F filed with the SEC on June 29, 2022. There are no changes in terms of risk management policies for the periods presented in these Unaudited Condensed Consolidated Financial Statements.</w:t>
      </w:r>
    </w:p>
    <w:p>
      <w:pPr>
        <w:spacing w:after="0" w:line="20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Note 8 - Related party transactions</w:t>
      </w:r>
    </w:p>
    <w:p>
      <w:pPr>
        <w:spacing w:after="0" w:line="80" w:lineRule="exact"/>
        <w:rPr>
          <w:sz w:val="20"/>
          <w:szCs w:val="20"/>
          <w:color w:val="auto"/>
        </w:rPr>
      </w:pPr>
    </w:p>
    <w:p>
      <w:pPr>
        <w:ind w:left="640" w:right="859"/>
        <w:spacing w:after="0" w:line="255" w:lineRule="auto"/>
        <w:rPr>
          <w:sz w:val="20"/>
          <w:szCs w:val="20"/>
          <w:color w:val="auto"/>
        </w:rPr>
      </w:pPr>
      <w:r>
        <w:rPr>
          <w:rFonts w:ascii="Times New Roman" w:cs="Times New Roman" w:eastAsia="Times New Roman" w:hAnsi="Times New Roman"/>
          <w:sz w:val="13"/>
          <w:szCs w:val="13"/>
          <w:color w:val="auto"/>
        </w:rPr>
        <w:t>For a detailed description of the Group’s related parties, refer to Note 23 - Related party transactions of the Consolidated Financial Statements, as of, and for the year ended, December 31, 2021 that were included in the Form 20-F filed with the SEC on June 29, 2022. There are no changes to the Group’s related parties for the periods presented in these Unaudited Condensed Consolidated Financial Statements.</w:t>
      </w:r>
    </w:p>
    <w:p>
      <w:pPr>
        <w:spacing w:after="0" w:line="130"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As of September 30, 2022, the Group has related party agreements in the following functions:</w:t>
      </w:r>
    </w:p>
    <w:p>
      <w:pPr>
        <w:spacing w:after="0" w:line="10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26</w:t>
      </w:r>
    </w:p>
    <w:p>
      <w:pPr>
        <w:sectPr>
          <w:pgSz w:w="11900" w:h="16838" w:orient="portrait"/>
          <w:cols w:equalWidth="0" w:num="1">
            <w:col w:w="9019"/>
          </w:cols>
          <w:pgMar w:left="1440" w:top="231" w:right="1440" w:bottom="1440" w:gutter="0" w:footer="0" w:header="0"/>
        </w:sectPr>
      </w:pPr>
    </w:p>
    <w:bookmarkStart w:id="83" w:name="page84"/>
    <w:bookmarkEnd w:id="83"/>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1"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Product development</w:t>
      </w:r>
    </w:p>
    <w:p>
      <w:pPr>
        <w:spacing w:after="0" w:line="80" w:lineRule="exact"/>
        <w:rPr>
          <w:sz w:val="20"/>
          <w:szCs w:val="20"/>
          <w:color w:val="auto"/>
        </w:rPr>
      </w:pPr>
    </w:p>
    <w:p>
      <w:pPr>
        <w:jc w:val="both"/>
        <w:ind w:left="640" w:right="939"/>
        <w:spacing w:after="0" w:line="255" w:lineRule="auto"/>
        <w:rPr>
          <w:sz w:val="20"/>
          <w:szCs w:val="20"/>
          <w:color w:val="auto"/>
        </w:rPr>
      </w:pPr>
      <w:r>
        <w:rPr>
          <w:rFonts w:ascii="Times New Roman" w:cs="Times New Roman" w:eastAsia="Times New Roman" w:hAnsi="Times New Roman"/>
          <w:sz w:val="13"/>
          <w:szCs w:val="13"/>
          <w:color w:val="auto"/>
        </w:rPr>
        <w:t>The agreements in place to support the Group’s product development includes license and intellectual property, patents, R&amp;D services, design, and technology agreements with Volvo Cars and Geely. The Group owns its developed Polestar Unique technology, which was created using purchased R&amp;D, design services, and licenses to critical common technology from Volvo Cars.</w:t>
      </w:r>
    </w:p>
    <w:p>
      <w:pPr>
        <w:spacing w:after="0" w:line="20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Procurement</w:t>
      </w:r>
    </w:p>
    <w:p>
      <w:pPr>
        <w:spacing w:after="0" w:line="80" w:lineRule="exact"/>
        <w:rPr>
          <w:sz w:val="20"/>
          <w:szCs w:val="20"/>
          <w:color w:val="auto"/>
        </w:rPr>
      </w:pPr>
    </w:p>
    <w:p>
      <w:pPr>
        <w:ind w:left="640" w:right="819"/>
        <w:spacing w:after="0" w:line="267" w:lineRule="auto"/>
        <w:rPr>
          <w:sz w:val="20"/>
          <w:szCs w:val="20"/>
          <w:color w:val="auto"/>
        </w:rPr>
      </w:pPr>
      <w:r>
        <w:rPr>
          <w:rFonts w:ascii="Times New Roman" w:cs="Times New Roman" w:eastAsia="Times New Roman" w:hAnsi="Times New Roman"/>
          <w:sz w:val="13"/>
          <w:szCs w:val="13"/>
          <w:color w:val="auto"/>
        </w:rPr>
        <w:t>The Group has entered into Service Agreements with Volvo Cars regarding the procurement of direct (production related) materials, whereas the joint sourcing of direct material for the Group and Volvo Cars has allowed both companies to leverage economies of scale.</w:t>
      </w:r>
    </w:p>
    <w:p>
      <w:pPr>
        <w:spacing w:after="0" w:line="196"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Manufacturing</w:t>
      </w:r>
    </w:p>
    <w:p>
      <w:pPr>
        <w:spacing w:after="0" w:line="80" w:lineRule="exact"/>
        <w:rPr>
          <w:sz w:val="20"/>
          <w:szCs w:val="20"/>
          <w:color w:val="auto"/>
        </w:rPr>
      </w:pPr>
    </w:p>
    <w:p>
      <w:pPr>
        <w:ind w:left="640" w:right="759"/>
        <w:spacing w:after="0" w:line="267" w:lineRule="auto"/>
        <w:rPr>
          <w:sz w:val="20"/>
          <w:szCs w:val="20"/>
          <w:color w:val="auto"/>
        </w:rPr>
      </w:pPr>
      <w:r>
        <w:rPr>
          <w:rFonts w:ascii="Times New Roman" w:cs="Times New Roman" w:eastAsia="Times New Roman" w:hAnsi="Times New Roman"/>
          <w:sz w:val="13"/>
          <w:szCs w:val="13"/>
          <w:color w:val="auto"/>
        </w:rPr>
        <w:t>The Group purchases contract manufacturing services, manufacturing and logistics engineering services, and entered into tool sharing agreements with related parties.</w:t>
      </w:r>
    </w:p>
    <w:p>
      <w:pPr>
        <w:spacing w:after="0" w:line="122" w:lineRule="exact"/>
        <w:rPr>
          <w:sz w:val="20"/>
          <w:szCs w:val="20"/>
          <w:color w:val="auto"/>
        </w:rPr>
      </w:pPr>
    </w:p>
    <w:p>
      <w:pPr>
        <w:jc w:val="both"/>
        <w:ind w:left="640" w:right="799"/>
        <w:spacing w:after="0" w:line="251" w:lineRule="auto"/>
        <w:rPr>
          <w:sz w:val="20"/>
          <w:szCs w:val="20"/>
          <w:color w:val="auto"/>
        </w:rPr>
      </w:pPr>
      <w:r>
        <w:rPr>
          <w:rFonts w:ascii="Times New Roman" w:cs="Times New Roman" w:eastAsia="Times New Roman" w:hAnsi="Times New Roman"/>
          <w:sz w:val="13"/>
          <w:szCs w:val="13"/>
          <w:color w:val="auto"/>
        </w:rPr>
        <w:t>In December 2021, Polestar Group entered into agreements with Geely to acquire technology and related services leveraged in the development of the PS4. Under these agreements, Geely will perform development services in pursuit of achieving project milestones through 2025 for which the Group will make certain milestone payments to Geely. The agreements also obligate Polestar to make certain royalty payments per vehicle sold once the PS4 reaches commercialization.</w:t>
      </w:r>
    </w:p>
    <w:p>
      <w:pPr>
        <w:spacing w:after="0" w:line="133" w:lineRule="exact"/>
        <w:rPr>
          <w:sz w:val="20"/>
          <w:szCs w:val="20"/>
          <w:color w:val="auto"/>
        </w:rPr>
      </w:pPr>
    </w:p>
    <w:p>
      <w:pPr>
        <w:ind w:left="640" w:right="879"/>
        <w:spacing w:after="0" w:line="255" w:lineRule="auto"/>
        <w:rPr>
          <w:sz w:val="20"/>
          <w:szCs w:val="20"/>
          <w:color w:val="auto"/>
        </w:rPr>
      </w:pPr>
      <w:r>
        <w:rPr>
          <w:rFonts w:ascii="Times New Roman" w:cs="Times New Roman" w:eastAsia="Times New Roman" w:hAnsi="Times New Roman"/>
          <w:sz w:val="13"/>
          <w:szCs w:val="13"/>
          <w:color w:val="auto"/>
        </w:rPr>
        <w:t>Polestar also entered into a unique vendor tooling agreement and a unique in-house tooling and equipment agreement for the PS4. These agreements were entered into as part of Polestar’s and Geely’s intent to enter into a more detailed agreement related to manufacturing original equipment manufacturer (“OEM”) services for the PS4 prior to the commencement of production.</w:t>
      </w:r>
    </w:p>
    <w:p>
      <w:pPr>
        <w:spacing w:after="0" w:line="130" w:lineRule="exact"/>
        <w:rPr>
          <w:sz w:val="20"/>
          <w:szCs w:val="20"/>
          <w:color w:val="auto"/>
        </w:rPr>
      </w:pPr>
    </w:p>
    <w:p>
      <w:pPr>
        <w:ind w:left="640" w:right="939"/>
        <w:spacing w:after="0" w:line="267" w:lineRule="auto"/>
        <w:rPr>
          <w:sz w:val="20"/>
          <w:szCs w:val="20"/>
          <w:color w:val="auto"/>
        </w:rPr>
      </w:pPr>
      <w:r>
        <w:rPr>
          <w:rFonts w:ascii="Times New Roman" w:cs="Times New Roman" w:eastAsia="Times New Roman" w:hAnsi="Times New Roman"/>
          <w:sz w:val="13"/>
          <w:szCs w:val="13"/>
          <w:color w:val="auto"/>
        </w:rPr>
        <w:t>In 2021, production of the PS2 was commenced at the Geely owned Luqiao plant through contract manufacturing agreements. In the second half of 2021, ownership transferred to Volvo Cars and the plant was renamed to Taizhou.</w:t>
      </w:r>
    </w:p>
    <w:p>
      <w:pPr>
        <w:spacing w:after="0" w:line="122" w:lineRule="exact"/>
        <w:rPr>
          <w:sz w:val="20"/>
          <w:szCs w:val="20"/>
          <w:color w:val="auto"/>
        </w:rPr>
      </w:pPr>
    </w:p>
    <w:p>
      <w:pPr>
        <w:ind w:left="640" w:right="979"/>
        <w:spacing w:after="0" w:line="255" w:lineRule="auto"/>
        <w:rPr>
          <w:sz w:val="20"/>
          <w:szCs w:val="20"/>
          <w:color w:val="auto"/>
        </w:rPr>
      </w:pPr>
      <w:r>
        <w:rPr>
          <w:rFonts w:ascii="Times New Roman" w:cs="Times New Roman" w:eastAsia="Times New Roman" w:hAnsi="Times New Roman"/>
          <w:sz w:val="13"/>
          <w:szCs w:val="13"/>
          <w:color w:val="auto"/>
        </w:rPr>
        <w:t>Manufacturing engineering includes activities related to the development of the production process (i.e., deciding which manufacturing equipment should be utilized and where equipment should be situated to ensure an efficient production process). The Group outsourced the manufacturing engineering for the production process of the PS1, PS2 and PS3 to Volvo Cars.</w:t>
      </w:r>
    </w:p>
    <w:p>
      <w:pPr>
        <w:spacing w:after="0" w:line="130" w:lineRule="exact"/>
        <w:rPr>
          <w:sz w:val="20"/>
          <w:szCs w:val="20"/>
          <w:color w:val="auto"/>
        </w:rPr>
      </w:pPr>
    </w:p>
    <w:p>
      <w:pPr>
        <w:ind w:left="640" w:right="759"/>
        <w:spacing w:after="0" w:line="267" w:lineRule="auto"/>
        <w:rPr>
          <w:sz w:val="20"/>
          <w:szCs w:val="20"/>
          <w:color w:val="auto"/>
        </w:rPr>
      </w:pPr>
      <w:r>
        <w:rPr>
          <w:rFonts w:ascii="Times New Roman" w:cs="Times New Roman" w:eastAsia="Times New Roman" w:hAnsi="Times New Roman"/>
          <w:sz w:val="13"/>
          <w:szCs w:val="13"/>
          <w:color w:val="auto"/>
        </w:rPr>
        <w:t>Activities related to logistics engineering (i.e., activities related to the determination of how different components are delivered to the production sites) were outsourced to Volvo Cars for the PS1, PS2, and PS3.</w:t>
      </w:r>
    </w:p>
    <w:p>
      <w:pPr>
        <w:spacing w:after="0" w:line="12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Tool sharing occurs when the Group purchases production tools, together with Volvo Cars, to obtain synergies from utilizing the same tools.</w:t>
      </w:r>
    </w:p>
    <w:p>
      <w:pPr>
        <w:spacing w:after="0" w:line="106" w:lineRule="exact"/>
        <w:rPr>
          <w:sz w:val="20"/>
          <w:szCs w:val="20"/>
          <w:color w:val="auto"/>
        </w:rPr>
      </w:pPr>
    </w:p>
    <w:p>
      <w:pPr>
        <w:ind w:left="4440"/>
        <w:spacing w:after="0"/>
        <w:rPr>
          <w:sz w:val="20"/>
          <w:szCs w:val="20"/>
          <w:color w:val="auto"/>
        </w:rPr>
      </w:pPr>
      <w:r>
        <w:rPr>
          <w:rFonts w:ascii="Times New Roman" w:cs="Times New Roman" w:eastAsia="Times New Roman" w:hAnsi="Times New Roman"/>
          <w:sz w:val="13"/>
          <w:szCs w:val="13"/>
          <w:color w:val="auto"/>
        </w:rPr>
        <w:t>27</w:t>
      </w:r>
    </w:p>
    <w:p>
      <w:pPr>
        <w:sectPr>
          <w:pgSz w:w="11900" w:h="16838" w:orient="portrait"/>
          <w:cols w:equalWidth="0" w:num="1">
            <w:col w:w="9019"/>
          </w:cols>
          <w:pgMar w:left="1440" w:top="231" w:right="1440" w:bottom="1440" w:gutter="0" w:footer="0" w:header="0"/>
        </w:sectPr>
      </w:pPr>
    </w:p>
    <w:bookmarkStart w:id="84" w:name="page85"/>
    <w:bookmarkEnd w:id="84"/>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3" w:lineRule="exact"/>
        <w:rPr>
          <w:sz w:val="20"/>
          <w:szCs w:val="20"/>
          <w:color w:val="auto"/>
        </w:rPr>
      </w:pPr>
    </w:p>
    <w:p>
      <w:pPr>
        <w:ind w:left="640" w:right="779"/>
        <w:spacing w:after="0" w:line="267" w:lineRule="auto"/>
        <w:rPr>
          <w:sz w:val="20"/>
          <w:szCs w:val="20"/>
          <w:color w:val="auto"/>
        </w:rPr>
      </w:pPr>
      <w:r>
        <w:rPr>
          <w:rFonts w:ascii="Times New Roman" w:cs="Times New Roman" w:eastAsia="Times New Roman" w:hAnsi="Times New Roman"/>
          <w:sz w:val="13"/>
          <w:szCs w:val="13"/>
          <w:color w:val="auto"/>
        </w:rPr>
        <w:t>Polestar enters into machinery and equipment lease arrangements with Geely and certain building lease agreements with Volvo Cars. Refer to Note 3 - Leases for more information on Polestar’s leasing arrangements.</w:t>
      </w:r>
    </w:p>
    <w:p>
      <w:pPr>
        <w:spacing w:after="0" w:line="196"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Sales and distribution</w:t>
      </w:r>
    </w:p>
    <w:p>
      <w:pPr>
        <w:spacing w:after="0" w:line="80" w:lineRule="exact"/>
        <w:rPr>
          <w:sz w:val="20"/>
          <w:szCs w:val="20"/>
          <w:color w:val="auto"/>
        </w:rPr>
      </w:pPr>
    </w:p>
    <w:p>
      <w:pPr>
        <w:ind w:left="640" w:right="719"/>
        <w:spacing w:after="0" w:line="248" w:lineRule="auto"/>
        <w:rPr>
          <w:sz w:val="20"/>
          <w:szCs w:val="20"/>
          <w:color w:val="auto"/>
        </w:rPr>
      </w:pPr>
      <w:r>
        <w:rPr>
          <w:rFonts w:ascii="Times New Roman" w:cs="Times New Roman" w:eastAsia="Times New Roman" w:hAnsi="Times New Roman"/>
          <w:sz w:val="13"/>
          <w:szCs w:val="13"/>
          <w:color w:val="auto"/>
        </w:rPr>
        <w:t xml:space="preserve">Prior to entering the commercial space in the third quarter of 2020, the Group’s principal operations was related to the sale of R&amp;D services to Volvo Cars and Geely, and the sale of software and performance engineering kits to Volvo Cars. In addition to these sales agreements, in 2020, the Group had agreements in place to begin selling commercial vehicles, prototype engines and carbon credits to Geely and Volvo Cars, respectively. Refer to Note 2 - Revenue for further discussion on revenue recognized in accordance with IFRS 15, </w:t>
      </w:r>
      <w:r>
        <w:rPr>
          <w:rFonts w:ascii="Times New Roman" w:cs="Times New Roman" w:eastAsia="Times New Roman" w:hAnsi="Times New Roman"/>
          <w:sz w:val="13"/>
          <w:szCs w:val="13"/>
          <w:i w:val="1"/>
          <w:iCs w:val="1"/>
          <w:color w:val="auto"/>
        </w:rPr>
        <w:t>Revenue from contracts with customers</w:t>
      </w:r>
      <w:r>
        <w:rPr>
          <w:rFonts w:ascii="Times New Roman" w:cs="Times New Roman" w:eastAsia="Times New Roman" w:hAnsi="Times New Roman"/>
          <w:sz w:val="13"/>
          <w:szCs w:val="13"/>
          <w:color w:val="auto"/>
        </w:rPr>
        <w:t xml:space="preserve"> (“IFRS 15”). The Group leverages Volvo Cars sales and services network for go-to-market strategies and dealer support to assist with tasks, which include agreements related to distribution and outbound logistics, delivery of vehicles and other products and global customer service.</w:t>
      </w:r>
    </w:p>
    <w:p>
      <w:pPr>
        <w:spacing w:after="0" w:line="20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Information technology</w:t>
      </w:r>
    </w:p>
    <w:p>
      <w:pPr>
        <w:spacing w:after="0" w:line="80" w:lineRule="exact"/>
        <w:rPr>
          <w:sz w:val="20"/>
          <w:szCs w:val="20"/>
          <w:color w:val="auto"/>
        </w:rPr>
      </w:pPr>
    </w:p>
    <w:p>
      <w:pPr>
        <w:ind w:left="640" w:right="719"/>
        <w:spacing w:after="0" w:line="286" w:lineRule="auto"/>
        <w:rPr>
          <w:sz w:val="20"/>
          <w:szCs w:val="20"/>
          <w:color w:val="auto"/>
        </w:rPr>
      </w:pPr>
      <w:r>
        <w:rPr>
          <w:rFonts w:ascii="Times New Roman" w:cs="Times New Roman" w:eastAsia="Times New Roman" w:hAnsi="Times New Roman"/>
          <w:sz w:val="12"/>
          <w:szCs w:val="12"/>
          <w:color w:val="auto"/>
        </w:rPr>
        <w:t>While the Group has its own information technology (“IT”) department, Polestar operate in a shared IT environment with Volvo Cars and has service and software license agreements related to the support, maintenance and operation of IT processes associated with the Group. These IT services include resource planning systems, operations, infrastructure, networking, communications, collaboration, integration and application hosting.</w:t>
      </w:r>
    </w:p>
    <w:p>
      <w:pPr>
        <w:spacing w:after="0" w:line="6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28</w:t>
      </w:r>
    </w:p>
    <w:p>
      <w:pPr>
        <w:sectPr>
          <w:pgSz w:w="11900" w:h="16838" w:orient="portrait"/>
          <w:cols w:equalWidth="0" w:num="1">
            <w:col w:w="9019"/>
          </w:cols>
          <w:pgMar w:left="1440" w:top="231" w:right="1440" w:bottom="1440" w:gutter="0" w:footer="0" w:header="0"/>
        </w:sectPr>
      </w:pPr>
    </w:p>
    <w:bookmarkStart w:id="85" w:name="page86"/>
    <w:bookmarkEnd w:id="85"/>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1"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Other support</w:t>
      </w:r>
    </w:p>
    <w:p>
      <w:pPr>
        <w:spacing w:after="0" w:line="80" w:lineRule="exact"/>
        <w:rPr>
          <w:sz w:val="20"/>
          <w:szCs w:val="20"/>
          <w:color w:val="auto"/>
        </w:rPr>
      </w:pPr>
    </w:p>
    <w:p>
      <w:pPr>
        <w:ind w:left="640" w:right="759"/>
        <w:spacing w:after="0" w:line="255" w:lineRule="auto"/>
        <w:rPr>
          <w:sz w:val="20"/>
          <w:szCs w:val="20"/>
          <w:color w:val="auto"/>
        </w:rPr>
      </w:pPr>
      <w:r>
        <w:rPr>
          <w:rFonts w:ascii="Times New Roman" w:cs="Times New Roman" w:eastAsia="Times New Roman" w:hAnsi="Times New Roman"/>
          <w:sz w:val="13"/>
          <w:szCs w:val="13"/>
          <w:color w:val="auto"/>
        </w:rPr>
        <w:t>The Group has various other related party agreements in place with Volvo Cars. These are primarily service agreements that relate to support for corporate or back-office functions, including legal entity accounting. Additionally, the Group has service agreements in place with Volvo Cars over the inbound and outbound logistics, as well as customs handling.</w:t>
      </w:r>
    </w:p>
    <w:p>
      <w:pPr>
        <w:spacing w:after="0" w:line="20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Financing</w:t>
      </w:r>
    </w:p>
    <w:p>
      <w:pPr>
        <w:spacing w:after="0" w:line="80" w:lineRule="exact"/>
        <w:rPr>
          <w:sz w:val="20"/>
          <w:szCs w:val="20"/>
          <w:color w:val="auto"/>
        </w:rPr>
      </w:pPr>
    </w:p>
    <w:p>
      <w:pPr>
        <w:jc w:val="both"/>
        <w:ind w:left="640" w:right="979"/>
        <w:spacing w:after="0" w:line="251" w:lineRule="auto"/>
        <w:rPr>
          <w:sz w:val="20"/>
          <w:szCs w:val="20"/>
          <w:color w:val="auto"/>
        </w:rPr>
      </w:pPr>
      <w:r>
        <w:rPr>
          <w:rFonts w:ascii="Times New Roman" w:cs="Times New Roman" w:eastAsia="Times New Roman" w:hAnsi="Times New Roman"/>
          <w:sz w:val="13"/>
          <w:szCs w:val="13"/>
          <w:color w:val="auto"/>
        </w:rPr>
        <w:t>In May 2021, the Group entered into a working capital credit facility with Volvo Cars and subsequently borrowed $13,789 of the line, which has a maturity of one year. As of September 30, 2022, $8,986 of this financing arrangement remained outstanding, which is included in Interest-bearing current liabilities - related parties on the Unaudited Condensed Consolidated Statement of Financial Position. Refer to Note 7 - Liabilities to credit institutions for further details.</w:t>
      </w:r>
    </w:p>
    <w:p>
      <w:pPr>
        <w:spacing w:after="0" w:line="207"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Convertible notes</w:t>
      </w:r>
    </w:p>
    <w:p>
      <w:pPr>
        <w:spacing w:after="0" w:line="80" w:lineRule="exact"/>
        <w:rPr>
          <w:sz w:val="20"/>
          <w:szCs w:val="20"/>
          <w:color w:val="auto"/>
        </w:rPr>
      </w:pPr>
    </w:p>
    <w:p>
      <w:pPr>
        <w:jc w:val="both"/>
        <w:ind w:left="640" w:right="759"/>
        <w:spacing w:after="0" w:line="255" w:lineRule="auto"/>
        <w:rPr>
          <w:sz w:val="20"/>
          <w:szCs w:val="20"/>
          <w:color w:val="auto"/>
        </w:rPr>
      </w:pPr>
      <w:r>
        <w:rPr>
          <w:rFonts w:ascii="Times New Roman" w:cs="Times New Roman" w:eastAsia="Times New Roman" w:hAnsi="Times New Roman"/>
          <w:sz w:val="13"/>
          <w:szCs w:val="13"/>
          <w:color w:val="auto"/>
        </w:rPr>
        <w:t>Of the $35,231 in convertible notes issued on July 28, 2021, $9,531 was related to Geely. Upon the Closing of the merger with GGI, the Notes held by Geely were automatically converted to 1,165,041 shares of Class A Shares in ListCo. Refer to Note 1 - Significant accounting policies and judgements and Note 6 - Equity for further details.</w:t>
      </w:r>
    </w:p>
    <w:p>
      <w:pPr>
        <w:spacing w:after="0" w:line="20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Sale of goods, services and other</w:t>
      </w:r>
    </w:p>
    <w:p>
      <w:pPr>
        <w:spacing w:after="0" w:line="80" w:lineRule="exact"/>
        <w:rPr>
          <w:sz w:val="20"/>
          <w:szCs w:val="20"/>
          <w:color w:val="auto"/>
        </w:rPr>
      </w:pPr>
    </w:p>
    <w:p>
      <w:pPr>
        <w:ind w:left="640" w:right="859"/>
        <w:spacing w:after="0" w:line="255" w:lineRule="auto"/>
        <w:rPr>
          <w:sz w:val="20"/>
          <w:szCs w:val="20"/>
          <w:color w:val="auto"/>
        </w:rPr>
      </w:pPr>
      <w:r>
        <w:rPr>
          <w:rFonts w:ascii="Times New Roman" w:cs="Times New Roman" w:eastAsia="Times New Roman" w:hAnsi="Times New Roman"/>
          <w:sz w:val="13"/>
          <w:szCs w:val="13"/>
          <w:color w:val="auto"/>
        </w:rPr>
        <w:t>Revenue from related parties relates to the product development and sales and distribution agreements discussed above. These transactions are comprised of sales of products and related goods and services, sales of software and performance engineered kits, sales of carbon credits and sales of prototype engines. The total revenue recognized for each related party is shown in the table below:</w:t>
      </w:r>
    </w:p>
    <w:p>
      <w:pPr>
        <w:spacing w:after="0" w:line="134" w:lineRule="exact"/>
        <w:rPr>
          <w:sz w:val="20"/>
          <w:szCs w:val="20"/>
          <w:color w:val="auto"/>
        </w:rPr>
      </w:pPr>
    </w:p>
    <w:tbl>
      <w:tblPr>
        <w:tblLayout w:type="fixed"/>
        <w:tblInd w:w="960" w:type="dxa"/>
        <w:tblCellMar>
          <w:top w:w="0" w:type="dxa"/>
          <w:left w:w="0" w:type="dxa"/>
          <w:bottom w:w="0" w:type="dxa"/>
          <w:right w:w="0" w:type="dxa"/>
        </w:tblCellMar>
      </w:tblPr>
      <w:tr>
        <w:trPr>
          <w:trHeight w:val="115"/>
        </w:trPr>
        <w:tc>
          <w:tcPr>
            <w:tcW w:w="4440" w:type="dxa"/>
            <w:vAlign w:val="bottom"/>
          </w:tcPr>
          <w:p>
            <w:pPr>
              <w:spacing w:after="0"/>
              <w:rPr>
                <w:sz w:val="10"/>
                <w:szCs w:val="10"/>
                <w:color w:val="auto"/>
              </w:rPr>
            </w:pPr>
          </w:p>
        </w:tc>
        <w:tc>
          <w:tcPr>
            <w:tcW w:w="1400" w:type="dxa"/>
            <w:vAlign w:val="bottom"/>
            <w:gridSpan w:val="5"/>
          </w:tcPr>
          <w:p>
            <w:pPr>
              <w:jc w:val="center"/>
              <w:ind w:right="160"/>
              <w:spacing w:after="0"/>
              <w:rPr>
                <w:sz w:val="20"/>
                <w:szCs w:val="20"/>
                <w:color w:val="auto"/>
              </w:rPr>
            </w:pPr>
            <w:r>
              <w:rPr>
                <w:rFonts w:ascii="Times New Roman" w:cs="Times New Roman" w:eastAsia="Times New Roman" w:hAnsi="Times New Roman"/>
                <w:sz w:val="10"/>
                <w:szCs w:val="10"/>
                <w:b w:val="1"/>
                <w:bCs w:val="1"/>
                <w:color w:val="auto"/>
              </w:rPr>
              <w:t>For the three months ended</w:t>
            </w:r>
          </w:p>
        </w:tc>
        <w:tc>
          <w:tcPr>
            <w:tcW w:w="1260" w:type="dxa"/>
            <w:vAlign w:val="bottom"/>
            <w:gridSpan w:val="4"/>
          </w:tcPr>
          <w:p>
            <w:pPr>
              <w:jc w:val="right"/>
              <w:ind w:right="60"/>
              <w:spacing w:after="0"/>
              <w:rPr>
                <w:sz w:val="20"/>
                <w:szCs w:val="20"/>
                <w:color w:val="auto"/>
              </w:rPr>
            </w:pPr>
            <w:r>
              <w:rPr>
                <w:rFonts w:ascii="Times New Roman" w:cs="Times New Roman" w:eastAsia="Times New Roman" w:hAnsi="Times New Roman"/>
                <w:sz w:val="10"/>
                <w:szCs w:val="10"/>
                <w:b w:val="1"/>
                <w:bCs w:val="1"/>
                <w:color w:val="auto"/>
              </w:rPr>
              <w:t>For the nine months ended</w:t>
            </w:r>
          </w:p>
        </w:tc>
      </w:tr>
      <w:tr>
        <w:trPr>
          <w:trHeight w:val="121"/>
        </w:trPr>
        <w:tc>
          <w:tcPr>
            <w:tcW w:w="4440" w:type="dxa"/>
            <w:vAlign w:val="bottom"/>
          </w:tcPr>
          <w:p>
            <w:pPr>
              <w:spacing w:after="0"/>
              <w:rPr>
                <w:sz w:val="10"/>
                <w:szCs w:val="10"/>
                <w:color w:val="auto"/>
              </w:rPr>
            </w:pPr>
          </w:p>
        </w:tc>
        <w:tc>
          <w:tcPr>
            <w:tcW w:w="1400" w:type="dxa"/>
            <w:vAlign w:val="bottom"/>
            <w:gridSpan w:val="5"/>
          </w:tcPr>
          <w:p>
            <w:pPr>
              <w:jc w:val="center"/>
              <w:ind w:right="180"/>
              <w:spacing w:after="0"/>
              <w:rPr>
                <w:sz w:val="20"/>
                <w:szCs w:val="20"/>
                <w:color w:val="auto"/>
              </w:rPr>
            </w:pPr>
            <w:r>
              <w:rPr>
                <w:rFonts w:ascii="Times New Roman" w:cs="Times New Roman" w:eastAsia="Times New Roman" w:hAnsi="Times New Roman"/>
                <w:sz w:val="10"/>
                <w:szCs w:val="10"/>
                <w:b w:val="1"/>
                <w:bCs w:val="1"/>
                <w:color w:val="auto"/>
              </w:rPr>
              <w:t>September 30,</w:t>
            </w:r>
          </w:p>
        </w:tc>
        <w:tc>
          <w:tcPr>
            <w:tcW w:w="1260" w:type="dxa"/>
            <w:vAlign w:val="bottom"/>
            <w:gridSpan w:val="4"/>
          </w:tcPr>
          <w:p>
            <w:pPr>
              <w:jc w:val="right"/>
              <w:ind w:right="340"/>
              <w:spacing w:after="0"/>
              <w:rPr>
                <w:sz w:val="20"/>
                <w:szCs w:val="20"/>
                <w:color w:val="auto"/>
              </w:rPr>
            </w:pPr>
            <w:r>
              <w:rPr>
                <w:rFonts w:ascii="Times New Roman" w:cs="Times New Roman" w:eastAsia="Times New Roman" w:hAnsi="Times New Roman"/>
                <w:sz w:val="10"/>
                <w:szCs w:val="10"/>
                <w:b w:val="1"/>
                <w:bCs w:val="1"/>
                <w:color w:val="auto"/>
              </w:rPr>
              <w:t>September 30,</w:t>
            </w:r>
          </w:p>
        </w:tc>
      </w:tr>
      <w:tr>
        <w:trPr>
          <w:trHeight w:val="94"/>
        </w:trPr>
        <w:tc>
          <w:tcPr>
            <w:tcW w:w="4440" w:type="dxa"/>
            <w:vAlign w:val="bottom"/>
            <w:tcBorders>
              <w:bottom w:val="single" w:sz="8" w:color="CCEEFF"/>
            </w:tcBorders>
          </w:tcPr>
          <w:p>
            <w:pPr>
              <w:spacing w:after="0"/>
              <w:rPr>
                <w:sz w:val="8"/>
                <w:szCs w:val="8"/>
                <w:color w:val="auto"/>
              </w:rPr>
            </w:pPr>
          </w:p>
        </w:tc>
        <w:tc>
          <w:tcPr>
            <w:tcW w:w="520" w:type="dxa"/>
            <w:vAlign w:val="bottom"/>
            <w:tcBorders>
              <w:top w:val="single" w:sz="8" w:color="auto"/>
              <w:bottom w:val="single" w:sz="8" w:color="auto"/>
            </w:tcBorders>
          </w:tcPr>
          <w:p>
            <w:pPr>
              <w:jc w:val="right"/>
              <w:ind w:right="102"/>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20" w:type="dxa"/>
            <w:vAlign w:val="bottom"/>
            <w:tcBorders>
              <w:top w:val="single" w:sz="8" w:color="auto"/>
              <w:bottom w:val="single" w:sz="8" w:color="CCEEFF"/>
            </w:tcBorders>
          </w:tcPr>
          <w:p>
            <w:pPr>
              <w:spacing w:after="0"/>
              <w:rPr>
                <w:sz w:val="8"/>
                <w:szCs w:val="8"/>
                <w:color w:val="auto"/>
              </w:rPr>
            </w:pPr>
          </w:p>
        </w:tc>
        <w:tc>
          <w:tcPr>
            <w:tcW w:w="160" w:type="dxa"/>
            <w:vAlign w:val="bottom"/>
            <w:tcBorders>
              <w:top w:val="single" w:sz="8" w:color="auto"/>
              <w:bottom w:val="single" w:sz="8" w:color="CCEEFF"/>
            </w:tcBorders>
          </w:tcPr>
          <w:p>
            <w:pPr>
              <w:spacing w:after="0"/>
              <w:rPr>
                <w:sz w:val="8"/>
                <w:szCs w:val="8"/>
                <w:color w:val="auto"/>
              </w:rPr>
            </w:pPr>
          </w:p>
        </w:tc>
        <w:tc>
          <w:tcPr>
            <w:tcW w:w="540" w:type="dxa"/>
            <w:vAlign w:val="bottom"/>
            <w:tcBorders>
              <w:top w:val="single" w:sz="8" w:color="auto"/>
              <w:bottom w:val="single" w:sz="8" w:color="auto"/>
            </w:tcBorders>
          </w:tcPr>
          <w:p>
            <w:pPr>
              <w:jc w:val="right"/>
              <w:ind w:right="119"/>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160" w:type="dxa"/>
            <w:vAlign w:val="bottom"/>
            <w:tcBorders>
              <w:bottom w:val="single" w:sz="8" w:color="CCEEFF"/>
            </w:tcBorders>
          </w:tcPr>
          <w:p>
            <w:pPr>
              <w:spacing w:after="0"/>
              <w:rPr>
                <w:sz w:val="8"/>
                <w:szCs w:val="8"/>
                <w:color w:val="auto"/>
              </w:rPr>
            </w:pPr>
          </w:p>
        </w:tc>
        <w:tc>
          <w:tcPr>
            <w:tcW w:w="560" w:type="dxa"/>
            <w:vAlign w:val="bottom"/>
            <w:tcBorders>
              <w:top w:val="single" w:sz="8" w:color="auto"/>
              <w:bottom w:val="single" w:sz="8" w:color="auto"/>
            </w:tcBorders>
          </w:tcPr>
          <w:p>
            <w:pPr>
              <w:jc w:val="right"/>
              <w:ind w:right="122"/>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60" w:type="dxa"/>
            <w:vAlign w:val="bottom"/>
            <w:tcBorders>
              <w:top w:val="single" w:sz="8" w:color="auto"/>
              <w:bottom w:val="single" w:sz="8" w:color="CCEEFF"/>
            </w:tcBorders>
          </w:tcPr>
          <w:p>
            <w:pPr>
              <w:spacing w:after="0"/>
              <w:rPr>
                <w:sz w:val="8"/>
                <w:szCs w:val="8"/>
                <w:color w:val="auto"/>
              </w:rPr>
            </w:pPr>
          </w:p>
        </w:tc>
        <w:tc>
          <w:tcPr>
            <w:tcW w:w="500" w:type="dxa"/>
            <w:vAlign w:val="bottom"/>
            <w:tcBorders>
              <w:top w:val="single" w:sz="8" w:color="auto"/>
              <w:bottom w:val="single" w:sz="8" w:color="auto"/>
            </w:tcBorders>
          </w:tcPr>
          <w:p>
            <w:pPr>
              <w:jc w:val="right"/>
              <w:ind w:right="79"/>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40" w:type="dxa"/>
            <w:vAlign w:val="bottom"/>
            <w:tcBorders>
              <w:bottom w:val="single" w:sz="8" w:color="CCEEFF"/>
            </w:tcBorders>
          </w:tcPr>
          <w:p>
            <w:pPr>
              <w:spacing w:after="0"/>
              <w:rPr>
                <w:sz w:val="8"/>
                <w:szCs w:val="8"/>
                <w:color w:val="auto"/>
              </w:rPr>
            </w:pPr>
          </w:p>
        </w:tc>
      </w:tr>
      <w:tr>
        <w:trPr>
          <w:trHeight w:val="141"/>
        </w:trPr>
        <w:tc>
          <w:tcPr>
            <w:tcW w:w="4440" w:type="dxa"/>
            <w:vAlign w:val="bottom"/>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Volvo Cars</w:t>
            </w:r>
          </w:p>
        </w:tc>
        <w:tc>
          <w:tcPr>
            <w:tcW w:w="52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10,365</w:t>
            </w:r>
          </w:p>
        </w:tc>
        <w:tc>
          <w:tcPr>
            <w:tcW w:w="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12,626</w:t>
            </w:r>
          </w:p>
        </w:tc>
        <w:tc>
          <w:tcPr>
            <w:tcW w:w="16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54,817</w:t>
            </w:r>
          </w:p>
        </w:tc>
        <w:tc>
          <w:tcPr>
            <w:tcW w:w="160" w:type="dxa"/>
            <w:vAlign w:val="bottom"/>
            <w:shd w:val="clear" w:color="auto" w:fill="CCEEFF"/>
          </w:tcPr>
          <w:p>
            <w:pPr>
              <w:spacing w:after="0"/>
              <w:rPr>
                <w:sz w:val="12"/>
                <w:szCs w:val="12"/>
                <w:color w:val="auto"/>
              </w:rPr>
            </w:pPr>
          </w:p>
        </w:tc>
        <w:tc>
          <w:tcPr>
            <w:tcW w:w="50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40,977</w:t>
            </w:r>
          </w:p>
        </w:tc>
        <w:tc>
          <w:tcPr>
            <w:tcW w:w="40" w:type="dxa"/>
            <w:vAlign w:val="bottom"/>
            <w:shd w:val="clear" w:color="auto" w:fill="CCEEFF"/>
          </w:tcPr>
          <w:p>
            <w:pPr>
              <w:spacing w:after="0"/>
              <w:rPr>
                <w:sz w:val="12"/>
                <w:szCs w:val="12"/>
                <w:color w:val="auto"/>
              </w:rPr>
            </w:pPr>
          </w:p>
        </w:tc>
      </w:tr>
      <w:tr>
        <w:trPr>
          <w:trHeight w:val="152"/>
        </w:trPr>
        <w:tc>
          <w:tcPr>
            <w:tcW w:w="4440" w:type="dxa"/>
            <w:vAlign w:val="bottom"/>
          </w:tcPr>
          <w:p>
            <w:pPr>
              <w:spacing w:after="0"/>
              <w:rPr>
                <w:sz w:val="20"/>
                <w:szCs w:val="20"/>
                <w:color w:val="auto"/>
              </w:rPr>
            </w:pPr>
            <w:r>
              <w:rPr>
                <w:rFonts w:ascii="Times New Roman" w:cs="Times New Roman" w:eastAsia="Times New Roman" w:hAnsi="Times New Roman"/>
                <w:sz w:val="13"/>
                <w:szCs w:val="13"/>
                <w:color w:val="auto"/>
              </w:rPr>
              <w:t>Volvofinans Bank AB</w:t>
            </w:r>
          </w:p>
        </w:tc>
        <w:tc>
          <w:tcPr>
            <w:tcW w:w="52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7,092</w:t>
            </w:r>
          </w:p>
        </w:tc>
        <w:tc>
          <w:tcPr>
            <w:tcW w:w="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700" w:type="dxa"/>
            <w:vAlign w:val="bottom"/>
            <w:gridSpan w:val="2"/>
          </w:tcPr>
          <w:p>
            <w:pPr>
              <w:jc w:val="right"/>
              <w:ind w:right="160"/>
              <w:spacing w:after="0"/>
              <w:rPr>
                <w:sz w:val="20"/>
                <w:szCs w:val="20"/>
                <w:color w:val="auto"/>
              </w:rPr>
            </w:pPr>
            <w:r>
              <w:rPr>
                <w:rFonts w:ascii="Times New Roman" w:cs="Times New Roman" w:eastAsia="Times New Roman" w:hAnsi="Times New Roman"/>
                <w:sz w:val="13"/>
                <w:szCs w:val="13"/>
                <w:color w:val="auto"/>
              </w:rPr>
              <w:t>8,047</w:t>
            </w:r>
          </w:p>
        </w:tc>
        <w:tc>
          <w:tcPr>
            <w:tcW w:w="720" w:type="dxa"/>
            <w:vAlign w:val="bottom"/>
            <w:gridSpan w:val="2"/>
          </w:tcPr>
          <w:p>
            <w:pPr>
              <w:jc w:val="right"/>
              <w:ind w:right="160"/>
              <w:spacing w:after="0"/>
              <w:rPr>
                <w:sz w:val="20"/>
                <w:szCs w:val="20"/>
                <w:color w:val="auto"/>
              </w:rPr>
            </w:pPr>
            <w:r>
              <w:rPr>
                <w:rFonts w:ascii="Times New Roman" w:cs="Times New Roman" w:eastAsia="Times New Roman" w:hAnsi="Times New Roman"/>
                <w:sz w:val="13"/>
                <w:szCs w:val="13"/>
                <w:color w:val="auto"/>
              </w:rPr>
              <w:t>46,207</w:t>
            </w:r>
          </w:p>
        </w:tc>
        <w:tc>
          <w:tcPr>
            <w:tcW w:w="54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29,287</w:t>
            </w:r>
          </w:p>
        </w:tc>
      </w:tr>
      <w:tr>
        <w:trPr>
          <w:trHeight w:val="152"/>
        </w:trPr>
        <w:tc>
          <w:tcPr>
            <w:tcW w:w="44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Geely</w:t>
            </w:r>
          </w:p>
        </w:tc>
        <w:tc>
          <w:tcPr>
            <w:tcW w:w="700" w:type="dxa"/>
            <w:vAlign w:val="bottom"/>
            <w:gridSpan w:val="3"/>
            <w:shd w:val="clear" w:color="auto" w:fill="CCEEFF"/>
          </w:tcPr>
          <w:p>
            <w:pPr>
              <w:ind w:left="320"/>
              <w:spacing w:after="0"/>
              <w:rPr>
                <w:sz w:val="20"/>
                <w:szCs w:val="20"/>
                <w:color w:val="auto"/>
              </w:rPr>
            </w:pPr>
            <w:r>
              <w:rPr>
                <w:rFonts w:ascii="Times New Roman" w:cs="Times New Roman" w:eastAsia="Times New Roman" w:hAnsi="Times New Roman"/>
                <w:sz w:val="13"/>
                <w:szCs w:val="13"/>
                <w:color w:val="auto"/>
              </w:rPr>
              <w:t>—</w:t>
            </w:r>
          </w:p>
        </w:tc>
        <w:tc>
          <w:tcPr>
            <w:tcW w:w="70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3"/>
                <w:szCs w:val="13"/>
                <w:color w:val="auto"/>
              </w:rPr>
              <w:t>559</w:t>
            </w:r>
          </w:p>
        </w:tc>
        <w:tc>
          <w:tcPr>
            <w:tcW w:w="720" w:type="dxa"/>
            <w:vAlign w:val="bottom"/>
            <w:gridSpan w:val="2"/>
            <w:shd w:val="clear" w:color="auto" w:fill="CCEEFF"/>
          </w:tcPr>
          <w:p>
            <w:pPr>
              <w:ind w:left="360"/>
              <w:spacing w:after="0"/>
              <w:rPr>
                <w:sz w:val="20"/>
                <w:szCs w:val="20"/>
                <w:color w:val="auto"/>
              </w:rPr>
            </w:pPr>
            <w:r>
              <w:rPr>
                <w:rFonts w:ascii="Times New Roman" w:cs="Times New Roman" w:eastAsia="Times New Roman" w:hAnsi="Times New Roman"/>
                <w:sz w:val="13"/>
                <w:szCs w:val="13"/>
                <w:color w:val="auto"/>
              </w:rPr>
              <w:t>—</w:t>
            </w:r>
          </w:p>
        </w:tc>
        <w:tc>
          <w:tcPr>
            <w:tcW w:w="54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700</w:t>
            </w:r>
          </w:p>
        </w:tc>
      </w:tr>
      <w:tr>
        <w:trPr>
          <w:trHeight w:val="151"/>
        </w:trPr>
        <w:tc>
          <w:tcPr>
            <w:tcW w:w="444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Total</w:t>
            </w:r>
          </w:p>
        </w:tc>
        <w:tc>
          <w:tcPr>
            <w:tcW w:w="5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17,457</w:t>
            </w:r>
          </w:p>
        </w:tc>
        <w:tc>
          <w:tcPr>
            <w:tcW w:w="20" w:type="dxa"/>
            <w:vAlign w:val="bottom"/>
            <w:tcBorders>
              <w:bottom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21,232</w:t>
            </w:r>
          </w:p>
        </w:tc>
        <w:tc>
          <w:tcPr>
            <w:tcW w:w="160" w:type="dxa"/>
            <w:vAlign w:val="bottom"/>
          </w:tcPr>
          <w:p>
            <w:pPr>
              <w:spacing w:after="0"/>
              <w:rPr>
                <w:sz w:val="13"/>
                <w:szCs w:val="13"/>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101,024</w:t>
            </w:r>
          </w:p>
        </w:tc>
        <w:tc>
          <w:tcPr>
            <w:tcW w:w="160" w:type="dxa"/>
            <w:vAlign w:val="bottom"/>
          </w:tcPr>
          <w:p>
            <w:pPr>
              <w:spacing w:after="0"/>
              <w:rPr>
                <w:sz w:val="13"/>
                <w:szCs w:val="13"/>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70,964</w:t>
            </w:r>
          </w:p>
        </w:tc>
        <w:tc>
          <w:tcPr>
            <w:tcW w:w="40" w:type="dxa"/>
            <w:vAlign w:val="bottom"/>
          </w:tcPr>
          <w:p>
            <w:pPr>
              <w:spacing w:after="0"/>
              <w:rPr>
                <w:sz w:val="13"/>
                <w:szCs w:val="13"/>
                <w:color w:val="auto"/>
              </w:rPr>
            </w:pPr>
          </w:p>
        </w:tc>
      </w:tr>
    </w:tbl>
    <w:p>
      <w:pPr>
        <w:spacing w:after="0" w:line="148" w:lineRule="exact"/>
        <w:rPr>
          <w:sz w:val="20"/>
          <w:szCs w:val="20"/>
          <w:color w:val="auto"/>
        </w:rPr>
      </w:pPr>
    </w:p>
    <w:p>
      <w:pPr>
        <w:ind w:left="640" w:right="939"/>
        <w:spacing w:after="0" w:line="255" w:lineRule="auto"/>
        <w:rPr>
          <w:sz w:val="20"/>
          <w:szCs w:val="20"/>
          <w:color w:val="auto"/>
        </w:rPr>
      </w:pPr>
      <w:r>
        <w:rPr>
          <w:rFonts w:ascii="Times New Roman" w:cs="Times New Roman" w:eastAsia="Times New Roman" w:hAnsi="Times New Roman"/>
          <w:sz w:val="13"/>
          <w:szCs w:val="13"/>
          <w:color w:val="auto"/>
        </w:rPr>
        <w:t>For the three months ended September 30, 2022 and 2021, revenue from related parties amounted to $17,457 (4.01%) and $21,232 (9.97%) of total revenue, respectively. For the nine months ended September 30, 2022 and 2021, revenue from related parties was $101,024 (6.84%) and $70,964 (9.49%) of total revenue, respectively.</w:t>
      </w:r>
    </w:p>
    <w:p>
      <w:pPr>
        <w:spacing w:after="0" w:line="20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Purchases of goods, services and other</w:t>
      </w:r>
    </w:p>
    <w:p>
      <w:pPr>
        <w:spacing w:after="0" w:line="80" w:lineRule="exact"/>
        <w:rPr>
          <w:sz w:val="20"/>
          <w:szCs w:val="20"/>
          <w:color w:val="auto"/>
        </w:rPr>
      </w:pPr>
    </w:p>
    <w:p>
      <w:pPr>
        <w:jc w:val="both"/>
        <w:ind w:left="640" w:right="899"/>
        <w:spacing w:after="0" w:line="251" w:lineRule="auto"/>
        <w:rPr>
          <w:sz w:val="20"/>
          <w:szCs w:val="20"/>
          <w:color w:val="auto"/>
        </w:rPr>
      </w:pPr>
      <w:r>
        <w:rPr>
          <w:rFonts w:ascii="Times New Roman" w:cs="Times New Roman" w:eastAsia="Times New Roman" w:hAnsi="Times New Roman"/>
          <w:sz w:val="13"/>
          <w:szCs w:val="13"/>
          <w:color w:val="auto"/>
        </w:rPr>
        <w:t>Purchases from related parties include agreements related to product development, procurement, manufacturing, IT and other support (specifically, inbound and outbound logistics) agreements discussed above. These agreements include work in progress and finished goods. Inventory cost of the Group is comprised of all costs of purchase, production charges and other expenditures incurred in bringing the inventory to its present location and condition.</w:t>
      </w:r>
    </w:p>
    <w:p>
      <w:pPr>
        <w:spacing w:after="0" w:line="8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29</w:t>
      </w:r>
    </w:p>
    <w:p>
      <w:pPr>
        <w:sectPr>
          <w:pgSz w:w="11900" w:h="16838" w:orient="portrait"/>
          <w:cols w:equalWidth="0" w:num="1">
            <w:col w:w="9019"/>
          </w:cols>
          <w:pgMar w:left="1440" w:top="231" w:right="1440" w:bottom="1440" w:gutter="0" w:footer="0" w:header="0"/>
        </w:sectPr>
      </w:pPr>
    </w:p>
    <w:bookmarkStart w:id="86" w:name="page87"/>
    <w:bookmarkEnd w:id="86"/>
    <w:p>
      <w:pPr>
        <w:jc w:val="center"/>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3" w:lineRule="exact"/>
        <w:rPr>
          <w:sz w:val="20"/>
          <w:szCs w:val="20"/>
          <w:color w:val="auto"/>
        </w:rPr>
      </w:pPr>
    </w:p>
    <w:p>
      <w:pPr>
        <w:ind w:left="640" w:right="759"/>
        <w:spacing w:after="0" w:line="267" w:lineRule="auto"/>
        <w:rPr>
          <w:sz w:val="20"/>
          <w:szCs w:val="20"/>
          <w:color w:val="auto"/>
        </w:rPr>
      </w:pPr>
      <w:r>
        <w:rPr>
          <w:rFonts w:ascii="Times New Roman" w:cs="Times New Roman" w:eastAsia="Times New Roman" w:hAnsi="Times New Roman"/>
          <w:sz w:val="13"/>
          <w:szCs w:val="13"/>
          <w:color w:val="auto"/>
        </w:rPr>
        <w:t>Additionally, purchases from related parties include administrative costs associated with service agreements with Volvo Cars that relate to corporate or back-office functions. IT service and software related agreements are also included in administrative costs.</w:t>
      </w:r>
    </w:p>
    <w:p>
      <w:pPr>
        <w:spacing w:after="0" w:line="12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The total purchases of goods, services and other for each related party is shown in the table below:</w:t>
      </w:r>
    </w:p>
    <w:p>
      <w:pPr>
        <w:spacing w:after="0" w:line="158" w:lineRule="exact"/>
        <w:rPr>
          <w:sz w:val="20"/>
          <w:szCs w:val="20"/>
          <w:color w:val="auto"/>
        </w:rPr>
      </w:pPr>
    </w:p>
    <w:tbl>
      <w:tblPr>
        <w:tblLayout w:type="fixed"/>
        <w:tblInd w:w="960" w:type="dxa"/>
        <w:tblCellMar>
          <w:top w:w="0" w:type="dxa"/>
          <w:left w:w="0" w:type="dxa"/>
          <w:bottom w:w="0" w:type="dxa"/>
          <w:right w:w="0" w:type="dxa"/>
        </w:tblCellMar>
      </w:tblPr>
      <w:tr>
        <w:trPr>
          <w:trHeight w:val="115"/>
        </w:trPr>
        <w:tc>
          <w:tcPr>
            <w:tcW w:w="4340" w:type="dxa"/>
            <w:vAlign w:val="bottom"/>
          </w:tcPr>
          <w:p>
            <w:pPr>
              <w:spacing w:after="0"/>
              <w:rPr>
                <w:sz w:val="10"/>
                <w:szCs w:val="10"/>
                <w:color w:val="auto"/>
              </w:rPr>
            </w:pPr>
          </w:p>
        </w:tc>
        <w:tc>
          <w:tcPr>
            <w:tcW w:w="1460" w:type="dxa"/>
            <w:vAlign w:val="bottom"/>
            <w:gridSpan w:val="4"/>
          </w:tcPr>
          <w:p>
            <w:pPr>
              <w:jc w:val="right"/>
              <w:ind w:right="220"/>
              <w:spacing w:after="0"/>
              <w:rPr>
                <w:sz w:val="20"/>
                <w:szCs w:val="20"/>
                <w:color w:val="auto"/>
              </w:rPr>
            </w:pPr>
            <w:r>
              <w:rPr>
                <w:rFonts w:ascii="Times New Roman" w:cs="Times New Roman" w:eastAsia="Times New Roman" w:hAnsi="Times New Roman"/>
                <w:sz w:val="10"/>
                <w:szCs w:val="10"/>
                <w:b w:val="1"/>
                <w:bCs w:val="1"/>
                <w:color w:val="auto"/>
              </w:rPr>
              <w:t>For the three months ended</w:t>
            </w:r>
          </w:p>
        </w:tc>
        <w:tc>
          <w:tcPr>
            <w:tcW w:w="1300" w:type="dxa"/>
            <w:vAlign w:val="bottom"/>
            <w:gridSpan w:val="4"/>
          </w:tcPr>
          <w:p>
            <w:pPr>
              <w:jc w:val="right"/>
              <w:ind w:right="100"/>
              <w:spacing w:after="0"/>
              <w:rPr>
                <w:sz w:val="20"/>
                <w:szCs w:val="20"/>
                <w:color w:val="auto"/>
              </w:rPr>
            </w:pPr>
            <w:r>
              <w:rPr>
                <w:rFonts w:ascii="Times New Roman" w:cs="Times New Roman" w:eastAsia="Times New Roman" w:hAnsi="Times New Roman"/>
                <w:sz w:val="10"/>
                <w:szCs w:val="10"/>
                <w:b w:val="1"/>
                <w:bCs w:val="1"/>
                <w:color w:val="auto"/>
              </w:rPr>
              <w:t>For the nine months ended</w:t>
            </w:r>
          </w:p>
        </w:tc>
      </w:tr>
      <w:tr>
        <w:trPr>
          <w:trHeight w:val="121"/>
        </w:trPr>
        <w:tc>
          <w:tcPr>
            <w:tcW w:w="4340" w:type="dxa"/>
            <w:vAlign w:val="bottom"/>
          </w:tcPr>
          <w:p>
            <w:pPr>
              <w:spacing w:after="0"/>
              <w:rPr>
                <w:sz w:val="10"/>
                <w:szCs w:val="10"/>
                <w:color w:val="auto"/>
              </w:rPr>
            </w:pPr>
          </w:p>
        </w:tc>
        <w:tc>
          <w:tcPr>
            <w:tcW w:w="1460" w:type="dxa"/>
            <w:vAlign w:val="bottom"/>
            <w:gridSpan w:val="4"/>
          </w:tcPr>
          <w:p>
            <w:pPr>
              <w:jc w:val="right"/>
              <w:ind w:right="520"/>
              <w:spacing w:after="0"/>
              <w:rPr>
                <w:sz w:val="20"/>
                <w:szCs w:val="20"/>
                <w:color w:val="auto"/>
              </w:rPr>
            </w:pPr>
            <w:r>
              <w:rPr>
                <w:rFonts w:ascii="Times New Roman" w:cs="Times New Roman" w:eastAsia="Times New Roman" w:hAnsi="Times New Roman"/>
                <w:sz w:val="10"/>
                <w:szCs w:val="10"/>
                <w:b w:val="1"/>
                <w:bCs w:val="1"/>
                <w:color w:val="auto"/>
              </w:rPr>
              <w:t>September 30,</w:t>
            </w:r>
          </w:p>
        </w:tc>
        <w:tc>
          <w:tcPr>
            <w:tcW w:w="1300" w:type="dxa"/>
            <w:vAlign w:val="bottom"/>
            <w:gridSpan w:val="4"/>
          </w:tcPr>
          <w:p>
            <w:pPr>
              <w:jc w:val="right"/>
              <w:ind w:right="360"/>
              <w:spacing w:after="0"/>
              <w:rPr>
                <w:sz w:val="20"/>
                <w:szCs w:val="20"/>
                <w:color w:val="auto"/>
              </w:rPr>
            </w:pPr>
            <w:r>
              <w:rPr>
                <w:rFonts w:ascii="Times New Roman" w:cs="Times New Roman" w:eastAsia="Times New Roman" w:hAnsi="Times New Roman"/>
                <w:sz w:val="10"/>
                <w:szCs w:val="10"/>
                <w:b w:val="1"/>
                <w:bCs w:val="1"/>
                <w:color w:val="auto"/>
              </w:rPr>
              <w:t>September 30,</w:t>
            </w:r>
          </w:p>
        </w:tc>
      </w:tr>
      <w:tr>
        <w:trPr>
          <w:trHeight w:val="94"/>
        </w:trPr>
        <w:tc>
          <w:tcPr>
            <w:tcW w:w="4340" w:type="dxa"/>
            <w:vAlign w:val="bottom"/>
            <w:tcBorders>
              <w:bottom w:val="single" w:sz="8" w:color="CCEEFF"/>
            </w:tcBorders>
          </w:tcPr>
          <w:p>
            <w:pPr>
              <w:spacing w:after="0"/>
              <w:rPr>
                <w:sz w:val="8"/>
                <w:szCs w:val="8"/>
                <w:color w:val="auto"/>
              </w:rPr>
            </w:pPr>
          </w:p>
        </w:tc>
        <w:tc>
          <w:tcPr>
            <w:tcW w:w="540" w:type="dxa"/>
            <w:vAlign w:val="bottom"/>
            <w:tcBorders>
              <w:top w:val="single" w:sz="8" w:color="auto"/>
              <w:bottom w:val="single" w:sz="8" w:color="auto"/>
            </w:tcBorders>
          </w:tcPr>
          <w:p>
            <w:pPr>
              <w:jc w:val="right"/>
              <w:ind w:right="102"/>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80" w:type="dxa"/>
            <w:vAlign w:val="bottom"/>
            <w:tcBorders>
              <w:top w:val="single" w:sz="8" w:color="auto"/>
              <w:bottom w:val="single" w:sz="8" w:color="CCEEFF"/>
            </w:tcBorders>
          </w:tcPr>
          <w:p>
            <w:pPr>
              <w:spacing w:after="0"/>
              <w:rPr>
                <w:sz w:val="8"/>
                <w:szCs w:val="8"/>
                <w:color w:val="auto"/>
              </w:rPr>
            </w:pPr>
          </w:p>
        </w:tc>
        <w:tc>
          <w:tcPr>
            <w:tcW w:w="540" w:type="dxa"/>
            <w:vAlign w:val="bottom"/>
            <w:tcBorders>
              <w:top w:val="single" w:sz="8" w:color="auto"/>
              <w:bottom w:val="single" w:sz="8" w:color="auto"/>
            </w:tcBorders>
          </w:tcPr>
          <w:p>
            <w:pPr>
              <w:jc w:val="right"/>
              <w:ind w:right="99"/>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200" w:type="dxa"/>
            <w:vAlign w:val="bottom"/>
            <w:tcBorders>
              <w:bottom w:val="single" w:sz="8" w:color="CCEEFF"/>
            </w:tcBorders>
          </w:tcPr>
          <w:p>
            <w:pPr>
              <w:spacing w:after="0"/>
              <w:rPr>
                <w:sz w:val="8"/>
                <w:szCs w:val="8"/>
                <w:color w:val="auto"/>
              </w:rPr>
            </w:pPr>
          </w:p>
        </w:tc>
        <w:tc>
          <w:tcPr>
            <w:tcW w:w="540" w:type="dxa"/>
            <w:vAlign w:val="bottom"/>
            <w:tcBorders>
              <w:top w:val="single" w:sz="8" w:color="auto"/>
              <w:bottom w:val="single" w:sz="8" w:color="auto"/>
            </w:tcBorders>
          </w:tcPr>
          <w:p>
            <w:pPr>
              <w:jc w:val="right"/>
              <w:ind w:right="122"/>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80" w:type="dxa"/>
            <w:vAlign w:val="bottom"/>
            <w:tcBorders>
              <w:top w:val="single" w:sz="8" w:color="auto"/>
              <w:bottom w:val="single" w:sz="8" w:color="CCEEFF"/>
            </w:tcBorders>
          </w:tcPr>
          <w:p>
            <w:pPr>
              <w:spacing w:after="0"/>
              <w:rPr>
                <w:sz w:val="8"/>
                <w:szCs w:val="8"/>
                <w:color w:val="auto"/>
              </w:rPr>
            </w:pPr>
          </w:p>
        </w:tc>
        <w:tc>
          <w:tcPr>
            <w:tcW w:w="540" w:type="dxa"/>
            <w:vAlign w:val="bottom"/>
            <w:tcBorders>
              <w:top w:val="single" w:sz="8" w:color="auto"/>
              <w:bottom w:val="single" w:sz="8" w:color="auto"/>
            </w:tcBorders>
          </w:tcPr>
          <w:p>
            <w:pPr>
              <w:jc w:val="right"/>
              <w:ind w:right="99"/>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40" w:type="dxa"/>
            <w:vAlign w:val="bottom"/>
            <w:tcBorders>
              <w:bottom w:val="single" w:sz="8" w:color="CCEEFF"/>
            </w:tcBorders>
          </w:tcPr>
          <w:p>
            <w:pPr>
              <w:spacing w:after="0"/>
              <w:rPr>
                <w:sz w:val="8"/>
                <w:szCs w:val="8"/>
                <w:color w:val="auto"/>
              </w:rPr>
            </w:pPr>
          </w:p>
        </w:tc>
      </w:tr>
      <w:tr>
        <w:trPr>
          <w:trHeight w:val="141"/>
        </w:trPr>
        <w:tc>
          <w:tcPr>
            <w:tcW w:w="4340" w:type="dxa"/>
            <w:vAlign w:val="bottom"/>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Volvo Cars</w:t>
            </w:r>
          </w:p>
        </w:tc>
        <w:tc>
          <w:tcPr>
            <w:tcW w:w="5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732,708</w:t>
            </w:r>
          </w:p>
        </w:tc>
        <w:tc>
          <w:tcPr>
            <w:tcW w:w="18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22,663</w:t>
            </w:r>
          </w:p>
        </w:tc>
        <w:tc>
          <w:tcPr>
            <w:tcW w:w="20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w w:val="99"/>
              </w:rPr>
              <w:t>1,485,201</w:t>
            </w:r>
          </w:p>
        </w:tc>
        <w:tc>
          <w:tcPr>
            <w:tcW w:w="18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271,647</w:t>
            </w:r>
          </w:p>
        </w:tc>
        <w:tc>
          <w:tcPr>
            <w:tcW w:w="40" w:type="dxa"/>
            <w:vAlign w:val="bottom"/>
            <w:shd w:val="clear" w:color="auto" w:fill="CCEEFF"/>
          </w:tcPr>
          <w:p>
            <w:pPr>
              <w:spacing w:after="0"/>
              <w:rPr>
                <w:sz w:val="12"/>
                <w:szCs w:val="12"/>
                <w:color w:val="auto"/>
              </w:rPr>
            </w:pPr>
          </w:p>
        </w:tc>
      </w:tr>
      <w:tr>
        <w:trPr>
          <w:trHeight w:val="152"/>
        </w:trPr>
        <w:tc>
          <w:tcPr>
            <w:tcW w:w="4340" w:type="dxa"/>
            <w:vAlign w:val="bottom"/>
          </w:tcPr>
          <w:p>
            <w:pPr>
              <w:spacing w:after="0"/>
              <w:rPr>
                <w:sz w:val="20"/>
                <w:szCs w:val="20"/>
                <w:color w:val="auto"/>
              </w:rPr>
            </w:pPr>
            <w:r>
              <w:rPr>
                <w:rFonts w:ascii="Times New Roman" w:cs="Times New Roman" w:eastAsia="Times New Roman" w:hAnsi="Times New Roman"/>
                <w:sz w:val="13"/>
                <w:szCs w:val="13"/>
                <w:color w:val="auto"/>
              </w:rPr>
              <w:t>Volvofinans Bank AB</w:t>
            </w:r>
          </w:p>
        </w:tc>
        <w:tc>
          <w:tcPr>
            <w:tcW w:w="72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109</w:t>
            </w:r>
          </w:p>
        </w:tc>
        <w:tc>
          <w:tcPr>
            <w:tcW w:w="74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363</w:t>
            </w:r>
          </w:p>
        </w:tc>
        <w:tc>
          <w:tcPr>
            <w:tcW w:w="72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color w:val="auto"/>
              </w:rPr>
              <w:t>443</w:t>
            </w:r>
          </w:p>
        </w:tc>
        <w:tc>
          <w:tcPr>
            <w:tcW w:w="58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369</w:t>
            </w:r>
          </w:p>
        </w:tc>
      </w:tr>
      <w:tr>
        <w:trPr>
          <w:trHeight w:val="152"/>
        </w:trPr>
        <w:tc>
          <w:tcPr>
            <w:tcW w:w="43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Geely</w:t>
            </w: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86,620</w:t>
            </w:r>
          </w:p>
        </w:tc>
        <w:tc>
          <w:tcPr>
            <w:tcW w:w="7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423,215</w:t>
            </w: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3"/>
                <w:szCs w:val="13"/>
                <w:color w:val="auto"/>
              </w:rPr>
              <w:t>193,482</w:t>
            </w:r>
          </w:p>
        </w:tc>
        <w:tc>
          <w:tcPr>
            <w:tcW w:w="5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739,960</w:t>
            </w:r>
          </w:p>
        </w:tc>
      </w:tr>
      <w:tr>
        <w:trPr>
          <w:trHeight w:val="151"/>
        </w:trPr>
        <w:tc>
          <w:tcPr>
            <w:tcW w:w="434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Total</w:t>
            </w:r>
          </w:p>
        </w:tc>
        <w:tc>
          <w:tcPr>
            <w:tcW w:w="5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819,437</w:t>
            </w:r>
          </w:p>
        </w:tc>
        <w:tc>
          <w:tcPr>
            <w:tcW w:w="180" w:type="dxa"/>
            <w:vAlign w:val="bottom"/>
          </w:tcPr>
          <w:p>
            <w:pPr>
              <w:spacing w:after="0"/>
              <w:rPr>
                <w:sz w:val="13"/>
                <w:szCs w:val="13"/>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446,241</w:t>
            </w:r>
          </w:p>
        </w:tc>
        <w:tc>
          <w:tcPr>
            <w:tcW w:w="200" w:type="dxa"/>
            <w:vAlign w:val="bottom"/>
          </w:tcPr>
          <w:p>
            <w:pPr>
              <w:spacing w:after="0"/>
              <w:rPr>
                <w:sz w:val="13"/>
                <w:szCs w:val="13"/>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w w:val="99"/>
              </w:rPr>
              <w:t>1,679,126</w:t>
            </w:r>
          </w:p>
        </w:tc>
        <w:tc>
          <w:tcPr>
            <w:tcW w:w="180" w:type="dxa"/>
            <w:vAlign w:val="bottom"/>
          </w:tcPr>
          <w:p>
            <w:pPr>
              <w:spacing w:after="0"/>
              <w:rPr>
                <w:sz w:val="13"/>
                <w:szCs w:val="13"/>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w w:val="99"/>
              </w:rPr>
              <w:t>1,011,976</w:t>
            </w:r>
          </w:p>
        </w:tc>
        <w:tc>
          <w:tcPr>
            <w:tcW w:w="40" w:type="dxa"/>
            <w:vAlign w:val="bottom"/>
          </w:tcPr>
          <w:p>
            <w:pPr>
              <w:spacing w:after="0"/>
              <w:rPr>
                <w:sz w:val="13"/>
                <w:szCs w:val="13"/>
                <w:color w:val="auto"/>
              </w:rPr>
            </w:pPr>
          </w:p>
        </w:tc>
      </w:tr>
    </w:tbl>
    <w:p>
      <w:pPr>
        <w:spacing w:after="0" w:line="22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Cost of R&amp;D and intellectual property</w:t>
      </w:r>
    </w:p>
    <w:p>
      <w:pPr>
        <w:spacing w:after="0" w:line="80" w:lineRule="exact"/>
        <w:rPr>
          <w:sz w:val="20"/>
          <w:szCs w:val="20"/>
          <w:color w:val="auto"/>
        </w:rPr>
      </w:pPr>
    </w:p>
    <w:p>
      <w:pPr>
        <w:ind w:left="640" w:right="659"/>
        <w:spacing w:after="0" w:line="279" w:lineRule="auto"/>
        <w:rPr>
          <w:sz w:val="20"/>
          <w:szCs w:val="20"/>
          <w:color w:val="auto"/>
        </w:rPr>
      </w:pPr>
      <w:r>
        <w:rPr>
          <w:rFonts w:ascii="Times New Roman" w:cs="Times New Roman" w:eastAsia="Times New Roman" w:hAnsi="Times New Roman"/>
          <w:sz w:val="12"/>
          <w:szCs w:val="12"/>
          <w:color w:val="auto"/>
        </w:rPr>
        <w:t>Polestar Group entered into agreements with Volvo Cars and Geely regarding the development of technology. The Group is in control of the developed product either through a license or through ownership of the IP and the recognized asset reflects the relevant proportion of Polestar Group’s interest. The recognized asset associated with these agreements as of September 30, 2022 was $1,086,976, of which acquisitions attributable to 2022 were $201,699. As of December 31, 2021, the recognized asset associated with these agreements was $1,175,218 and acquisitions attributable to 2021 were $349,876.</w:t>
      </w:r>
    </w:p>
    <w:p>
      <w:pPr>
        <w:spacing w:after="0" w:line="190"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Amounts due to related parties</w:t>
      </w:r>
    </w:p>
    <w:p>
      <w:pPr>
        <w:spacing w:after="0" w:line="80" w:lineRule="exact"/>
        <w:rPr>
          <w:sz w:val="20"/>
          <w:szCs w:val="20"/>
          <w:color w:val="auto"/>
        </w:rPr>
      </w:pPr>
    </w:p>
    <w:p>
      <w:pPr>
        <w:ind w:left="640" w:right="699"/>
        <w:spacing w:after="0" w:line="267" w:lineRule="auto"/>
        <w:rPr>
          <w:sz w:val="20"/>
          <w:szCs w:val="20"/>
          <w:color w:val="auto"/>
        </w:rPr>
      </w:pPr>
      <w:r>
        <w:rPr>
          <w:rFonts w:ascii="Times New Roman" w:cs="Times New Roman" w:eastAsia="Times New Roman" w:hAnsi="Times New Roman"/>
          <w:sz w:val="13"/>
          <w:szCs w:val="13"/>
          <w:color w:val="auto"/>
        </w:rPr>
        <w:t>Amounts due to related parties include transactions from agreements associated with purchases of intangible assets, sales and distribution, procurement, manufacturing and other support with Volvo Cars and Geely.</w:t>
      </w:r>
    </w:p>
    <w:p>
      <w:pPr>
        <w:spacing w:after="0" w:line="127" w:lineRule="exact"/>
        <w:rPr>
          <w:sz w:val="20"/>
          <w:szCs w:val="20"/>
          <w:color w:val="auto"/>
        </w:rPr>
      </w:pPr>
    </w:p>
    <w:tbl>
      <w:tblPr>
        <w:tblLayout w:type="fixed"/>
        <w:tblInd w:w="1560" w:type="dxa"/>
        <w:tblCellMar>
          <w:top w:w="0" w:type="dxa"/>
          <w:left w:w="0" w:type="dxa"/>
          <w:bottom w:w="0" w:type="dxa"/>
          <w:right w:w="0" w:type="dxa"/>
        </w:tblCellMar>
      </w:tblPr>
      <w:tr>
        <w:trPr>
          <w:trHeight w:val="115"/>
        </w:trPr>
        <w:tc>
          <w:tcPr>
            <w:tcW w:w="4380" w:type="dxa"/>
            <w:vAlign w:val="bottom"/>
            <w:vMerge w:val="restart"/>
          </w:tcPr>
          <w:p>
            <w:pPr>
              <w:spacing w:after="0"/>
              <w:rPr>
                <w:sz w:val="20"/>
                <w:szCs w:val="20"/>
                <w:color w:val="auto"/>
              </w:rPr>
            </w:pPr>
            <w:r>
              <w:rPr>
                <w:rFonts w:ascii="Times New Roman" w:cs="Times New Roman" w:eastAsia="Times New Roman" w:hAnsi="Times New Roman"/>
                <w:sz w:val="10"/>
                <w:szCs w:val="10"/>
                <w:b w:val="1"/>
                <w:bCs w:val="1"/>
                <w:color w:val="auto"/>
              </w:rPr>
              <w:t>Trade payables - related parties, accrued expenses, and other current liabilities to</w:t>
            </w:r>
          </w:p>
        </w:tc>
        <w:tc>
          <w:tcPr>
            <w:tcW w:w="880" w:type="dxa"/>
            <w:vAlign w:val="bottom"/>
            <w:gridSpan w:val="2"/>
          </w:tcPr>
          <w:p>
            <w:pPr>
              <w:jc w:val="center"/>
              <w:ind w:right="260"/>
              <w:spacing w:after="0"/>
              <w:rPr>
                <w:sz w:val="20"/>
                <w:szCs w:val="20"/>
                <w:color w:val="auto"/>
              </w:rPr>
            </w:pPr>
            <w:r>
              <w:rPr>
                <w:rFonts w:ascii="Times New Roman" w:cs="Times New Roman" w:eastAsia="Times New Roman" w:hAnsi="Times New Roman"/>
                <w:sz w:val="10"/>
                <w:szCs w:val="10"/>
                <w:b w:val="1"/>
                <w:bCs w:val="1"/>
                <w:color w:val="auto"/>
              </w:rPr>
              <w:t>As of</w:t>
            </w:r>
          </w:p>
        </w:tc>
        <w:tc>
          <w:tcPr>
            <w:tcW w:w="620" w:type="dxa"/>
            <w:vAlign w:val="bottom"/>
            <w:gridSpan w:val="2"/>
          </w:tcPr>
          <w:p>
            <w:pPr>
              <w:jc w:val="center"/>
              <w:ind w:right="40"/>
              <w:spacing w:after="0"/>
              <w:rPr>
                <w:sz w:val="20"/>
                <w:szCs w:val="20"/>
                <w:color w:val="auto"/>
              </w:rPr>
            </w:pPr>
            <w:r>
              <w:rPr>
                <w:rFonts w:ascii="Times New Roman" w:cs="Times New Roman" w:eastAsia="Times New Roman" w:hAnsi="Times New Roman"/>
                <w:sz w:val="10"/>
                <w:szCs w:val="10"/>
                <w:b w:val="1"/>
                <w:bCs w:val="1"/>
                <w:color w:val="auto"/>
              </w:rPr>
              <w:t>As of</w:t>
            </w:r>
          </w:p>
        </w:tc>
        <w:tc>
          <w:tcPr>
            <w:tcW w:w="0" w:type="dxa"/>
            <w:vAlign w:val="bottom"/>
          </w:tcPr>
          <w:p>
            <w:pPr>
              <w:spacing w:after="0"/>
              <w:rPr>
                <w:sz w:val="1"/>
                <w:szCs w:val="1"/>
                <w:color w:val="auto"/>
              </w:rPr>
            </w:pPr>
          </w:p>
        </w:tc>
      </w:tr>
      <w:tr>
        <w:trPr>
          <w:trHeight w:val="104"/>
        </w:trPr>
        <w:tc>
          <w:tcPr>
            <w:tcW w:w="4380" w:type="dxa"/>
            <w:vAlign w:val="bottom"/>
            <w:vMerge w:val="continue"/>
          </w:tcPr>
          <w:p>
            <w:pPr>
              <w:spacing w:after="0"/>
              <w:rPr>
                <w:sz w:val="9"/>
                <w:szCs w:val="9"/>
                <w:color w:val="auto"/>
              </w:rPr>
            </w:pPr>
          </w:p>
        </w:tc>
        <w:tc>
          <w:tcPr>
            <w:tcW w:w="880" w:type="dxa"/>
            <w:vAlign w:val="bottom"/>
            <w:gridSpan w:val="2"/>
          </w:tcPr>
          <w:p>
            <w:pPr>
              <w:jc w:val="center"/>
              <w:ind w:right="260"/>
              <w:spacing w:after="0" w:line="104" w:lineRule="exact"/>
              <w:rPr>
                <w:sz w:val="20"/>
                <w:szCs w:val="20"/>
                <w:color w:val="auto"/>
              </w:rPr>
            </w:pPr>
            <w:r>
              <w:rPr>
                <w:rFonts w:ascii="Times New Roman" w:cs="Times New Roman" w:eastAsia="Times New Roman" w:hAnsi="Times New Roman"/>
                <w:sz w:val="10"/>
                <w:szCs w:val="10"/>
                <w:b w:val="1"/>
                <w:bCs w:val="1"/>
                <w:color w:val="auto"/>
              </w:rPr>
              <w:t>September 30,</w:t>
            </w:r>
          </w:p>
        </w:tc>
        <w:tc>
          <w:tcPr>
            <w:tcW w:w="620" w:type="dxa"/>
            <w:vAlign w:val="bottom"/>
            <w:gridSpan w:val="2"/>
          </w:tcPr>
          <w:p>
            <w:pPr>
              <w:jc w:val="center"/>
              <w:ind w:right="40"/>
              <w:spacing w:after="0" w:line="104" w:lineRule="exact"/>
              <w:rPr>
                <w:sz w:val="20"/>
                <w:szCs w:val="20"/>
                <w:color w:val="auto"/>
              </w:rPr>
            </w:pPr>
            <w:r>
              <w:rPr>
                <w:rFonts w:ascii="Times New Roman" w:cs="Times New Roman" w:eastAsia="Times New Roman" w:hAnsi="Times New Roman"/>
                <w:sz w:val="10"/>
                <w:szCs w:val="10"/>
                <w:b w:val="1"/>
                <w:bCs w:val="1"/>
                <w:color w:val="auto"/>
                <w:w w:val="99"/>
              </w:rPr>
              <w:t>December 31,</w:t>
            </w:r>
          </w:p>
        </w:tc>
        <w:tc>
          <w:tcPr>
            <w:tcW w:w="0" w:type="dxa"/>
            <w:vAlign w:val="bottom"/>
          </w:tcPr>
          <w:p>
            <w:pPr>
              <w:spacing w:after="0"/>
              <w:rPr>
                <w:sz w:val="1"/>
                <w:szCs w:val="1"/>
                <w:color w:val="auto"/>
              </w:rPr>
            </w:pPr>
          </w:p>
        </w:tc>
      </w:tr>
      <w:tr>
        <w:trPr>
          <w:trHeight w:val="121"/>
        </w:trPr>
        <w:tc>
          <w:tcPr>
            <w:tcW w:w="438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0"/>
                <w:szCs w:val="10"/>
                <w:b w:val="1"/>
                <w:bCs w:val="1"/>
                <w:color w:val="auto"/>
              </w:rPr>
              <w:t>related parties</w:t>
            </w:r>
          </w:p>
        </w:tc>
        <w:tc>
          <w:tcPr>
            <w:tcW w:w="6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0"/>
                <w:szCs w:val="10"/>
                <w:b w:val="1"/>
                <w:bCs w:val="1"/>
                <w:color w:val="auto"/>
                <w:w w:val="99"/>
              </w:rPr>
              <w:t>2022</w:t>
            </w:r>
          </w:p>
        </w:tc>
        <w:tc>
          <w:tcPr>
            <w:tcW w:w="260" w:type="dxa"/>
            <w:vAlign w:val="bottom"/>
            <w:tcBorders>
              <w:bottom w:val="single" w:sz="8" w:color="CCEEFF"/>
            </w:tcBorders>
          </w:tcPr>
          <w:p>
            <w:pPr>
              <w:spacing w:after="0"/>
              <w:rPr>
                <w:sz w:val="10"/>
                <w:szCs w:val="10"/>
                <w:color w:val="auto"/>
              </w:rPr>
            </w:pPr>
          </w:p>
        </w:tc>
        <w:tc>
          <w:tcPr>
            <w:tcW w:w="58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0"/>
                <w:szCs w:val="10"/>
                <w:b w:val="1"/>
                <w:bCs w:val="1"/>
                <w:color w:val="auto"/>
              </w:rPr>
              <w:t>2021</w:t>
            </w:r>
          </w:p>
        </w:tc>
        <w:tc>
          <w:tcPr>
            <w:tcW w:w="40" w:type="dxa"/>
            <w:vAlign w:val="bottom"/>
            <w:tcBorders>
              <w:bottom w:val="single" w:sz="8" w:color="CCEEFF"/>
            </w:tcBorders>
          </w:tcPr>
          <w:p>
            <w:pPr>
              <w:spacing w:after="0"/>
              <w:rPr>
                <w:sz w:val="10"/>
                <w:szCs w:val="10"/>
                <w:color w:val="auto"/>
              </w:rPr>
            </w:pPr>
          </w:p>
        </w:tc>
        <w:tc>
          <w:tcPr>
            <w:tcW w:w="0" w:type="dxa"/>
            <w:vAlign w:val="bottom"/>
          </w:tcPr>
          <w:p>
            <w:pPr>
              <w:spacing w:after="0"/>
              <w:rPr>
                <w:sz w:val="1"/>
                <w:szCs w:val="1"/>
                <w:color w:val="auto"/>
              </w:rPr>
            </w:pPr>
          </w:p>
        </w:tc>
      </w:tr>
      <w:tr>
        <w:trPr>
          <w:trHeight w:val="141"/>
        </w:trPr>
        <w:tc>
          <w:tcPr>
            <w:tcW w:w="4380" w:type="dxa"/>
            <w:vAlign w:val="bottom"/>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Volvo Cars</w:t>
            </w:r>
          </w:p>
        </w:tc>
        <w:tc>
          <w:tcPr>
            <w:tcW w:w="62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1,018,148</w:t>
            </w:r>
          </w:p>
        </w:tc>
        <w:tc>
          <w:tcPr>
            <w:tcW w:w="26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1,507,308</w:t>
            </w: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2"/>
        </w:trPr>
        <w:tc>
          <w:tcPr>
            <w:tcW w:w="4380" w:type="dxa"/>
            <w:vAlign w:val="bottom"/>
          </w:tcPr>
          <w:p>
            <w:pPr>
              <w:spacing w:after="0"/>
              <w:rPr>
                <w:sz w:val="20"/>
                <w:szCs w:val="20"/>
                <w:color w:val="auto"/>
              </w:rPr>
            </w:pPr>
            <w:r>
              <w:rPr>
                <w:rFonts w:ascii="Times New Roman" w:cs="Times New Roman" w:eastAsia="Times New Roman" w:hAnsi="Times New Roman"/>
                <w:sz w:val="13"/>
                <w:szCs w:val="13"/>
                <w:color w:val="auto"/>
              </w:rPr>
              <w:t>Geely</w:t>
            </w:r>
          </w:p>
        </w:tc>
        <w:tc>
          <w:tcPr>
            <w:tcW w:w="880" w:type="dxa"/>
            <w:vAlign w:val="bottom"/>
            <w:gridSpan w:val="2"/>
          </w:tcPr>
          <w:p>
            <w:pPr>
              <w:jc w:val="right"/>
              <w:ind w:right="260"/>
              <w:spacing w:after="0"/>
              <w:rPr>
                <w:sz w:val="20"/>
                <w:szCs w:val="20"/>
                <w:color w:val="auto"/>
              </w:rPr>
            </w:pPr>
            <w:r>
              <w:rPr>
                <w:rFonts w:ascii="Times New Roman" w:cs="Times New Roman" w:eastAsia="Times New Roman" w:hAnsi="Times New Roman"/>
                <w:sz w:val="13"/>
                <w:szCs w:val="13"/>
                <w:color w:val="auto"/>
              </w:rPr>
              <w:t>38,639</w:t>
            </w:r>
          </w:p>
        </w:tc>
        <w:tc>
          <w:tcPr>
            <w:tcW w:w="62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235,622</w:t>
            </w:r>
          </w:p>
        </w:tc>
        <w:tc>
          <w:tcPr>
            <w:tcW w:w="0" w:type="dxa"/>
            <w:vAlign w:val="bottom"/>
          </w:tcPr>
          <w:p>
            <w:pPr>
              <w:spacing w:after="0"/>
              <w:rPr>
                <w:sz w:val="1"/>
                <w:szCs w:val="1"/>
                <w:color w:val="auto"/>
              </w:rPr>
            </w:pPr>
          </w:p>
        </w:tc>
      </w:tr>
      <w:tr>
        <w:trPr>
          <w:trHeight w:val="152"/>
        </w:trPr>
        <w:tc>
          <w:tcPr>
            <w:tcW w:w="43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Volvofinans Bank AB</w:t>
            </w:r>
          </w:p>
        </w:tc>
        <w:tc>
          <w:tcPr>
            <w:tcW w:w="880" w:type="dxa"/>
            <w:vAlign w:val="bottom"/>
            <w:gridSpan w:val="2"/>
            <w:shd w:val="clear" w:color="auto" w:fill="CCEEFF"/>
          </w:tcPr>
          <w:p>
            <w:pPr>
              <w:jc w:val="right"/>
              <w:ind w:right="320"/>
              <w:spacing w:after="0"/>
              <w:rPr>
                <w:sz w:val="20"/>
                <w:szCs w:val="20"/>
                <w:color w:val="auto"/>
              </w:rPr>
            </w:pPr>
            <w:r>
              <w:rPr>
                <w:rFonts w:ascii="Times New Roman" w:cs="Times New Roman" w:eastAsia="Times New Roman" w:hAnsi="Times New Roman"/>
                <w:sz w:val="13"/>
                <w:szCs w:val="13"/>
                <w:color w:val="auto"/>
              </w:rPr>
              <w:t>—</w:t>
            </w:r>
          </w:p>
        </w:tc>
        <w:tc>
          <w:tcPr>
            <w:tcW w:w="6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504</w:t>
            </w:r>
          </w:p>
        </w:tc>
        <w:tc>
          <w:tcPr>
            <w:tcW w:w="0" w:type="dxa"/>
            <w:vAlign w:val="bottom"/>
          </w:tcPr>
          <w:p>
            <w:pPr>
              <w:spacing w:after="0"/>
              <w:rPr>
                <w:sz w:val="1"/>
                <w:szCs w:val="1"/>
                <w:color w:val="auto"/>
              </w:rPr>
            </w:pPr>
          </w:p>
        </w:tc>
      </w:tr>
      <w:tr>
        <w:trPr>
          <w:trHeight w:val="151"/>
        </w:trPr>
        <w:tc>
          <w:tcPr>
            <w:tcW w:w="438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Total</w:t>
            </w:r>
          </w:p>
        </w:tc>
        <w:tc>
          <w:tcPr>
            <w:tcW w:w="6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1,056,787</w:t>
            </w:r>
          </w:p>
        </w:tc>
        <w:tc>
          <w:tcPr>
            <w:tcW w:w="260" w:type="dxa"/>
            <w:vAlign w:val="bottom"/>
          </w:tcPr>
          <w:p>
            <w:pPr>
              <w:spacing w:after="0"/>
              <w:rPr>
                <w:sz w:val="13"/>
                <w:szCs w:val="13"/>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1,743,434</w:t>
            </w: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22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Amounts due from related parties</w:t>
      </w:r>
    </w:p>
    <w:p>
      <w:pPr>
        <w:spacing w:after="0" w:line="80"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Amounts due from related parties include transactions related to product development and sales and distribution agreements discussed above.</w:t>
      </w:r>
    </w:p>
    <w:p>
      <w:pPr>
        <w:spacing w:after="0" w:line="10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30</w:t>
      </w:r>
    </w:p>
    <w:p>
      <w:pPr>
        <w:sectPr>
          <w:pgSz w:w="11900" w:h="16838" w:orient="portrait"/>
          <w:cols w:equalWidth="0" w:num="1">
            <w:col w:w="9019"/>
          </w:cols>
          <w:pgMar w:left="1440" w:top="231" w:right="1440" w:bottom="1440" w:gutter="0" w:footer="0" w:header="0"/>
        </w:sectPr>
      </w:pPr>
    </w:p>
    <w:bookmarkStart w:id="87" w:name="page88"/>
    <w:bookmarkEnd w:id="87"/>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79" w:lineRule="exact"/>
        <w:rPr>
          <w:sz w:val="20"/>
          <w:szCs w:val="20"/>
          <w:color w:val="auto"/>
        </w:rPr>
      </w:pPr>
    </w:p>
    <w:tbl>
      <w:tblPr>
        <w:tblLayout w:type="fixed"/>
        <w:tblInd w:w="640" w:type="dxa"/>
        <w:tblCellMar>
          <w:top w:w="0" w:type="dxa"/>
          <w:left w:w="0" w:type="dxa"/>
          <w:bottom w:w="0" w:type="dxa"/>
          <w:right w:w="0" w:type="dxa"/>
        </w:tblCellMar>
      </w:tblPr>
      <w:tr>
        <w:trPr>
          <w:trHeight w:val="115"/>
        </w:trPr>
        <w:tc>
          <w:tcPr>
            <w:tcW w:w="32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368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gridSpan w:val="3"/>
          </w:tcPr>
          <w:p>
            <w:pPr>
              <w:ind w:left="80"/>
              <w:spacing w:after="0"/>
              <w:rPr>
                <w:sz w:val="20"/>
                <w:szCs w:val="20"/>
                <w:color w:val="auto"/>
              </w:rPr>
            </w:pPr>
            <w:r>
              <w:rPr>
                <w:rFonts w:ascii="Times New Roman" w:cs="Times New Roman" w:eastAsia="Times New Roman" w:hAnsi="Times New Roman"/>
                <w:sz w:val="10"/>
                <w:szCs w:val="10"/>
                <w:b w:val="1"/>
                <w:bCs w:val="1"/>
                <w:color w:val="auto"/>
              </w:rPr>
              <w:t>As of</w:t>
            </w:r>
          </w:p>
        </w:tc>
        <w:tc>
          <w:tcPr>
            <w:tcW w:w="60" w:type="dxa"/>
            <w:vAlign w:val="bottom"/>
          </w:tcPr>
          <w:p>
            <w:pPr>
              <w:spacing w:after="0"/>
              <w:rPr>
                <w:sz w:val="10"/>
                <w:szCs w:val="10"/>
                <w:color w:val="auto"/>
              </w:rPr>
            </w:pPr>
          </w:p>
        </w:tc>
        <w:tc>
          <w:tcPr>
            <w:tcW w:w="620" w:type="dxa"/>
            <w:vAlign w:val="bottom"/>
            <w:gridSpan w:val="2"/>
          </w:tcPr>
          <w:p>
            <w:pPr>
              <w:jc w:val="center"/>
              <w:ind w:right="40"/>
              <w:spacing w:after="0"/>
              <w:rPr>
                <w:sz w:val="20"/>
                <w:szCs w:val="20"/>
                <w:color w:val="auto"/>
              </w:rPr>
            </w:pPr>
            <w:r>
              <w:rPr>
                <w:rFonts w:ascii="Times New Roman" w:cs="Times New Roman" w:eastAsia="Times New Roman" w:hAnsi="Times New Roman"/>
                <w:sz w:val="10"/>
                <w:szCs w:val="10"/>
                <w:b w:val="1"/>
                <w:bCs w:val="1"/>
                <w:color w:val="auto"/>
              </w:rPr>
              <w:t>As of</w:t>
            </w:r>
          </w:p>
        </w:tc>
        <w:tc>
          <w:tcPr>
            <w:tcW w:w="6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4"/>
        </w:trPr>
        <w:tc>
          <w:tcPr>
            <w:tcW w:w="320" w:type="dxa"/>
            <w:vAlign w:val="bottom"/>
          </w:tcPr>
          <w:p>
            <w:pPr>
              <w:spacing w:after="0"/>
              <w:rPr>
                <w:sz w:val="9"/>
                <w:szCs w:val="9"/>
                <w:color w:val="auto"/>
              </w:rPr>
            </w:pPr>
          </w:p>
        </w:tc>
        <w:tc>
          <w:tcPr>
            <w:tcW w:w="600" w:type="dxa"/>
            <w:vAlign w:val="bottom"/>
          </w:tcPr>
          <w:p>
            <w:pPr>
              <w:spacing w:after="0"/>
              <w:rPr>
                <w:sz w:val="9"/>
                <w:szCs w:val="9"/>
                <w:color w:val="auto"/>
              </w:rPr>
            </w:pPr>
          </w:p>
        </w:tc>
        <w:tc>
          <w:tcPr>
            <w:tcW w:w="3680" w:type="dxa"/>
            <w:vAlign w:val="bottom"/>
            <w:vMerge w:val="restart"/>
          </w:tcPr>
          <w:p>
            <w:pPr>
              <w:spacing w:after="0"/>
              <w:rPr>
                <w:sz w:val="20"/>
                <w:szCs w:val="20"/>
                <w:color w:val="auto"/>
              </w:rPr>
            </w:pPr>
            <w:r>
              <w:rPr>
                <w:rFonts w:ascii="Times New Roman" w:cs="Times New Roman" w:eastAsia="Times New Roman" w:hAnsi="Times New Roman"/>
                <w:sz w:val="10"/>
                <w:szCs w:val="10"/>
                <w:b w:val="1"/>
                <w:bCs w:val="1"/>
                <w:color w:val="auto"/>
              </w:rPr>
              <w:t>Trade receivables - related parties and accrued income - related parties</w:t>
            </w: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920" w:type="dxa"/>
            <w:vAlign w:val="bottom"/>
            <w:gridSpan w:val="4"/>
          </w:tcPr>
          <w:p>
            <w:pPr>
              <w:jc w:val="right"/>
              <w:ind w:right="320"/>
              <w:spacing w:after="0" w:line="104" w:lineRule="exact"/>
              <w:rPr>
                <w:sz w:val="20"/>
                <w:szCs w:val="20"/>
                <w:color w:val="auto"/>
              </w:rPr>
            </w:pPr>
            <w:r>
              <w:rPr>
                <w:rFonts w:ascii="Times New Roman" w:cs="Times New Roman" w:eastAsia="Times New Roman" w:hAnsi="Times New Roman"/>
                <w:sz w:val="10"/>
                <w:szCs w:val="10"/>
                <w:b w:val="1"/>
                <w:bCs w:val="1"/>
                <w:color w:val="auto"/>
                <w:w w:val="94"/>
              </w:rPr>
              <w:t>September 30,</w:t>
            </w:r>
          </w:p>
        </w:tc>
        <w:tc>
          <w:tcPr>
            <w:tcW w:w="60" w:type="dxa"/>
            <w:vAlign w:val="bottom"/>
          </w:tcPr>
          <w:p>
            <w:pPr>
              <w:spacing w:after="0"/>
              <w:rPr>
                <w:sz w:val="9"/>
                <w:szCs w:val="9"/>
                <w:color w:val="auto"/>
              </w:rPr>
            </w:pPr>
          </w:p>
        </w:tc>
        <w:tc>
          <w:tcPr>
            <w:tcW w:w="620" w:type="dxa"/>
            <w:vAlign w:val="bottom"/>
            <w:gridSpan w:val="2"/>
          </w:tcPr>
          <w:p>
            <w:pPr>
              <w:jc w:val="center"/>
              <w:ind w:right="40"/>
              <w:spacing w:after="0" w:line="104" w:lineRule="exact"/>
              <w:rPr>
                <w:sz w:val="20"/>
                <w:szCs w:val="20"/>
                <w:color w:val="auto"/>
              </w:rPr>
            </w:pPr>
            <w:r>
              <w:rPr>
                <w:rFonts w:ascii="Times New Roman" w:cs="Times New Roman" w:eastAsia="Times New Roman" w:hAnsi="Times New Roman"/>
                <w:sz w:val="10"/>
                <w:szCs w:val="10"/>
                <w:b w:val="1"/>
                <w:bCs w:val="1"/>
                <w:color w:val="auto"/>
                <w:w w:val="99"/>
              </w:rPr>
              <w:t>December 31,</w:t>
            </w:r>
          </w:p>
        </w:tc>
        <w:tc>
          <w:tcPr>
            <w:tcW w:w="60" w:type="dxa"/>
            <w:vAlign w:val="bottom"/>
          </w:tcPr>
          <w:p>
            <w:pPr>
              <w:spacing w:after="0"/>
              <w:rPr>
                <w:sz w:val="9"/>
                <w:szCs w:val="9"/>
                <w:color w:val="auto"/>
              </w:rPr>
            </w:pPr>
          </w:p>
        </w:tc>
        <w:tc>
          <w:tcPr>
            <w:tcW w:w="520" w:type="dxa"/>
            <w:vAlign w:val="bottom"/>
          </w:tcPr>
          <w:p>
            <w:pPr>
              <w:spacing w:after="0"/>
              <w:rPr>
                <w:sz w:val="9"/>
                <w:szCs w:val="9"/>
                <w:color w:val="auto"/>
              </w:rPr>
            </w:pP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1"/>
        </w:trPr>
        <w:tc>
          <w:tcPr>
            <w:tcW w:w="32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3680" w:type="dxa"/>
            <w:vAlign w:val="bottom"/>
            <w:vMerge w:val="continue"/>
          </w:tcPr>
          <w:p>
            <w:pPr>
              <w:spacing w:after="0"/>
              <w:rPr>
                <w:sz w:val="10"/>
                <w:szCs w:val="10"/>
                <w:color w:val="auto"/>
              </w:rPr>
            </w:pPr>
          </w:p>
        </w:tc>
        <w:tc>
          <w:tcPr>
            <w:tcW w:w="4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00" w:type="dxa"/>
            <w:vAlign w:val="bottom"/>
            <w:gridSpan w:val="2"/>
          </w:tcPr>
          <w:p>
            <w:pPr>
              <w:ind w:left="200"/>
              <w:spacing w:after="0"/>
              <w:rPr>
                <w:sz w:val="20"/>
                <w:szCs w:val="20"/>
                <w:color w:val="auto"/>
              </w:rPr>
            </w:pPr>
            <w:r>
              <w:rPr>
                <w:rFonts w:ascii="Times New Roman" w:cs="Times New Roman" w:eastAsia="Times New Roman" w:hAnsi="Times New Roman"/>
                <w:sz w:val="10"/>
                <w:szCs w:val="10"/>
                <w:b w:val="1"/>
                <w:bCs w:val="1"/>
                <w:color w:val="auto"/>
              </w:rPr>
              <w:t>2022</w:t>
            </w:r>
          </w:p>
        </w:tc>
        <w:tc>
          <w:tcPr>
            <w:tcW w:w="10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500" w:type="dxa"/>
            <w:vAlign w:val="bottom"/>
            <w:gridSpan w:val="2"/>
          </w:tcPr>
          <w:p>
            <w:pPr>
              <w:jc w:val="center"/>
              <w:ind w:left="143"/>
              <w:spacing w:after="0"/>
              <w:rPr>
                <w:sz w:val="20"/>
                <w:szCs w:val="20"/>
                <w:color w:val="auto"/>
              </w:rPr>
            </w:pPr>
            <w:r>
              <w:rPr>
                <w:rFonts w:ascii="Times New Roman" w:cs="Times New Roman" w:eastAsia="Times New Roman" w:hAnsi="Times New Roman"/>
                <w:sz w:val="10"/>
                <w:szCs w:val="10"/>
                <w:b w:val="1"/>
                <w:bCs w:val="1"/>
                <w:color w:val="auto"/>
              </w:rPr>
              <w:t>2021</w:t>
            </w:r>
          </w:p>
        </w:tc>
        <w:tc>
          <w:tcPr>
            <w:tcW w:w="1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1"/>
        </w:trPr>
        <w:tc>
          <w:tcPr>
            <w:tcW w:w="3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3680" w:type="dxa"/>
            <w:vAlign w:val="bottom"/>
            <w:tcBorders>
              <w:top w:val="single" w:sz="8" w:color="CCEEFF"/>
            </w:tcBorders>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Volvo Cars</w:t>
            </w:r>
          </w:p>
        </w:tc>
        <w:tc>
          <w:tcPr>
            <w:tcW w:w="46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CCEEFF"/>
            </w:tcBorders>
            <w:shd w:val="clear" w:color="auto" w:fill="CCEEFF"/>
          </w:tcPr>
          <w:p>
            <w:pPr>
              <w:spacing w:after="0"/>
              <w:rPr>
                <w:sz w:val="12"/>
                <w:szCs w:val="12"/>
                <w:color w:val="auto"/>
              </w:rPr>
            </w:pPr>
          </w:p>
        </w:tc>
        <w:tc>
          <w:tcPr>
            <w:tcW w:w="600" w:type="dxa"/>
            <w:vAlign w:val="bottom"/>
            <w:tcBorders>
              <w:top w:val="single" w:sz="8" w:color="auto"/>
            </w:tcBorders>
            <w:gridSpan w:val="2"/>
            <w:shd w:val="clear" w:color="auto" w:fill="CCEEFF"/>
          </w:tcPr>
          <w:p>
            <w:pPr>
              <w:ind w:left="200"/>
              <w:spacing w:after="0" w:line="141" w:lineRule="exact"/>
              <w:rPr>
                <w:sz w:val="20"/>
                <w:szCs w:val="20"/>
                <w:color w:val="auto"/>
              </w:rPr>
            </w:pPr>
            <w:r>
              <w:rPr>
                <w:rFonts w:ascii="Times New Roman" w:cs="Times New Roman" w:eastAsia="Times New Roman" w:hAnsi="Times New Roman"/>
                <w:sz w:val="13"/>
                <w:szCs w:val="13"/>
                <w:color w:val="auto"/>
                <w:w w:val="89"/>
              </w:rPr>
              <w:t>117,036</w:t>
            </w:r>
          </w:p>
        </w:tc>
        <w:tc>
          <w:tcPr>
            <w:tcW w:w="100" w:type="dxa"/>
            <w:vAlign w:val="bottom"/>
            <w:tcBorders>
              <w:top w:val="single" w:sz="8" w:color="CCEEFF"/>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620" w:type="dxa"/>
            <w:vAlign w:val="bottom"/>
            <w:tcBorders>
              <w:top w:val="single" w:sz="8" w:color="auto"/>
              <w:right w:val="single" w:sz="8" w:color="CCEEFF"/>
            </w:tcBorders>
            <w:gridSpan w:val="2"/>
            <w:shd w:val="clear" w:color="auto" w:fill="CCEEFF"/>
          </w:tcPr>
          <w:p>
            <w:pPr>
              <w:jc w:val="right"/>
              <w:ind w:right="40"/>
              <w:spacing w:after="0" w:line="141" w:lineRule="exact"/>
              <w:rPr>
                <w:sz w:val="20"/>
                <w:szCs w:val="20"/>
                <w:color w:val="auto"/>
              </w:rPr>
            </w:pPr>
            <w:r>
              <w:rPr>
                <w:rFonts w:ascii="Times New Roman" w:cs="Times New Roman" w:eastAsia="Times New Roman" w:hAnsi="Times New Roman"/>
                <w:sz w:val="13"/>
                <w:szCs w:val="13"/>
                <w:color w:val="auto"/>
              </w:rPr>
              <w:t>15,457</w:t>
            </w:r>
          </w:p>
        </w:tc>
        <w:tc>
          <w:tcPr>
            <w:tcW w:w="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2"/>
        </w:trPr>
        <w:tc>
          <w:tcPr>
            <w:tcW w:w="3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3680" w:type="dxa"/>
            <w:vAlign w:val="bottom"/>
          </w:tcPr>
          <w:p>
            <w:pPr>
              <w:spacing w:after="0"/>
              <w:rPr>
                <w:sz w:val="20"/>
                <w:szCs w:val="20"/>
                <w:color w:val="auto"/>
              </w:rPr>
            </w:pPr>
            <w:r>
              <w:rPr>
                <w:rFonts w:ascii="Times New Roman" w:cs="Times New Roman" w:eastAsia="Times New Roman" w:hAnsi="Times New Roman"/>
                <w:sz w:val="13"/>
                <w:szCs w:val="13"/>
                <w:color w:val="auto"/>
              </w:rPr>
              <w:t>Geely</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00" w:type="dxa"/>
            <w:vAlign w:val="bottom"/>
            <w:gridSpan w:val="3"/>
          </w:tcPr>
          <w:p>
            <w:pPr>
              <w:jc w:val="right"/>
              <w:ind w:right="100"/>
              <w:spacing w:after="0"/>
              <w:rPr>
                <w:sz w:val="20"/>
                <w:szCs w:val="20"/>
                <w:color w:val="auto"/>
              </w:rPr>
            </w:pPr>
            <w:r>
              <w:rPr>
                <w:rFonts w:ascii="Times New Roman" w:cs="Times New Roman" w:eastAsia="Times New Roman" w:hAnsi="Times New Roman"/>
                <w:sz w:val="13"/>
                <w:szCs w:val="13"/>
                <w:color w:val="auto"/>
              </w:rPr>
              <w:t>1,614</w:t>
            </w:r>
          </w:p>
        </w:tc>
        <w:tc>
          <w:tcPr>
            <w:tcW w:w="220" w:type="dxa"/>
            <w:vAlign w:val="bottom"/>
          </w:tcPr>
          <w:p>
            <w:pPr>
              <w:spacing w:after="0"/>
              <w:rPr>
                <w:sz w:val="13"/>
                <w:szCs w:val="13"/>
                <w:color w:val="auto"/>
              </w:rPr>
            </w:pPr>
          </w:p>
        </w:tc>
        <w:tc>
          <w:tcPr>
            <w:tcW w:w="680" w:type="dxa"/>
            <w:vAlign w:val="bottom"/>
            <w:gridSpan w:val="3"/>
          </w:tcPr>
          <w:p>
            <w:pPr>
              <w:jc w:val="right"/>
              <w:ind w:right="40"/>
              <w:spacing w:after="0"/>
              <w:rPr>
                <w:sz w:val="20"/>
                <w:szCs w:val="20"/>
                <w:color w:val="auto"/>
              </w:rPr>
            </w:pPr>
            <w:r>
              <w:rPr>
                <w:rFonts w:ascii="Times New Roman" w:cs="Times New Roman" w:eastAsia="Times New Roman" w:hAnsi="Times New Roman"/>
                <w:sz w:val="13"/>
                <w:szCs w:val="13"/>
                <w:color w:val="auto"/>
              </w:rPr>
              <w:t>4,025</w:t>
            </w:r>
          </w:p>
        </w:tc>
        <w:tc>
          <w:tcPr>
            <w:tcW w:w="6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3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36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Volvofinans Bank AB</w:t>
            </w:r>
          </w:p>
        </w:tc>
        <w:tc>
          <w:tcPr>
            <w:tcW w:w="46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70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3"/>
                <w:szCs w:val="13"/>
                <w:color w:val="auto"/>
              </w:rPr>
              <w:t>2,059</w:t>
            </w:r>
          </w:p>
        </w:tc>
        <w:tc>
          <w:tcPr>
            <w:tcW w:w="220" w:type="dxa"/>
            <w:vAlign w:val="bottom"/>
            <w:shd w:val="clear" w:color="auto" w:fill="CCEEFF"/>
          </w:tcPr>
          <w:p>
            <w:pPr>
              <w:spacing w:after="0"/>
              <w:rPr>
                <w:sz w:val="13"/>
                <w:szCs w:val="13"/>
                <w:color w:val="auto"/>
              </w:rPr>
            </w:pPr>
          </w:p>
        </w:tc>
        <w:tc>
          <w:tcPr>
            <w:tcW w:w="680" w:type="dxa"/>
            <w:vAlign w:val="bottom"/>
            <w:tcBorders>
              <w:right w:val="single" w:sz="8" w:color="CCEEFF"/>
            </w:tcBorders>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color w:val="auto"/>
              </w:rPr>
              <w:t>309</w:t>
            </w:r>
          </w:p>
        </w:tc>
        <w:tc>
          <w:tcPr>
            <w:tcW w:w="6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3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368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Total</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00" w:type="dxa"/>
            <w:vAlign w:val="bottom"/>
            <w:tcBorders>
              <w:top w:val="single" w:sz="8" w:color="auto"/>
              <w:bottom w:val="single" w:sz="8" w:color="auto"/>
            </w:tcBorders>
            <w:gridSpan w:val="2"/>
          </w:tcPr>
          <w:p>
            <w:pPr>
              <w:ind w:left="200"/>
              <w:spacing w:after="0"/>
              <w:rPr>
                <w:sz w:val="20"/>
                <w:szCs w:val="20"/>
                <w:color w:val="auto"/>
              </w:rPr>
            </w:pPr>
            <w:r>
              <w:rPr>
                <w:rFonts w:ascii="Times New Roman" w:cs="Times New Roman" w:eastAsia="Times New Roman" w:hAnsi="Times New Roman"/>
                <w:sz w:val="13"/>
                <w:szCs w:val="13"/>
                <w:b w:val="1"/>
                <w:bCs w:val="1"/>
                <w:color w:val="auto"/>
                <w:w w:val="89"/>
              </w:rPr>
              <w:t>120,709</w:t>
            </w:r>
          </w:p>
        </w:tc>
        <w:tc>
          <w:tcPr>
            <w:tcW w:w="1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20" w:type="dxa"/>
            <w:vAlign w:val="bottom"/>
            <w:tcBorders>
              <w:top w:val="single" w:sz="8" w:color="auto"/>
              <w:bottom w:val="single" w:sz="8" w:color="auto"/>
            </w:tcBorders>
            <w:gridSpan w:val="2"/>
          </w:tcPr>
          <w:p>
            <w:pPr>
              <w:jc w:val="right"/>
              <w:ind w:right="40"/>
              <w:spacing w:after="0"/>
              <w:rPr>
                <w:sz w:val="20"/>
                <w:szCs w:val="20"/>
                <w:color w:val="auto"/>
              </w:rPr>
            </w:pPr>
            <w:r>
              <w:rPr>
                <w:rFonts w:ascii="Times New Roman" w:cs="Times New Roman" w:eastAsia="Times New Roman" w:hAnsi="Times New Roman"/>
                <w:sz w:val="13"/>
                <w:szCs w:val="13"/>
                <w:b w:val="1"/>
                <w:bCs w:val="1"/>
                <w:color w:val="auto"/>
              </w:rPr>
              <w:t>19,791</w:t>
            </w:r>
          </w:p>
        </w:tc>
        <w:tc>
          <w:tcPr>
            <w:tcW w:w="6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02"/>
        </w:trPr>
        <w:tc>
          <w:tcPr>
            <w:tcW w:w="5200" w:type="dxa"/>
            <w:vAlign w:val="bottom"/>
            <w:gridSpan w:val="5"/>
          </w:tcPr>
          <w:p>
            <w:pPr>
              <w:spacing w:after="0"/>
              <w:rPr>
                <w:sz w:val="20"/>
                <w:szCs w:val="20"/>
                <w:color w:val="auto"/>
              </w:rPr>
            </w:pPr>
            <w:r>
              <w:rPr>
                <w:rFonts w:ascii="Times New Roman" w:cs="Times New Roman" w:eastAsia="Times New Roman" w:hAnsi="Times New Roman"/>
                <w:sz w:val="13"/>
                <w:szCs w:val="13"/>
                <w:color w:val="auto"/>
              </w:rPr>
              <w:t>The Group’s interest expense on related party trade payables for amounts past due is as follows:</w:t>
            </w:r>
          </w:p>
        </w:tc>
        <w:tc>
          <w:tcPr>
            <w:tcW w:w="1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8"/>
        </w:trPr>
        <w:tc>
          <w:tcPr>
            <w:tcW w:w="32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3680" w:type="dxa"/>
            <w:vAlign w:val="bottom"/>
          </w:tcPr>
          <w:p>
            <w:pPr>
              <w:spacing w:after="0"/>
              <w:rPr>
                <w:sz w:val="22"/>
                <w:szCs w:val="22"/>
                <w:color w:val="auto"/>
              </w:rPr>
            </w:pPr>
          </w:p>
        </w:tc>
        <w:tc>
          <w:tcPr>
            <w:tcW w:w="1520" w:type="dxa"/>
            <w:vAlign w:val="bottom"/>
            <w:gridSpan w:val="6"/>
          </w:tcPr>
          <w:p>
            <w:pPr>
              <w:jc w:val="center"/>
              <w:ind w:right="220"/>
              <w:spacing w:after="0"/>
              <w:rPr>
                <w:sz w:val="20"/>
                <w:szCs w:val="20"/>
                <w:color w:val="auto"/>
              </w:rPr>
            </w:pPr>
            <w:r>
              <w:rPr>
                <w:rFonts w:ascii="Times New Roman" w:cs="Times New Roman" w:eastAsia="Times New Roman" w:hAnsi="Times New Roman"/>
                <w:sz w:val="10"/>
                <w:szCs w:val="10"/>
                <w:b w:val="1"/>
                <w:bCs w:val="1"/>
                <w:color w:val="auto"/>
                <w:w w:val="99"/>
              </w:rPr>
              <w:t>For the three months ended</w:t>
            </w:r>
          </w:p>
        </w:tc>
        <w:tc>
          <w:tcPr>
            <w:tcW w:w="1300" w:type="dxa"/>
            <w:vAlign w:val="bottom"/>
            <w:gridSpan w:val="6"/>
          </w:tcPr>
          <w:p>
            <w:pPr>
              <w:jc w:val="center"/>
              <w:ind w:right="40"/>
              <w:spacing w:after="0"/>
              <w:rPr>
                <w:sz w:val="20"/>
                <w:szCs w:val="20"/>
                <w:color w:val="auto"/>
              </w:rPr>
            </w:pPr>
            <w:r>
              <w:rPr>
                <w:rFonts w:ascii="Times New Roman" w:cs="Times New Roman" w:eastAsia="Times New Roman" w:hAnsi="Times New Roman"/>
                <w:sz w:val="10"/>
                <w:szCs w:val="10"/>
                <w:b w:val="1"/>
                <w:bCs w:val="1"/>
                <w:color w:val="auto"/>
                <w:w w:val="99"/>
              </w:rPr>
              <w:t>For the nine months ended</w:t>
            </w:r>
          </w:p>
        </w:tc>
        <w:tc>
          <w:tcPr>
            <w:tcW w:w="0" w:type="dxa"/>
            <w:vAlign w:val="bottom"/>
          </w:tcPr>
          <w:p>
            <w:pPr>
              <w:spacing w:after="0"/>
              <w:rPr>
                <w:sz w:val="1"/>
                <w:szCs w:val="1"/>
                <w:color w:val="auto"/>
              </w:rPr>
            </w:pPr>
          </w:p>
        </w:tc>
      </w:tr>
      <w:tr>
        <w:trPr>
          <w:trHeight w:val="121"/>
        </w:trPr>
        <w:tc>
          <w:tcPr>
            <w:tcW w:w="32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3680" w:type="dxa"/>
            <w:vAlign w:val="bottom"/>
          </w:tcPr>
          <w:p>
            <w:pPr>
              <w:spacing w:after="0"/>
              <w:rPr>
                <w:sz w:val="10"/>
                <w:szCs w:val="10"/>
                <w:color w:val="auto"/>
              </w:rPr>
            </w:pPr>
          </w:p>
        </w:tc>
        <w:tc>
          <w:tcPr>
            <w:tcW w:w="1520" w:type="dxa"/>
            <w:vAlign w:val="bottom"/>
            <w:gridSpan w:val="6"/>
          </w:tcPr>
          <w:p>
            <w:pPr>
              <w:jc w:val="center"/>
              <w:ind w:right="220"/>
              <w:spacing w:after="0"/>
              <w:rPr>
                <w:sz w:val="20"/>
                <w:szCs w:val="20"/>
                <w:color w:val="auto"/>
              </w:rPr>
            </w:pPr>
            <w:r>
              <w:rPr>
                <w:rFonts w:ascii="Times New Roman" w:cs="Times New Roman" w:eastAsia="Times New Roman" w:hAnsi="Times New Roman"/>
                <w:sz w:val="10"/>
                <w:szCs w:val="10"/>
                <w:b w:val="1"/>
                <w:bCs w:val="1"/>
                <w:color w:val="auto"/>
              </w:rPr>
              <w:t>September 30,</w:t>
            </w:r>
          </w:p>
        </w:tc>
        <w:tc>
          <w:tcPr>
            <w:tcW w:w="60" w:type="dxa"/>
            <w:vAlign w:val="bottom"/>
          </w:tcPr>
          <w:p>
            <w:pPr>
              <w:spacing w:after="0"/>
              <w:rPr>
                <w:sz w:val="10"/>
                <w:szCs w:val="10"/>
                <w:color w:val="auto"/>
              </w:rPr>
            </w:pPr>
          </w:p>
        </w:tc>
        <w:tc>
          <w:tcPr>
            <w:tcW w:w="1240" w:type="dxa"/>
            <w:vAlign w:val="bottom"/>
            <w:gridSpan w:val="5"/>
          </w:tcPr>
          <w:p>
            <w:pPr>
              <w:jc w:val="center"/>
              <w:ind w:right="100"/>
              <w:spacing w:after="0"/>
              <w:rPr>
                <w:sz w:val="20"/>
                <w:szCs w:val="20"/>
                <w:color w:val="auto"/>
              </w:rPr>
            </w:pPr>
            <w:r>
              <w:rPr>
                <w:rFonts w:ascii="Times New Roman" w:cs="Times New Roman" w:eastAsia="Times New Roman" w:hAnsi="Times New Roman"/>
                <w:sz w:val="10"/>
                <w:szCs w:val="10"/>
                <w:b w:val="1"/>
                <w:bCs w:val="1"/>
                <w:color w:val="auto"/>
              </w:rPr>
              <w:t>September 30,</w:t>
            </w:r>
          </w:p>
        </w:tc>
        <w:tc>
          <w:tcPr>
            <w:tcW w:w="0" w:type="dxa"/>
            <w:vAlign w:val="bottom"/>
          </w:tcPr>
          <w:p>
            <w:pPr>
              <w:spacing w:after="0"/>
              <w:rPr>
                <w:sz w:val="1"/>
                <w:szCs w:val="1"/>
                <w:color w:val="auto"/>
              </w:rPr>
            </w:pPr>
          </w:p>
        </w:tc>
      </w:tr>
      <w:tr>
        <w:trPr>
          <w:trHeight w:val="94"/>
        </w:trPr>
        <w:tc>
          <w:tcPr>
            <w:tcW w:w="320" w:type="dxa"/>
            <w:vAlign w:val="bottom"/>
          </w:tcPr>
          <w:p>
            <w:pPr>
              <w:spacing w:after="0"/>
              <w:rPr>
                <w:sz w:val="8"/>
                <w:szCs w:val="8"/>
                <w:color w:val="auto"/>
              </w:rPr>
            </w:pPr>
          </w:p>
        </w:tc>
        <w:tc>
          <w:tcPr>
            <w:tcW w:w="600" w:type="dxa"/>
            <w:vAlign w:val="bottom"/>
          </w:tcPr>
          <w:p>
            <w:pPr>
              <w:spacing w:after="0"/>
              <w:rPr>
                <w:sz w:val="8"/>
                <w:szCs w:val="8"/>
                <w:color w:val="auto"/>
              </w:rPr>
            </w:pPr>
          </w:p>
        </w:tc>
        <w:tc>
          <w:tcPr>
            <w:tcW w:w="3680" w:type="dxa"/>
            <w:vAlign w:val="bottom"/>
          </w:tcPr>
          <w:p>
            <w:pPr>
              <w:spacing w:after="0"/>
              <w:rPr>
                <w:sz w:val="8"/>
                <w:szCs w:val="8"/>
                <w:color w:val="auto"/>
              </w:rPr>
            </w:pPr>
          </w:p>
        </w:tc>
        <w:tc>
          <w:tcPr>
            <w:tcW w:w="460" w:type="dxa"/>
            <w:vAlign w:val="bottom"/>
            <w:tcBorders>
              <w:top w:val="single" w:sz="8" w:color="auto"/>
            </w:tcBorders>
          </w:tcPr>
          <w:p>
            <w:pPr>
              <w:jc w:val="right"/>
              <w:ind w:right="66"/>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40" w:type="dxa"/>
            <w:vAlign w:val="bottom"/>
            <w:tcBorders>
              <w:top w:val="single" w:sz="8" w:color="auto"/>
            </w:tcBorders>
          </w:tcPr>
          <w:p>
            <w:pPr>
              <w:spacing w:after="0"/>
              <w:rPr>
                <w:sz w:val="8"/>
                <w:szCs w:val="8"/>
                <w:color w:val="auto"/>
              </w:rPr>
            </w:pPr>
          </w:p>
        </w:tc>
        <w:tc>
          <w:tcPr>
            <w:tcW w:w="600" w:type="dxa"/>
            <w:vAlign w:val="bottom"/>
            <w:tcBorders>
              <w:top w:val="single" w:sz="8" w:color="auto"/>
            </w:tcBorders>
            <w:gridSpan w:val="2"/>
          </w:tcPr>
          <w:p>
            <w:pPr>
              <w:jc w:val="right"/>
              <w:ind w:right="43"/>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100" w:type="dxa"/>
            <w:vAlign w:val="bottom"/>
            <w:tcBorders>
              <w:top w:val="single" w:sz="8" w:color="auto"/>
            </w:tcBorders>
          </w:tcPr>
          <w:p>
            <w:pPr>
              <w:spacing w:after="0"/>
              <w:rPr>
                <w:sz w:val="8"/>
                <w:szCs w:val="8"/>
                <w:color w:val="auto"/>
              </w:rPr>
            </w:pPr>
          </w:p>
        </w:tc>
        <w:tc>
          <w:tcPr>
            <w:tcW w:w="220" w:type="dxa"/>
            <w:vAlign w:val="bottom"/>
          </w:tcPr>
          <w:p>
            <w:pPr>
              <w:spacing w:after="0"/>
              <w:rPr>
                <w:sz w:val="8"/>
                <w:szCs w:val="8"/>
                <w:color w:val="auto"/>
              </w:rPr>
            </w:pPr>
          </w:p>
        </w:tc>
        <w:tc>
          <w:tcPr>
            <w:tcW w:w="500" w:type="dxa"/>
            <w:vAlign w:val="bottom"/>
            <w:tcBorders>
              <w:top w:val="single" w:sz="8" w:color="auto"/>
            </w:tcBorders>
            <w:gridSpan w:val="2"/>
          </w:tcPr>
          <w:p>
            <w:pPr>
              <w:ind w:left="140"/>
              <w:spacing w:after="0" w:line="94" w:lineRule="exact"/>
              <w:rPr>
                <w:sz w:val="20"/>
                <w:szCs w:val="20"/>
                <w:color w:val="auto"/>
              </w:rPr>
            </w:pPr>
            <w:r>
              <w:rPr>
                <w:rFonts w:ascii="Times New Roman" w:cs="Times New Roman" w:eastAsia="Times New Roman" w:hAnsi="Times New Roman"/>
                <w:sz w:val="10"/>
                <w:szCs w:val="10"/>
                <w:b w:val="1"/>
                <w:bCs w:val="1"/>
                <w:color w:val="auto"/>
              </w:rPr>
              <w:t>2022</w:t>
            </w:r>
          </w:p>
        </w:tc>
        <w:tc>
          <w:tcPr>
            <w:tcW w:w="180" w:type="dxa"/>
            <w:vAlign w:val="bottom"/>
            <w:tcBorders>
              <w:top w:val="single" w:sz="8" w:color="auto"/>
            </w:tcBorders>
          </w:tcPr>
          <w:p>
            <w:pPr>
              <w:spacing w:after="0"/>
              <w:rPr>
                <w:sz w:val="8"/>
                <w:szCs w:val="8"/>
                <w:color w:val="auto"/>
              </w:rPr>
            </w:pPr>
          </w:p>
        </w:tc>
        <w:tc>
          <w:tcPr>
            <w:tcW w:w="580" w:type="dxa"/>
            <w:vAlign w:val="bottom"/>
            <w:tcBorders>
              <w:top w:val="single" w:sz="8" w:color="auto"/>
            </w:tcBorders>
            <w:gridSpan w:val="2"/>
          </w:tcPr>
          <w:p>
            <w:pPr>
              <w:ind w:left="220"/>
              <w:spacing w:after="0" w:line="94" w:lineRule="exact"/>
              <w:rPr>
                <w:sz w:val="20"/>
                <w:szCs w:val="20"/>
                <w:color w:val="auto"/>
              </w:rPr>
            </w:pPr>
            <w:r>
              <w:rPr>
                <w:rFonts w:ascii="Times New Roman" w:cs="Times New Roman" w:eastAsia="Times New Roman" w:hAnsi="Times New Roman"/>
                <w:sz w:val="10"/>
                <w:szCs w:val="10"/>
                <w:b w:val="1"/>
                <w:bCs w:val="1"/>
                <w:color w:val="auto"/>
              </w:rPr>
              <w:t>2021</w:t>
            </w:r>
          </w:p>
        </w:tc>
        <w:tc>
          <w:tcPr>
            <w:tcW w:w="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41"/>
        </w:trPr>
        <w:tc>
          <w:tcPr>
            <w:tcW w:w="320" w:type="dxa"/>
            <w:vAlign w:val="bottom"/>
          </w:tcPr>
          <w:p>
            <w:pPr>
              <w:spacing w:after="0"/>
              <w:rPr>
                <w:sz w:val="12"/>
                <w:szCs w:val="12"/>
                <w:color w:val="auto"/>
              </w:rPr>
            </w:pPr>
          </w:p>
        </w:tc>
        <w:tc>
          <w:tcPr>
            <w:tcW w:w="4280" w:type="dxa"/>
            <w:vAlign w:val="bottom"/>
            <w:tcBorders>
              <w:top w:val="single" w:sz="8" w:color="CCEEFF"/>
            </w:tcBorders>
            <w:gridSpan w:val="2"/>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Interest expense on related party trade payables</w:t>
            </w:r>
          </w:p>
        </w:tc>
        <w:tc>
          <w:tcPr>
            <w:tcW w:w="46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3,994</w:t>
            </w:r>
          </w:p>
        </w:tc>
        <w:tc>
          <w:tcPr>
            <w:tcW w:w="14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600" w:type="dxa"/>
            <w:vAlign w:val="bottom"/>
            <w:tcBorders>
              <w:top w:val="single" w:sz="8" w:color="auto"/>
            </w:tcBorders>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15,277</w:t>
            </w:r>
          </w:p>
        </w:tc>
        <w:tc>
          <w:tcPr>
            <w:tcW w:w="220" w:type="dxa"/>
            <w:vAlign w:val="bottom"/>
            <w:tcBorders>
              <w:top w:val="single" w:sz="8" w:color="CCEEFF"/>
            </w:tcBorders>
            <w:shd w:val="clear" w:color="auto" w:fill="CCEEFF"/>
          </w:tcPr>
          <w:p>
            <w:pPr>
              <w:spacing w:after="0"/>
              <w:rPr>
                <w:sz w:val="12"/>
                <w:szCs w:val="12"/>
                <w:color w:val="auto"/>
              </w:rPr>
            </w:pPr>
          </w:p>
        </w:tc>
        <w:tc>
          <w:tcPr>
            <w:tcW w:w="500" w:type="dxa"/>
            <w:vAlign w:val="bottom"/>
            <w:tcBorders>
              <w:top w:val="single" w:sz="8" w:color="auto"/>
            </w:tcBorders>
            <w:gridSpan w:val="2"/>
            <w:shd w:val="clear" w:color="auto" w:fill="CCEEFF"/>
          </w:tcPr>
          <w:p>
            <w:pPr>
              <w:ind w:left="160"/>
              <w:spacing w:after="0" w:line="141" w:lineRule="exact"/>
              <w:rPr>
                <w:sz w:val="20"/>
                <w:szCs w:val="20"/>
                <w:color w:val="auto"/>
              </w:rPr>
            </w:pPr>
            <w:r>
              <w:rPr>
                <w:rFonts w:ascii="Times New Roman" w:cs="Times New Roman" w:eastAsia="Times New Roman" w:hAnsi="Times New Roman"/>
                <w:sz w:val="13"/>
                <w:szCs w:val="13"/>
                <w:color w:val="auto"/>
                <w:w w:val="89"/>
              </w:rPr>
              <w:t>28,269</w:t>
            </w:r>
          </w:p>
        </w:tc>
        <w:tc>
          <w:tcPr>
            <w:tcW w:w="180" w:type="dxa"/>
            <w:vAlign w:val="bottom"/>
            <w:tcBorders>
              <w:top w:val="single" w:sz="8" w:color="CCEEFF"/>
              <w:right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ind w:left="180"/>
              <w:spacing w:after="0" w:line="141" w:lineRule="exact"/>
              <w:rPr>
                <w:sz w:val="20"/>
                <w:szCs w:val="20"/>
                <w:color w:val="auto"/>
              </w:rPr>
            </w:pPr>
            <w:r>
              <w:rPr>
                <w:rFonts w:ascii="Times New Roman" w:cs="Times New Roman" w:eastAsia="Times New Roman" w:hAnsi="Times New Roman"/>
                <w:sz w:val="13"/>
                <w:szCs w:val="13"/>
                <w:color w:val="auto"/>
                <w:w w:val="89"/>
              </w:rPr>
              <w:t>18,129</w:t>
            </w:r>
          </w:p>
        </w:tc>
        <w:tc>
          <w:tcPr>
            <w:tcW w:w="4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213"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Note 9 - Reverse recapitalization</w:t>
      </w:r>
    </w:p>
    <w:p>
      <w:pPr>
        <w:spacing w:after="0" w:line="80" w:lineRule="exact"/>
        <w:rPr>
          <w:sz w:val="20"/>
          <w:szCs w:val="20"/>
          <w:color w:val="auto"/>
        </w:rPr>
      </w:pPr>
    </w:p>
    <w:p>
      <w:pPr>
        <w:ind w:left="640" w:right="659"/>
        <w:spacing w:after="0" w:line="251" w:lineRule="auto"/>
        <w:rPr>
          <w:sz w:val="20"/>
          <w:szCs w:val="20"/>
          <w:color w:val="auto"/>
        </w:rPr>
      </w:pPr>
      <w:r>
        <w:rPr>
          <w:rFonts w:ascii="Times New Roman" w:cs="Times New Roman" w:eastAsia="Times New Roman" w:hAnsi="Times New Roman"/>
          <w:sz w:val="13"/>
          <w:szCs w:val="13"/>
          <w:color w:val="auto"/>
        </w:rPr>
        <w:t>As previously outlined in Note 1 - Significant accounting policies and judgements, Polestar underwent a reverse recapitalization through the merger with GGI and related arrangements. Under this type of transaction structure, Polestar Group is the accounting acquirer and accounting predecessor while GGI is treated as the acquired entity for financial reporting purposes. The Group was deemed to be the accounting acquirer based on an evaluation of the following facts and circumstances:</w:t>
      </w:r>
    </w:p>
    <w:p>
      <w:pPr>
        <w:spacing w:after="0" w:line="66" w:lineRule="exact"/>
        <w:rPr>
          <w:sz w:val="20"/>
          <w:szCs w:val="20"/>
          <w:color w:val="auto"/>
        </w:rPr>
      </w:pPr>
    </w:p>
    <w:p>
      <w:pPr>
        <w:ind w:left="1320" w:hanging="303"/>
        <w:spacing w:after="0"/>
        <w:tabs>
          <w:tab w:leader="none" w:pos="1320" w:val="left"/>
        </w:tabs>
        <w:numPr>
          <w:ilvl w:val="0"/>
          <w:numId w:val="16"/>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Shareholders of the Former Parent retained the largest voting interest in the Group with over 99% of the voting interests;</w:t>
      </w:r>
    </w:p>
    <w:p>
      <w:pPr>
        <w:spacing w:after="0" w:line="87" w:lineRule="exact"/>
        <w:rPr>
          <w:rFonts w:ascii="Times New Roman" w:cs="Times New Roman" w:eastAsia="Times New Roman" w:hAnsi="Times New Roman"/>
          <w:sz w:val="13"/>
          <w:szCs w:val="13"/>
          <w:color w:val="auto"/>
        </w:rPr>
      </w:pPr>
    </w:p>
    <w:p>
      <w:pPr>
        <w:ind w:left="1320" w:right="739" w:hanging="303"/>
        <w:spacing w:after="0" w:line="267" w:lineRule="auto"/>
        <w:tabs>
          <w:tab w:leader="none" w:pos="1320" w:val="left"/>
        </w:tabs>
        <w:numPr>
          <w:ilvl w:val="0"/>
          <w:numId w:val="16"/>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the Board of Directors of the Group comprises four members nominated by the Former Parent, as compared to one member nominated by certain investors in GGI;</w:t>
      </w:r>
    </w:p>
    <w:p>
      <w:pPr>
        <w:spacing w:after="0" w:line="55" w:lineRule="exact"/>
        <w:rPr>
          <w:rFonts w:ascii="Times New Roman" w:cs="Times New Roman" w:eastAsia="Times New Roman" w:hAnsi="Times New Roman"/>
          <w:sz w:val="13"/>
          <w:szCs w:val="13"/>
          <w:color w:val="auto"/>
        </w:rPr>
      </w:pPr>
    </w:p>
    <w:p>
      <w:pPr>
        <w:ind w:left="1320" w:hanging="303"/>
        <w:spacing w:after="0"/>
        <w:tabs>
          <w:tab w:leader="none" w:pos="1320" w:val="left"/>
        </w:tabs>
        <w:numPr>
          <w:ilvl w:val="0"/>
          <w:numId w:val="16"/>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the Former Parent has the ability to appoint the remaining members of the Board as deemed necessary;</w:t>
      </w:r>
    </w:p>
    <w:p>
      <w:pPr>
        <w:spacing w:after="0" w:line="87" w:lineRule="exact"/>
        <w:rPr>
          <w:rFonts w:ascii="Times New Roman" w:cs="Times New Roman" w:eastAsia="Times New Roman" w:hAnsi="Times New Roman"/>
          <w:sz w:val="13"/>
          <w:szCs w:val="13"/>
          <w:color w:val="auto"/>
        </w:rPr>
      </w:pPr>
    </w:p>
    <w:p>
      <w:pPr>
        <w:ind w:left="1320" w:hanging="303"/>
        <w:spacing w:after="0"/>
        <w:tabs>
          <w:tab w:leader="none" w:pos="1320" w:val="left"/>
        </w:tabs>
        <w:numPr>
          <w:ilvl w:val="0"/>
          <w:numId w:val="16"/>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the Former Parent’s senior management is the senior management of the Group;</w:t>
      </w:r>
    </w:p>
    <w:p>
      <w:pPr>
        <w:spacing w:after="0" w:line="87" w:lineRule="exact"/>
        <w:rPr>
          <w:rFonts w:ascii="Times New Roman" w:cs="Times New Roman" w:eastAsia="Times New Roman" w:hAnsi="Times New Roman"/>
          <w:sz w:val="13"/>
          <w:szCs w:val="13"/>
          <w:color w:val="auto"/>
        </w:rPr>
      </w:pPr>
    </w:p>
    <w:p>
      <w:pPr>
        <w:ind w:left="1320" w:hanging="303"/>
        <w:spacing w:after="0"/>
        <w:tabs>
          <w:tab w:leader="none" w:pos="1320" w:val="left"/>
        </w:tabs>
        <w:numPr>
          <w:ilvl w:val="0"/>
          <w:numId w:val="16"/>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the Former Parent’s operations comprise substantially all of the ongoing operations of the Group following the merger with GGI; and</w:t>
      </w:r>
    </w:p>
    <w:p>
      <w:pPr>
        <w:spacing w:after="0" w:line="87" w:lineRule="exact"/>
        <w:rPr>
          <w:rFonts w:ascii="Times New Roman" w:cs="Times New Roman" w:eastAsia="Times New Roman" w:hAnsi="Times New Roman"/>
          <w:sz w:val="13"/>
          <w:szCs w:val="13"/>
          <w:color w:val="auto"/>
        </w:rPr>
      </w:pPr>
    </w:p>
    <w:p>
      <w:pPr>
        <w:ind w:left="1320" w:right="899" w:hanging="303"/>
        <w:spacing w:after="0" w:line="267" w:lineRule="auto"/>
        <w:tabs>
          <w:tab w:leader="none" w:pos="1320" w:val="left"/>
        </w:tabs>
        <w:numPr>
          <w:ilvl w:val="0"/>
          <w:numId w:val="16"/>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the Group was the larger entity by substantive operations and employee base while GGI lacked operating activities and maintained net assets principally comprised of cash.</w:t>
      </w:r>
    </w:p>
    <w:p>
      <w:pPr>
        <w:spacing w:after="0" w:line="120" w:lineRule="exact"/>
        <w:rPr>
          <w:sz w:val="20"/>
          <w:szCs w:val="20"/>
          <w:color w:val="auto"/>
        </w:rPr>
      </w:pPr>
    </w:p>
    <w:p>
      <w:pPr>
        <w:ind w:left="640" w:right="679"/>
        <w:spacing w:after="0" w:line="248" w:lineRule="auto"/>
        <w:rPr>
          <w:sz w:val="20"/>
          <w:szCs w:val="20"/>
          <w:color w:val="auto"/>
        </w:rPr>
      </w:pPr>
      <w:r>
        <w:rPr>
          <w:rFonts w:ascii="Times New Roman" w:cs="Times New Roman" w:eastAsia="Times New Roman" w:hAnsi="Times New Roman"/>
          <w:sz w:val="13"/>
          <w:szCs w:val="13"/>
          <w:color w:val="auto"/>
        </w:rPr>
        <w:t xml:space="preserve">Therefore, GGI did not meet the definition of a business in accordance with IFRS 3, </w:t>
      </w:r>
      <w:r>
        <w:rPr>
          <w:rFonts w:ascii="Times New Roman" w:cs="Times New Roman" w:eastAsia="Times New Roman" w:hAnsi="Times New Roman"/>
          <w:sz w:val="13"/>
          <w:szCs w:val="13"/>
          <w:i w:val="1"/>
          <w:iCs w:val="1"/>
          <w:color w:val="auto"/>
        </w:rPr>
        <w:t>Business Combinations</w:t>
      </w:r>
      <w:r>
        <w:rPr>
          <w:rFonts w:ascii="Times New Roman" w:cs="Times New Roman" w:eastAsia="Times New Roman" w:hAnsi="Times New Roman"/>
          <w:sz w:val="13"/>
          <w:szCs w:val="13"/>
          <w:color w:val="auto"/>
        </w:rPr>
        <w:t xml:space="preserve"> (“IFRS 3”), and the merger with GGI was instead accounted for within the scope of IFRS 2, </w:t>
      </w:r>
      <w:r>
        <w:rPr>
          <w:rFonts w:ascii="Times New Roman" w:cs="Times New Roman" w:eastAsia="Times New Roman" w:hAnsi="Times New Roman"/>
          <w:sz w:val="13"/>
          <w:szCs w:val="13"/>
          <w:i w:val="1"/>
          <w:iCs w:val="1"/>
          <w:color w:val="auto"/>
        </w:rPr>
        <w:t>Share-based payment</w:t>
      </w:r>
      <w:r>
        <w:rPr>
          <w:rFonts w:ascii="Times New Roman" w:cs="Times New Roman" w:eastAsia="Times New Roman" w:hAnsi="Times New Roman"/>
          <w:sz w:val="13"/>
          <w:szCs w:val="13"/>
          <w:color w:val="auto"/>
        </w:rPr>
        <w:t xml:space="preserve"> (“IFRS 2”), as a share-based payment transaction in exchange for a public listing service. Under IFRS 2, the Group recorded a one-time share-based expense of $372,318 at the Closing of the BCA that was calculated based on the excess of the fair value of the Group issued to public investors via Class A Shares in ListCo utilizing the publicly traded share price at the Closing of $11.23 over the fair value of the identifiable net assets of GGI that were acquired. The amount of GGI’s identifiable net assets of acquired at Closing, were as follows:</w:t>
      </w:r>
    </w:p>
    <w:p>
      <w:pPr>
        <w:spacing w:after="0" w:line="8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31</w:t>
      </w:r>
    </w:p>
    <w:p>
      <w:pPr>
        <w:sectPr>
          <w:pgSz w:w="11900" w:h="16838" w:orient="portrait"/>
          <w:cols w:equalWidth="0" w:num="1">
            <w:col w:w="9019"/>
          </w:cols>
          <w:pgMar w:left="1440" w:top="231" w:right="1440" w:bottom="1440" w:gutter="0" w:footer="0" w:header="0"/>
        </w:sectPr>
      </w:pPr>
    </w:p>
    <w:bookmarkStart w:id="88" w:name="page89"/>
    <w:bookmarkEnd w:id="88"/>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106" w:lineRule="exact"/>
        <w:rPr>
          <w:sz w:val="20"/>
          <w:szCs w:val="20"/>
          <w:color w:val="auto"/>
        </w:rPr>
      </w:pPr>
    </w:p>
    <w:tbl>
      <w:tblPr>
        <w:tblLayout w:type="fixed"/>
        <w:tblInd w:w="1880" w:type="dxa"/>
        <w:tblCellMar>
          <w:top w:w="0" w:type="dxa"/>
          <w:left w:w="0" w:type="dxa"/>
          <w:bottom w:w="0" w:type="dxa"/>
          <w:right w:w="0" w:type="dxa"/>
        </w:tblCellMar>
      </w:tblPr>
      <w:tr>
        <w:trPr>
          <w:trHeight w:val="152"/>
        </w:trPr>
        <w:tc>
          <w:tcPr>
            <w:tcW w:w="24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Cash and cash equivalents</w:t>
            </w:r>
          </w:p>
        </w:tc>
        <w:tc>
          <w:tcPr>
            <w:tcW w:w="276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3"/>
                <w:szCs w:val="13"/>
                <w:color w:val="auto"/>
              </w:rPr>
              <w:t>579,146</w:t>
            </w:r>
          </w:p>
        </w:tc>
      </w:tr>
      <w:tr>
        <w:trPr>
          <w:trHeight w:val="152"/>
        </w:trPr>
        <w:tc>
          <w:tcPr>
            <w:tcW w:w="2480" w:type="dxa"/>
            <w:vAlign w:val="bottom"/>
          </w:tcPr>
          <w:p>
            <w:pPr>
              <w:spacing w:after="0"/>
              <w:rPr>
                <w:sz w:val="20"/>
                <w:szCs w:val="20"/>
                <w:color w:val="auto"/>
              </w:rPr>
            </w:pPr>
            <w:r>
              <w:rPr>
                <w:rFonts w:ascii="Times New Roman" w:cs="Times New Roman" w:eastAsia="Times New Roman" w:hAnsi="Times New Roman"/>
                <w:sz w:val="13"/>
                <w:szCs w:val="13"/>
                <w:color w:val="auto"/>
              </w:rPr>
              <w:t>Prepaid assets</w:t>
            </w:r>
          </w:p>
        </w:tc>
        <w:tc>
          <w:tcPr>
            <w:tcW w:w="2760" w:type="dxa"/>
            <w:vAlign w:val="bottom"/>
            <w:gridSpan w:val="3"/>
          </w:tcPr>
          <w:p>
            <w:pPr>
              <w:jc w:val="right"/>
              <w:ind w:right="60"/>
              <w:spacing w:after="0"/>
              <w:rPr>
                <w:sz w:val="20"/>
                <w:szCs w:val="20"/>
                <w:color w:val="auto"/>
              </w:rPr>
            </w:pPr>
            <w:r>
              <w:rPr>
                <w:rFonts w:ascii="Times New Roman" w:cs="Times New Roman" w:eastAsia="Times New Roman" w:hAnsi="Times New Roman"/>
                <w:sz w:val="13"/>
                <w:szCs w:val="13"/>
                <w:color w:val="auto"/>
              </w:rPr>
              <w:t>6,050</w:t>
            </w:r>
          </w:p>
        </w:tc>
      </w:tr>
      <w:tr>
        <w:trPr>
          <w:trHeight w:val="152"/>
        </w:trPr>
        <w:tc>
          <w:tcPr>
            <w:tcW w:w="24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Public warrant liability</w:t>
            </w:r>
          </w:p>
        </w:tc>
        <w:tc>
          <w:tcPr>
            <w:tcW w:w="2760" w:type="dxa"/>
            <w:vAlign w:val="bottom"/>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(40,320)</w:t>
            </w:r>
          </w:p>
        </w:tc>
      </w:tr>
      <w:tr>
        <w:trPr>
          <w:trHeight w:val="152"/>
        </w:trPr>
        <w:tc>
          <w:tcPr>
            <w:tcW w:w="2480" w:type="dxa"/>
            <w:vAlign w:val="bottom"/>
          </w:tcPr>
          <w:p>
            <w:pPr>
              <w:spacing w:after="0"/>
              <w:rPr>
                <w:sz w:val="20"/>
                <w:szCs w:val="20"/>
                <w:color w:val="auto"/>
              </w:rPr>
            </w:pPr>
            <w:r>
              <w:rPr>
                <w:rFonts w:ascii="Times New Roman" w:cs="Times New Roman" w:eastAsia="Times New Roman" w:hAnsi="Times New Roman"/>
                <w:sz w:val="13"/>
                <w:szCs w:val="13"/>
                <w:color w:val="auto"/>
              </w:rPr>
              <w:t>Private warrant liability</w:t>
            </w:r>
          </w:p>
        </w:tc>
        <w:tc>
          <w:tcPr>
            <w:tcW w:w="2240" w:type="dxa"/>
            <w:vAlign w:val="bottom"/>
          </w:tcPr>
          <w:p>
            <w:pPr>
              <w:spacing w:after="0"/>
              <w:rPr>
                <w:sz w:val="13"/>
                <w:szCs w:val="13"/>
                <w:color w:val="auto"/>
              </w:rPr>
            </w:pPr>
          </w:p>
        </w:tc>
        <w:tc>
          <w:tcPr>
            <w:tcW w:w="52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(22,770)</w:t>
            </w:r>
          </w:p>
        </w:tc>
      </w:tr>
      <w:tr>
        <w:trPr>
          <w:trHeight w:val="151"/>
        </w:trPr>
        <w:tc>
          <w:tcPr>
            <w:tcW w:w="24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w w:val="98"/>
              </w:rPr>
              <w:t>Total GGI identifiable net assets at fair value</w:t>
            </w:r>
          </w:p>
        </w:tc>
        <w:tc>
          <w:tcPr>
            <w:tcW w:w="2240" w:type="dxa"/>
            <w:vAlign w:val="bottom"/>
            <w:shd w:val="clear" w:color="auto" w:fill="CCEEFF"/>
          </w:tcPr>
          <w:p>
            <w:pPr>
              <w:spacing w:after="0"/>
              <w:rPr>
                <w:sz w:val="13"/>
                <w:szCs w:val="13"/>
                <w:color w:val="auto"/>
              </w:rPr>
            </w:pPr>
          </w:p>
        </w:tc>
        <w:tc>
          <w:tcPr>
            <w:tcW w:w="4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522,106</w:t>
            </w:r>
          </w:p>
        </w:tc>
        <w:tc>
          <w:tcPr>
            <w:tcW w:w="60" w:type="dxa"/>
            <w:vAlign w:val="bottom"/>
            <w:shd w:val="clear" w:color="auto" w:fill="CCEEFF"/>
          </w:tcPr>
          <w:p>
            <w:pPr>
              <w:spacing w:after="0"/>
              <w:rPr>
                <w:sz w:val="13"/>
                <w:szCs w:val="13"/>
                <w:color w:val="auto"/>
              </w:rPr>
            </w:pPr>
          </w:p>
        </w:tc>
      </w:tr>
      <w:tr>
        <w:trPr>
          <w:trHeight w:val="255"/>
        </w:trPr>
        <w:tc>
          <w:tcPr>
            <w:tcW w:w="2480" w:type="dxa"/>
            <w:vAlign w:val="bottom"/>
          </w:tcPr>
          <w:p>
            <w:pPr>
              <w:spacing w:after="0"/>
              <w:rPr>
                <w:sz w:val="22"/>
                <w:szCs w:val="22"/>
                <w:color w:val="auto"/>
              </w:rPr>
            </w:pPr>
          </w:p>
        </w:tc>
        <w:tc>
          <w:tcPr>
            <w:tcW w:w="2240" w:type="dxa"/>
            <w:vAlign w:val="bottom"/>
          </w:tcPr>
          <w:p>
            <w:pPr>
              <w:jc w:val="right"/>
              <w:ind w:right="1977"/>
              <w:spacing w:after="0"/>
              <w:rPr>
                <w:sz w:val="20"/>
                <w:szCs w:val="20"/>
                <w:color w:val="auto"/>
              </w:rPr>
            </w:pPr>
            <w:r>
              <w:rPr>
                <w:rFonts w:ascii="Times New Roman" w:cs="Times New Roman" w:eastAsia="Times New Roman" w:hAnsi="Times New Roman"/>
                <w:sz w:val="13"/>
                <w:szCs w:val="13"/>
                <w:color w:val="auto"/>
              </w:rPr>
              <w:t>32</w:t>
            </w:r>
          </w:p>
        </w:tc>
        <w:tc>
          <w:tcPr>
            <w:tcW w:w="460" w:type="dxa"/>
            <w:vAlign w:val="bottom"/>
          </w:tcPr>
          <w:p>
            <w:pPr>
              <w:spacing w:after="0"/>
              <w:rPr>
                <w:sz w:val="22"/>
                <w:szCs w:val="22"/>
                <w:color w:val="auto"/>
              </w:rPr>
            </w:pPr>
          </w:p>
        </w:tc>
        <w:tc>
          <w:tcPr>
            <w:tcW w:w="60" w:type="dxa"/>
            <w:vAlign w:val="bottom"/>
          </w:tcPr>
          <w:p>
            <w:pPr>
              <w:spacing w:after="0"/>
              <w:rPr>
                <w:sz w:val="22"/>
                <w:szCs w:val="22"/>
                <w:color w:val="auto"/>
              </w:rPr>
            </w:pPr>
          </w:p>
        </w:tc>
      </w:tr>
    </w:tbl>
    <w:p>
      <w:pPr>
        <w:sectPr>
          <w:pgSz w:w="11900" w:h="16838" w:orient="portrait"/>
          <w:cols w:equalWidth="0" w:num="1">
            <w:col w:w="9019"/>
          </w:cols>
          <w:pgMar w:left="1440" w:top="231" w:right="1440" w:bottom="1440" w:gutter="0" w:footer="0" w:header="0"/>
        </w:sectPr>
      </w:pPr>
    </w:p>
    <w:bookmarkStart w:id="89" w:name="page90"/>
    <w:bookmarkEnd w:id="89"/>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2"/>
          <w:szCs w:val="12"/>
          <w:color w:val="auto"/>
        </w:rPr>
        <w:t>The net assets of GGI are stated at fair value, with no goodwill or other intangible assets recorded. The IFRS 2 listing expense was calculated as follows:</w:t>
      </w:r>
    </w:p>
    <w:p>
      <w:pPr>
        <w:spacing w:after="0" w:line="197" w:lineRule="exact"/>
        <w:rPr>
          <w:sz w:val="20"/>
          <w:szCs w:val="20"/>
          <w:color w:val="auto"/>
        </w:rPr>
      </w:pPr>
    </w:p>
    <w:tbl>
      <w:tblPr>
        <w:tblLayout w:type="fixed"/>
        <w:tblInd w:w="1880" w:type="dxa"/>
        <w:tblCellMar>
          <w:top w:w="0" w:type="dxa"/>
          <w:left w:w="0" w:type="dxa"/>
          <w:bottom w:w="0" w:type="dxa"/>
          <w:right w:w="0" w:type="dxa"/>
        </w:tblCellMar>
      </w:tblPr>
      <w:tr>
        <w:trPr>
          <w:trHeight w:val="152"/>
        </w:trPr>
        <w:tc>
          <w:tcPr>
            <w:tcW w:w="45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Fair value of Polestar*</w:t>
            </w:r>
          </w:p>
        </w:tc>
        <w:tc>
          <w:tcPr>
            <w:tcW w:w="7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color w:val="auto"/>
                <w:w w:val="99"/>
              </w:rPr>
              <w:t>22,183,823</w:t>
            </w:r>
          </w:p>
        </w:tc>
      </w:tr>
      <w:tr>
        <w:trPr>
          <w:trHeight w:val="152"/>
        </w:trPr>
        <w:tc>
          <w:tcPr>
            <w:tcW w:w="4500" w:type="dxa"/>
            <w:vAlign w:val="bottom"/>
          </w:tcPr>
          <w:p>
            <w:pPr>
              <w:spacing w:after="0"/>
              <w:rPr>
                <w:sz w:val="20"/>
                <w:szCs w:val="20"/>
                <w:color w:val="auto"/>
              </w:rPr>
            </w:pPr>
            <w:r>
              <w:rPr>
                <w:rFonts w:ascii="Times New Roman" w:cs="Times New Roman" w:eastAsia="Times New Roman" w:hAnsi="Times New Roman"/>
                <w:sz w:val="13"/>
                <w:szCs w:val="13"/>
                <w:color w:val="auto"/>
              </w:rPr>
              <w:t>Equity interest in Polestar issued to GGI shareholders</w:t>
            </w:r>
          </w:p>
        </w:tc>
        <w:tc>
          <w:tcPr>
            <w:tcW w:w="74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5.1%</w:t>
            </w:r>
          </w:p>
        </w:tc>
      </w:tr>
      <w:tr>
        <w:trPr>
          <w:trHeight w:val="152"/>
        </w:trPr>
        <w:tc>
          <w:tcPr>
            <w:tcW w:w="45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Equity interest in Polestar issued to Former Parent shareholders</w:t>
            </w:r>
          </w:p>
        </w:tc>
        <w:tc>
          <w:tcPr>
            <w:tcW w:w="7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94.9%</w:t>
            </w:r>
          </w:p>
        </w:tc>
      </w:tr>
      <w:tr>
        <w:trPr>
          <w:trHeight w:val="152"/>
        </w:trPr>
        <w:tc>
          <w:tcPr>
            <w:tcW w:w="4500" w:type="dxa"/>
            <w:vAlign w:val="bottom"/>
          </w:tcPr>
          <w:p>
            <w:pPr>
              <w:spacing w:after="0"/>
              <w:rPr>
                <w:sz w:val="20"/>
                <w:szCs w:val="20"/>
                <w:color w:val="auto"/>
              </w:rPr>
            </w:pPr>
            <w:r>
              <w:rPr>
                <w:rFonts w:ascii="Times New Roman" w:cs="Times New Roman" w:eastAsia="Times New Roman" w:hAnsi="Times New Roman"/>
                <w:sz w:val="13"/>
                <w:szCs w:val="13"/>
                <w:color w:val="auto"/>
              </w:rPr>
              <w:t>Deemed cost of shares issued by Polestar*</w:t>
            </w:r>
          </w:p>
        </w:tc>
        <w:tc>
          <w:tcPr>
            <w:tcW w:w="74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color w:val="auto"/>
              </w:rPr>
              <w:t>1,131,375</w:t>
            </w:r>
          </w:p>
        </w:tc>
      </w:tr>
      <w:tr>
        <w:trPr>
          <w:trHeight w:val="152"/>
        </w:trPr>
        <w:tc>
          <w:tcPr>
            <w:tcW w:w="45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GGI identifiable net assets at fair value</w:t>
            </w:r>
          </w:p>
        </w:tc>
        <w:tc>
          <w:tcPr>
            <w:tcW w:w="7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color w:val="auto"/>
              </w:rPr>
              <w:t>522,106</w:t>
            </w:r>
          </w:p>
        </w:tc>
      </w:tr>
      <w:tr>
        <w:trPr>
          <w:trHeight w:val="152"/>
        </w:trPr>
        <w:tc>
          <w:tcPr>
            <w:tcW w:w="4500" w:type="dxa"/>
            <w:vAlign w:val="bottom"/>
          </w:tcPr>
          <w:p>
            <w:pPr>
              <w:spacing w:after="0"/>
              <w:rPr>
                <w:sz w:val="20"/>
                <w:szCs w:val="20"/>
                <w:color w:val="auto"/>
              </w:rPr>
            </w:pPr>
            <w:r>
              <w:rPr>
                <w:rFonts w:ascii="Times New Roman" w:cs="Times New Roman" w:eastAsia="Times New Roman" w:hAnsi="Times New Roman"/>
                <w:sz w:val="13"/>
                <w:szCs w:val="13"/>
                <w:color w:val="auto"/>
              </w:rPr>
              <w:t>Sponsor and third-party PIPE Cash</w:t>
            </w:r>
          </w:p>
        </w:tc>
        <w:tc>
          <w:tcPr>
            <w:tcW w:w="740" w:type="dxa"/>
            <w:vAlign w:val="bottom"/>
            <w:gridSpan w:val="2"/>
          </w:tcPr>
          <w:p>
            <w:pPr>
              <w:jc w:val="right"/>
              <w:ind w:right="140"/>
              <w:spacing w:after="0"/>
              <w:rPr>
                <w:sz w:val="20"/>
                <w:szCs w:val="20"/>
                <w:color w:val="auto"/>
              </w:rPr>
            </w:pPr>
            <w:r>
              <w:rPr>
                <w:rFonts w:ascii="Times New Roman" w:cs="Times New Roman" w:eastAsia="Times New Roman" w:hAnsi="Times New Roman"/>
                <w:sz w:val="13"/>
                <w:szCs w:val="13"/>
                <w:color w:val="auto"/>
              </w:rPr>
              <w:t>236,951</w:t>
            </w:r>
          </w:p>
        </w:tc>
      </w:tr>
      <w:tr>
        <w:trPr>
          <w:trHeight w:val="20"/>
        </w:trPr>
        <w:tc>
          <w:tcPr>
            <w:tcW w:w="450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151"/>
        </w:trPr>
        <w:tc>
          <w:tcPr>
            <w:tcW w:w="45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IFRS 2 Listing Expense</w:t>
            </w:r>
          </w:p>
        </w:tc>
        <w:tc>
          <w:tcPr>
            <w:tcW w:w="7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3"/>
                <w:szCs w:val="13"/>
                <w:b w:val="1"/>
                <w:bCs w:val="1"/>
                <w:color w:val="auto"/>
              </w:rPr>
              <w:t>372,318</w:t>
            </w:r>
          </w:p>
        </w:tc>
      </w:tr>
      <w:tr>
        <w:trPr>
          <w:trHeight w:val="20"/>
        </w:trPr>
        <w:tc>
          <w:tcPr>
            <w:tcW w:w="450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bl>
    <w:p>
      <w:pPr>
        <w:spacing w:after="0" w:line="167" w:lineRule="exact"/>
        <w:rPr>
          <w:sz w:val="20"/>
          <w:szCs w:val="20"/>
          <w:color w:val="auto"/>
        </w:rPr>
      </w:pPr>
    </w:p>
    <w:p>
      <w:pPr>
        <w:ind w:left="940" w:right="739" w:hanging="303"/>
        <w:spacing w:after="0" w:line="267" w:lineRule="auto"/>
        <w:tabs>
          <w:tab w:leader="none" w:pos="940" w:val="left"/>
        </w:tabs>
        <w:numPr>
          <w:ilvl w:val="0"/>
          <w:numId w:val="17"/>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The deemed cost of the shares issued by Polestar was estimated based on the fair value of Polestar at Closing, less an adjustment in respect to the fair value of the earn out rights (discussed below).</w:t>
      </w:r>
    </w:p>
    <w:p>
      <w:pPr>
        <w:spacing w:after="0" w:line="196"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Class C Shares</w:t>
      </w:r>
    </w:p>
    <w:p>
      <w:pPr>
        <w:spacing w:after="0" w:line="80" w:lineRule="exact"/>
        <w:rPr>
          <w:sz w:val="20"/>
          <w:szCs w:val="20"/>
          <w:color w:val="auto"/>
        </w:rPr>
      </w:pPr>
    </w:p>
    <w:p>
      <w:pPr>
        <w:ind w:left="640" w:right="839"/>
        <w:spacing w:after="0" w:line="267" w:lineRule="auto"/>
        <w:rPr>
          <w:sz w:val="20"/>
          <w:szCs w:val="20"/>
          <w:color w:val="auto"/>
        </w:rPr>
      </w:pPr>
      <w:r>
        <w:rPr>
          <w:rFonts w:ascii="Times New Roman" w:cs="Times New Roman" w:eastAsia="Times New Roman" w:hAnsi="Times New Roman"/>
          <w:sz w:val="13"/>
          <w:szCs w:val="13"/>
          <w:color w:val="auto"/>
        </w:rPr>
        <w:t>On the Closing of the BCA, Public Warrants and Private Warrants in GGI that were issued and are outstanding immediately prior to the Closing were exchanged for Class C-1 Shares and Class C-2 Shares in ListCo. Class C-1 Shares have the following terms:</w:t>
      </w:r>
    </w:p>
    <w:p>
      <w:pPr>
        <w:spacing w:after="0" w:line="56" w:lineRule="exact"/>
        <w:rPr>
          <w:sz w:val="20"/>
          <w:szCs w:val="20"/>
          <w:color w:val="auto"/>
        </w:rPr>
      </w:pPr>
    </w:p>
    <w:p>
      <w:pPr>
        <w:ind w:left="1320" w:right="1199" w:hanging="303"/>
        <w:spacing w:after="0" w:line="309" w:lineRule="auto"/>
        <w:tabs>
          <w:tab w:leader="none" w:pos="1320" w:val="left"/>
        </w:tabs>
        <w:numPr>
          <w:ilvl w:val="0"/>
          <w:numId w:val="18"/>
        </w:numPr>
        <w:rPr>
          <w:rFonts w:ascii="Times New Roman" w:cs="Times New Roman" w:eastAsia="Times New Roman" w:hAnsi="Times New Roman"/>
          <w:sz w:val="12"/>
          <w:szCs w:val="12"/>
          <w:color w:val="auto"/>
        </w:rPr>
      </w:pPr>
      <w:r>
        <w:rPr>
          <w:rFonts w:ascii="Times New Roman" w:cs="Times New Roman" w:eastAsia="Times New Roman" w:hAnsi="Times New Roman"/>
          <w:sz w:val="12"/>
          <w:szCs w:val="12"/>
          <w:color w:val="auto"/>
        </w:rPr>
        <w:t>Each whole Class C-1 Share entitles the holder to purchase one Class A Share in ListCo at an exercise price of $11.50, subject to adjustments for split-ups and dividends. The Class C-1 Shares may also be exercised on a cashless basis by the holder</w:t>
      </w:r>
    </w:p>
    <w:p>
      <w:pPr>
        <w:spacing w:after="0" w:line="33" w:lineRule="exact"/>
        <w:rPr>
          <w:rFonts w:ascii="Times New Roman" w:cs="Times New Roman" w:eastAsia="Times New Roman" w:hAnsi="Times New Roman"/>
          <w:sz w:val="12"/>
          <w:szCs w:val="12"/>
          <w:color w:val="auto"/>
        </w:rPr>
      </w:pPr>
    </w:p>
    <w:p>
      <w:pPr>
        <w:ind w:left="1320" w:hanging="303"/>
        <w:spacing w:after="0"/>
        <w:tabs>
          <w:tab w:leader="none" w:pos="1320" w:val="left"/>
        </w:tabs>
        <w:numPr>
          <w:ilvl w:val="0"/>
          <w:numId w:val="18"/>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Each whole Class C-1 Share is exercisable 30 days after the Closing of the BCA and expires on the earlier of:</w:t>
      </w:r>
    </w:p>
    <w:p>
      <w:pPr>
        <w:spacing w:after="0" w:line="87" w:lineRule="exact"/>
        <w:rPr>
          <w:rFonts w:ascii="Times New Roman" w:cs="Times New Roman" w:eastAsia="Times New Roman" w:hAnsi="Times New Roman"/>
          <w:sz w:val="13"/>
          <w:szCs w:val="13"/>
          <w:color w:val="auto"/>
        </w:rPr>
      </w:pPr>
    </w:p>
    <w:p>
      <w:pPr>
        <w:ind w:left="2100" w:hanging="382"/>
        <w:spacing w:after="0"/>
        <w:tabs>
          <w:tab w:leader="none" w:pos="2100" w:val="left"/>
        </w:tabs>
        <w:numPr>
          <w:ilvl w:val="1"/>
          <w:numId w:val="18"/>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June 23, 2027,</w:t>
      </w:r>
    </w:p>
    <w:p>
      <w:pPr>
        <w:spacing w:after="0" w:line="87" w:lineRule="exact"/>
        <w:rPr>
          <w:rFonts w:ascii="Times New Roman" w:cs="Times New Roman" w:eastAsia="Times New Roman" w:hAnsi="Times New Roman"/>
          <w:sz w:val="13"/>
          <w:szCs w:val="13"/>
          <w:color w:val="auto"/>
        </w:rPr>
      </w:pPr>
    </w:p>
    <w:p>
      <w:pPr>
        <w:ind w:left="2100" w:hanging="382"/>
        <w:spacing w:after="0"/>
        <w:tabs>
          <w:tab w:leader="none" w:pos="2100" w:val="left"/>
        </w:tabs>
        <w:numPr>
          <w:ilvl w:val="1"/>
          <w:numId w:val="18"/>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the date the Class C-1 Shares are redeemed by the Group, or</w:t>
      </w:r>
    </w:p>
    <w:p>
      <w:pPr>
        <w:spacing w:after="0" w:line="87" w:lineRule="exact"/>
        <w:rPr>
          <w:rFonts w:ascii="Times New Roman" w:cs="Times New Roman" w:eastAsia="Times New Roman" w:hAnsi="Times New Roman"/>
          <w:sz w:val="13"/>
          <w:szCs w:val="13"/>
          <w:color w:val="auto"/>
        </w:rPr>
      </w:pPr>
    </w:p>
    <w:p>
      <w:pPr>
        <w:ind w:left="2100" w:hanging="382"/>
        <w:spacing w:after="0"/>
        <w:tabs>
          <w:tab w:leader="none" w:pos="2100" w:val="left"/>
        </w:tabs>
        <w:numPr>
          <w:ilvl w:val="1"/>
          <w:numId w:val="18"/>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the liquidation of the Group.</w:t>
      </w:r>
    </w:p>
    <w:p>
      <w:pPr>
        <w:spacing w:after="0" w:line="87" w:lineRule="exact"/>
        <w:rPr>
          <w:rFonts w:ascii="Times New Roman" w:cs="Times New Roman" w:eastAsia="Times New Roman" w:hAnsi="Times New Roman"/>
          <w:sz w:val="13"/>
          <w:szCs w:val="13"/>
          <w:color w:val="auto"/>
        </w:rPr>
      </w:pPr>
    </w:p>
    <w:p>
      <w:pPr>
        <w:ind w:left="1320" w:right="679" w:hanging="303"/>
        <w:spacing w:after="0" w:line="249" w:lineRule="auto"/>
        <w:tabs>
          <w:tab w:leader="none" w:pos="1320" w:val="left"/>
        </w:tabs>
        <w:numPr>
          <w:ilvl w:val="0"/>
          <w:numId w:val="18"/>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The Group may (1) redeem the outstanding whole Class C-1 Shares at a price of $0.01 per Class C-1 Share or (2) convert the outstanding whole Class C-1 Shares in Class A Shares in ListCo on a cashless basis any time while the warrants are exercisable upon a minimum of 30 days prior written notice of redemption if, and only if, the last sales price of the Class A Shares in ListCo equals or exceeds $18 per share (as adjusted for split-ups, dividends, and the like) on each of 20 trading days within any 30 trading day period ending on the third business day prior to the date on which redemption notice is given.</w:t>
      </w:r>
    </w:p>
    <w:p>
      <w:pPr>
        <w:spacing w:after="0" w:line="67" w:lineRule="exact"/>
        <w:rPr>
          <w:rFonts w:ascii="Times New Roman" w:cs="Times New Roman" w:eastAsia="Times New Roman" w:hAnsi="Times New Roman"/>
          <w:sz w:val="13"/>
          <w:szCs w:val="13"/>
          <w:color w:val="auto"/>
        </w:rPr>
      </w:pPr>
    </w:p>
    <w:p>
      <w:pPr>
        <w:ind w:left="1320" w:right="1099" w:hanging="303"/>
        <w:spacing w:after="0" w:line="267" w:lineRule="auto"/>
        <w:tabs>
          <w:tab w:leader="none" w:pos="1320" w:val="left"/>
        </w:tabs>
        <w:numPr>
          <w:ilvl w:val="0"/>
          <w:numId w:val="18"/>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The Group may require the conversion of all of the outstanding Class C-1 Shares into Class A Shares in ListCo on a cashless basis beginning on October 24, 2022, provided:</w:t>
      </w:r>
    </w:p>
    <w:p>
      <w:pPr>
        <w:spacing w:after="0" w:line="55" w:lineRule="exact"/>
        <w:rPr>
          <w:rFonts w:ascii="Times New Roman" w:cs="Times New Roman" w:eastAsia="Times New Roman" w:hAnsi="Times New Roman"/>
          <w:sz w:val="13"/>
          <w:szCs w:val="13"/>
          <w:color w:val="auto"/>
        </w:rPr>
      </w:pPr>
    </w:p>
    <w:p>
      <w:pPr>
        <w:ind w:left="2100" w:right="1199" w:hanging="382"/>
        <w:spacing w:after="0" w:line="267" w:lineRule="auto"/>
        <w:tabs>
          <w:tab w:leader="none" w:pos="2100" w:val="left"/>
        </w:tabs>
        <w:numPr>
          <w:ilvl w:val="1"/>
          <w:numId w:val="18"/>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that the last reported price of the Class A Shares in ListCo was at least $10.00 per share (as adjusted for split-ups, dividends, and the like) on the trading day prior to the date on which redemption notice is given,</w:t>
      </w:r>
    </w:p>
    <w:p>
      <w:pPr>
        <w:spacing w:after="0" w:line="55" w:lineRule="exact"/>
        <w:rPr>
          <w:rFonts w:ascii="Times New Roman" w:cs="Times New Roman" w:eastAsia="Times New Roman" w:hAnsi="Times New Roman"/>
          <w:sz w:val="13"/>
          <w:szCs w:val="13"/>
          <w:color w:val="auto"/>
        </w:rPr>
      </w:pPr>
    </w:p>
    <w:p>
      <w:pPr>
        <w:ind w:left="2100" w:hanging="382"/>
        <w:spacing w:after="0"/>
        <w:tabs>
          <w:tab w:leader="none" w:pos="2100" w:val="left"/>
        </w:tabs>
        <w:numPr>
          <w:ilvl w:val="1"/>
          <w:numId w:val="18"/>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the Class C-2 Shares are converted on the same basis as the outstanding Class C-1 Shares, and</w:t>
      </w:r>
    </w:p>
    <w:p>
      <w:pPr>
        <w:spacing w:after="0" w:line="87" w:lineRule="exact"/>
        <w:rPr>
          <w:rFonts w:ascii="Times New Roman" w:cs="Times New Roman" w:eastAsia="Times New Roman" w:hAnsi="Times New Roman"/>
          <w:sz w:val="13"/>
          <w:szCs w:val="13"/>
          <w:color w:val="auto"/>
        </w:rPr>
      </w:pPr>
    </w:p>
    <w:p>
      <w:pPr>
        <w:ind w:left="2100" w:right="859" w:hanging="382"/>
        <w:spacing w:after="0" w:line="267" w:lineRule="auto"/>
        <w:tabs>
          <w:tab w:leader="none" w:pos="2100" w:val="left"/>
        </w:tabs>
        <w:numPr>
          <w:ilvl w:val="1"/>
          <w:numId w:val="18"/>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there is an effective registration statement covering the Class A Shares in ListCo arising upon conversion of the Class C Shares is available for 30 days prior to the date the Class C-1 Shares are redeemed by the Group.</w:t>
      </w:r>
    </w:p>
    <w:p>
      <w:pPr>
        <w:spacing w:after="0" w:line="7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33</w:t>
      </w:r>
    </w:p>
    <w:p>
      <w:pPr>
        <w:sectPr>
          <w:pgSz w:w="11900" w:h="16838" w:orient="portrait"/>
          <w:cols w:equalWidth="0" w:num="1">
            <w:col w:w="9019"/>
          </w:cols>
          <w:pgMar w:left="1440" w:top="231" w:right="1440" w:bottom="1440" w:gutter="0" w:footer="0" w:header="0"/>
        </w:sectPr>
      </w:pPr>
    </w:p>
    <w:bookmarkStart w:id="90" w:name="page91"/>
    <w:bookmarkEnd w:id="90"/>
    <w:p>
      <w:pPr>
        <w:jc w:val="center"/>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3" w:lineRule="exact"/>
        <w:rPr>
          <w:sz w:val="20"/>
          <w:szCs w:val="20"/>
          <w:color w:val="auto"/>
        </w:rPr>
      </w:pPr>
    </w:p>
    <w:p>
      <w:pPr>
        <w:ind w:left="1320" w:right="799" w:hanging="303"/>
        <w:spacing w:after="0" w:line="267" w:lineRule="auto"/>
        <w:tabs>
          <w:tab w:leader="none" w:pos="1320" w:val="left"/>
        </w:tabs>
        <w:numPr>
          <w:ilvl w:val="0"/>
          <w:numId w:val="19"/>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The Class C-1 Shares may be exercised, on a cash or cashless basis at any time after a notice of redemption shall have been given by the Group and prior to the date the Class C-1 Shares are redeemed by the Group.</w:t>
      </w:r>
    </w:p>
    <w:p>
      <w:pPr>
        <w:spacing w:after="0" w:line="7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34</w:t>
      </w:r>
    </w:p>
    <w:p>
      <w:pPr>
        <w:sectPr>
          <w:pgSz w:w="11900" w:h="16838" w:orient="portrait"/>
          <w:cols w:equalWidth="0" w:num="1">
            <w:col w:w="9019"/>
          </w:cols>
          <w:pgMar w:left="1440" w:top="231" w:right="1440" w:bottom="1440" w:gutter="0" w:footer="0" w:header="0"/>
        </w:sectPr>
      </w:pPr>
    </w:p>
    <w:bookmarkStart w:id="91" w:name="page92"/>
    <w:bookmarkEnd w:id="91"/>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3"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The Class C-2 Shares are identical to the Class C-1 Shares, except that the Class C-2 Shares:</w:t>
      </w:r>
    </w:p>
    <w:p>
      <w:pPr>
        <w:spacing w:after="0" w:line="87" w:lineRule="exact"/>
        <w:rPr>
          <w:sz w:val="20"/>
          <w:szCs w:val="20"/>
          <w:color w:val="auto"/>
        </w:rPr>
      </w:pPr>
    </w:p>
    <w:p>
      <w:pPr>
        <w:ind w:left="1320" w:hanging="303"/>
        <w:spacing w:after="0"/>
        <w:tabs>
          <w:tab w:leader="none" w:pos="1320" w:val="left"/>
        </w:tabs>
        <w:numPr>
          <w:ilvl w:val="0"/>
          <w:numId w:val="20"/>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are not redeemable by the Group as long as they are held by certain GGI investors and their permitted transferees;</w:t>
      </w:r>
    </w:p>
    <w:p>
      <w:pPr>
        <w:spacing w:after="0" w:line="87" w:lineRule="exact"/>
        <w:rPr>
          <w:rFonts w:ascii="Times New Roman" w:cs="Times New Roman" w:eastAsia="Times New Roman" w:hAnsi="Times New Roman"/>
          <w:sz w:val="13"/>
          <w:szCs w:val="13"/>
          <w:color w:val="auto"/>
        </w:rPr>
      </w:pPr>
    </w:p>
    <w:p>
      <w:pPr>
        <w:ind w:left="1320" w:right="1079" w:hanging="303"/>
        <w:spacing w:after="0" w:line="267" w:lineRule="auto"/>
        <w:tabs>
          <w:tab w:leader="none" w:pos="1320" w:val="left"/>
        </w:tabs>
        <w:numPr>
          <w:ilvl w:val="0"/>
          <w:numId w:val="20"/>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automatically convert to Class C-1 Shares if they are transferred to individuals other than certain GGI investors and their permitted transferees;</w:t>
      </w:r>
    </w:p>
    <w:p>
      <w:pPr>
        <w:spacing w:after="0" w:line="55" w:lineRule="exact"/>
        <w:rPr>
          <w:rFonts w:ascii="Times New Roman" w:cs="Times New Roman" w:eastAsia="Times New Roman" w:hAnsi="Times New Roman"/>
          <w:sz w:val="13"/>
          <w:szCs w:val="13"/>
          <w:color w:val="auto"/>
        </w:rPr>
      </w:pPr>
    </w:p>
    <w:p>
      <w:pPr>
        <w:ind w:left="1320" w:hanging="303"/>
        <w:spacing w:after="0"/>
        <w:tabs>
          <w:tab w:leader="none" w:pos="1320" w:val="left"/>
        </w:tabs>
        <w:numPr>
          <w:ilvl w:val="0"/>
          <w:numId w:val="20"/>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may be converted to Class C-1 Shares at any time by the holder upon notification to the Group; and</w:t>
      </w:r>
    </w:p>
    <w:p>
      <w:pPr>
        <w:spacing w:after="0" w:line="87" w:lineRule="exact"/>
        <w:rPr>
          <w:rFonts w:ascii="Times New Roman" w:cs="Times New Roman" w:eastAsia="Times New Roman" w:hAnsi="Times New Roman"/>
          <w:sz w:val="13"/>
          <w:szCs w:val="13"/>
          <w:color w:val="auto"/>
        </w:rPr>
      </w:pPr>
    </w:p>
    <w:p>
      <w:pPr>
        <w:ind w:left="1320" w:hanging="303"/>
        <w:spacing w:after="0"/>
        <w:tabs>
          <w:tab w:leader="none" w:pos="1320" w:val="left"/>
        </w:tabs>
        <w:numPr>
          <w:ilvl w:val="0"/>
          <w:numId w:val="20"/>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are exercisable on a cashless basis by the holder.</w:t>
      </w:r>
    </w:p>
    <w:p>
      <w:pPr>
        <w:spacing w:after="0" w:line="15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 xml:space="preserve">The Group applied the provisions of IAS 32, </w:t>
      </w:r>
      <w:r>
        <w:rPr>
          <w:rFonts w:ascii="Times New Roman" w:cs="Times New Roman" w:eastAsia="Times New Roman" w:hAnsi="Times New Roman"/>
          <w:sz w:val="13"/>
          <w:szCs w:val="13"/>
          <w:i w:val="1"/>
          <w:iCs w:val="1"/>
          <w:color w:val="auto"/>
        </w:rPr>
        <w:t>Financial Instruments: Presentation</w:t>
      </w:r>
      <w:r>
        <w:rPr>
          <w:rFonts w:ascii="Times New Roman" w:cs="Times New Roman" w:eastAsia="Times New Roman" w:hAnsi="Times New Roman"/>
          <w:sz w:val="13"/>
          <w:szCs w:val="13"/>
          <w:color w:val="auto"/>
        </w:rPr>
        <w:t xml:space="preserve"> (“IAS 32”)</w:t>
      </w:r>
      <w:r>
        <w:rPr>
          <w:rFonts w:ascii="Times New Roman" w:cs="Times New Roman" w:eastAsia="Times New Roman" w:hAnsi="Times New Roman"/>
          <w:sz w:val="13"/>
          <w:szCs w:val="13"/>
          <w:i w:val="1"/>
          <w:iCs w:val="1"/>
          <w:color w:val="auto"/>
        </w:rPr>
        <w:t>,</w:t>
      </w:r>
      <w:r>
        <w:rPr>
          <w:rFonts w:ascii="Times New Roman" w:cs="Times New Roman" w:eastAsia="Times New Roman" w:hAnsi="Times New Roman"/>
          <w:sz w:val="13"/>
          <w:szCs w:val="13"/>
          <w:color w:val="auto"/>
        </w:rPr>
        <w:t xml:space="preserve"> and IFRS 9, </w:t>
      </w:r>
      <w:r>
        <w:rPr>
          <w:rFonts w:ascii="Times New Roman" w:cs="Times New Roman" w:eastAsia="Times New Roman" w:hAnsi="Times New Roman"/>
          <w:sz w:val="13"/>
          <w:szCs w:val="13"/>
          <w:i w:val="1"/>
          <w:iCs w:val="1"/>
          <w:color w:val="auto"/>
        </w:rPr>
        <w:t>Financial Instruments</w:t>
      </w:r>
      <w:r>
        <w:rPr>
          <w:rFonts w:ascii="Times New Roman" w:cs="Times New Roman" w:eastAsia="Times New Roman" w:hAnsi="Times New Roman"/>
          <w:sz w:val="13"/>
          <w:szCs w:val="13"/>
          <w:color w:val="auto"/>
        </w:rPr>
        <w:t xml:space="preserve"> (“IFRS 9”), in</w:t>
      </w:r>
    </w:p>
    <w:p>
      <w:pPr>
        <w:spacing w:after="0" w:line="17"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2"/>
          <w:szCs w:val="12"/>
          <w:color w:val="auto"/>
        </w:rPr>
        <w:t>accounting for the Class C Shares. Under IAS 32 and IFRS 9, the Class C Shares failed to meet the definition of equity because they could result in the</w:t>
      </w:r>
    </w:p>
    <w:p>
      <w:pPr>
        <w:spacing w:after="0" w:line="1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issuance of a variable number of Class A Shares in ListCo in the case of a cashless basis exercise. Additionally, in the case of a redemption or</w:t>
      </w:r>
    </w:p>
    <w:p>
      <w:pPr>
        <w:spacing w:after="0" w:line="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conversion, the Group would be required to either pay cash or issue a variable number of shares to the holders of the Class C Shares. Instead, the</w:t>
      </w:r>
    </w:p>
    <w:p>
      <w:pPr>
        <w:spacing w:after="0" w:line="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2"/>
          <w:szCs w:val="12"/>
          <w:color w:val="auto"/>
        </w:rPr>
        <w:t>Class C Shares meet the definition of derivative liabilities that are carried at fair value with subsequent changes in fair value recognized in the Unaudited</w:t>
      </w:r>
    </w:p>
    <w:p>
      <w:pPr>
        <w:spacing w:after="0" w:line="1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Condensed Consolidated Statement of Loss and Comprehensive Loss at each reporting date.</w:t>
      </w:r>
    </w:p>
    <w:p>
      <w:pPr>
        <w:spacing w:after="0" w:line="145" w:lineRule="exact"/>
        <w:rPr>
          <w:sz w:val="20"/>
          <w:szCs w:val="20"/>
          <w:color w:val="auto"/>
        </w:rPr>
      </w:pPr>
    </w:p>
    <w:tbl>
      <w:tblPr>
        <w:tblLayout w:type="fixed"/>
        <w:tblInd w:w="1880" w:type="dxa"/>
        <w:tblCellMar>
          <w:top w:w="0" w:type="dxa"/>
          <w:left w:w="0" w:type="dxa"/>
          <w:bottom w:w="0" w:type="dxa"/>
          <w:right w:w="0" w:type="dxa"/>
        </w:tblCellMar>
      </w:tblPr>
      <w:tr>
        <w:trPr>
          <w:trHeight w:val="115"/>
        </w:trPr>
        <w:tc>
          <w:tcPr>
            <w:tcW w:w="4600" w:type="dxa"/>
            <w:vAlign w:val="bottom"/>
          </w:tcPr>
          <w:p>
            <w:pPr>
              <w:spacing w:after="0"/>
              <w:rPr>
                <w:sz w:val="10"/>
                <w:szCs w:val="10"/>
                <w:color w:val="auto"/>
              </w:rPr>
            </w:pPr>
          </w:p>
        </w:tc>
        <w:tc>
          <w:tcPr>
            <w:tcW w:w="640" w:type="dxa"/>
            <w:vAlign w:val="bottom"/>
            <w:gridSpan w:val="2"/>
          </w:tcPr>
          <w:p>
            <w:pPr>
              <w:jc w:val="center"/>
              <w:ind w:right="20"/>
              <w:spacing w:after="0"/>
              <w:rPr>
                <w:sz w:val="20"/>
                <w:szCs w:val="20"/>
                <w:color w:val="auto"/>
              </w:rPr>
            </w:pPr>
            <w:r>
              <w:rPr>
                <w:rFonts w:ascii="Times New Roman" w:cs="Times New Roman" w:eastAsia="Times New Roman" w:hAnsi="Times New Roman"/>
                <w:sz w:val="10"/>
                <w:szCs w:val="10"/>
                <w:b w:val="1"/>
                <w:bCs w:val="1"/>
                <w:color w:val="auto"/>
              </w:rPr>
              <w:t>As of</w:t>
            </w:r>
          </w:p>
        </w:tc>
      </w:tr>
      <w:tr>
        <w:trPr>
          <w:trHeight w:val="104"/>
        </w:trPr>
        <w:tc>
          <w:tcPr>
            <w:tcW w:w="4600" w:type="dxa"/>
            <w:vAlign w:val="bottom"/>
          </w:tcPr>
          <w:p>
            <w:pPr>
              <w:spacing w:after="0"/>
              <w:rPr>
                <w:sz w:val="9"/>
                <w:szCs w:val="9"/>
                <w:color w:val="auto"/>
              </w:rPr>
            </w:pPr>
          </w:p>
        </w:tc>
        <w:tc>
          <w:tcPr>
            <w:tcW w:w="640" w:type="dxa"/>
            <w:vAlign w:val="bottom"/>
            <w:gridSpan w:val="2"/>
          </w:tcPr>
          <w:p>
            <w:pPr>
              <w:jc w:val="center"/>
              <w:ind w:right="20"/>
              <w:spacing w:after="0" w:line="104" w:lineRule="exact"/>
              <w:rPr>
                <w:sz w:val="20"/>
                <w:szCs w:val="20"/>
                <w:color w:val="auto"/>
              </w:rPr>
            </w:pPr>
            <w:r>
              <w:rPr>
                <w:rFonts w:ascii="Times New Roman" w:cs="Times New Roman" w:eastAsia="Times New Roman" w:hAnsi="Times New Roman"/>
                <w:sz w:val="10"/>
                <w:szCs w:val="10"/>
                <w:b w:val="1"/>
                <w:bCs w:val="1"/>
                <w:color w:val="auto"/>
              </w:rPr>
              <w:t>September 30,</w:t>
            </w:r>
          </w:p>
        </w:tc>
      </w:tr>
      <w:tr>
        <w:trPr>
          <w:trHeight w:val="121"/>
        </w:trPr>
        <w:tc>
          <w:tcPr>
            <w:tcW w:w="4600" w:type="dxa"/>
            <w:vAlign w:val="bottom"/>
            <w:tcBorders>
              <w:bottom w:val="single" w:sz="8" w:color="CCEEFF"/>
            </w:tcBorders>
          </w:tcPr>
          <w:p>
            <w:pPr>
              <w:spacing w:after="0"/>
              <w:rPr>
                <w:sz w:val="10"/>
                <w:szCs w:val="10"/>
                <w:color w:val="auto"/>
              </w:rPr>
            </w:pPr>
          </w:p>
        </w:tc>
        <w:tc>
          <w:tcPr>
            <w:tcW w:w="6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0"/>
                <w:szCs w:val="10"/>
                <w:b w:val="1"/>
                <w:bCs w:val="1"/>
                <w:color w:val="auto"/>
                <w:w w:val="99"/>
              </w:rPr>
              <w:t>2022</w:t>
            </w:r>
          </w:p>
        </w:tc>
        <w:tc>
          <w:tcPr>
            <w:tcW w:w="20" w:type="dxa"/>
            <w:vAlign w:val="bottom"/>
            <w:tcBorders>
              <w:bottom w:val="single" w:sz="8" w:color="CCEEFF"/>
            </w:tcBorders>
          </w:tcPr>
          <w:p>
            <w:pPr>
              <w:spacing w:after="0"/>
              <w:rPr>
                <w:sz w:val="10"/>
                <w:szCs w:val="10"/>
                <w:color w:val="auto"/>
              </w:rPr>
            </w:pPr>
          </w:p>
        </w:tc>
      </w:tr>
      <w:tr>
        <w:trPr>
          <w:trHeight w:val="141"/>
        </w:trPr>
        <w:tc>
          <w:tcPr>
            <w:tcW w:w="4600" w:type="dxa"/>
            <w:vAlign w:val="bottom"/>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Class C-1 Shares</w:t>
            </w:r>
          </w:p>
        </w:tc>
        <w:tc>
          <w:tcPr>
            <w:tcW w:w="62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17,600</w:t>
            </w:r>
          </w:p>
        </w:tc>
        <w:tc>
          <w:tcPr>
            <w:tcW w:w="20" w:type="dxa"/>
            <w:vAlign w:val="bottom"/>
            <w:shd w:val="clear" w:color="auto" w:fill="CCEEFF"/>
          </w:tcPr>
          <w:p>
            <w:pPr>
              <w:spacing w:after="0"/>
              <w:rPr>
                <w:sz w:val="12"/>
                <w:szCs w:val="12"/>
                <w:color w:val="auto"/>
              </w:rPr>
            </w:pPr>
          </w:p>
        </w:tc>
      </w:tr>
      <w:tr>
        <w:trPr>
          <w:trHeight w:val="152"/>
        </w:trPr>
        <w:tc>
          <w:tcPr>
            <w:tcW w:w="4600" w:type="dxa"/>
            <w:vAlign w:val="bottom"/>
          </w:tcPr>
          <w:p>
            <w:pPr>
              <w:spacing w:after="0"/>
              <w:rPr>
                <w:sz w:val="20"/>
                <w:szCs w:val="20"/>
                <w:color w:val="auto"/>
              </w:rPr>
            </w:pPr>
            <w:r>
              <w:rPr>
                <w:rFonts w:ascii="Times New Roman" w:cs="Times New Roman" w:eastAsia="Times New Roman" w:hAnsi="Times New Roman"/>
                <w:sz w:val="13"/>
                <w:szCs w:val="13"/>
                <w:color w:val="auto"/>
              </w:rPr>
              <w:t>Class C-2 Shares</w:t>
            </w:r>
          </w:p>
        </w:tc>
        <w:tc>
          <w:tcPr>
            <w:tcW w:w="6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9,900</w:t>
            </w:r>
          </w:p>
        </w:tc>
        <w:tc>
          <w:tcPr>
            <w:tcW w:w="20" w:type="dxa"/>
            <w:vAlign w:val="bottom"/>
          </w:tcPr>
          <w:p>
            <w:pPr>
              <w:spacing w:after="0"/>
              <w:rPr>
                <w:sz w:val="13"/>
                <w:szCs w:val="13"/>
                <w:color w:val="auto"/>
              </w:rPr>
            </w:pPr>
          </w:p>
        </w:tc>
      </w:tr>
      <w:tr>
        <w:trPr>
          <w:trHeight w:val="151"/>
        </w:trPr>
        <w:tc>
          <w:tcPr>
            <w:tcW w:w="46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Total Class C Shares</w:t>
            </w:r>
          </w:p>
        </w:tc>
        <w:tc>
          <w:tcPr>
            <w:tcW w:w="62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27,500</w:t>
            </w:r>
          </w:p>
        </w:tc>
        <w:tc>
          <w:tcPr>
            <w:tcW w:w="20" w:type="dxa"/>
            <w:vAlign w:val="bottom"/>
            <w:shd w:val="clear" w:color="auto" w:fill="CCEEFF"/>
          </w:tcPr>
          <w:p>
            <w:pPr>
              <w:spacing w:after="0"/>
              <w:rPr>
                <w:sz w:val="13"/>
                <w:szCs w:val="13"/>
                <w:color w:val="auto"/>
              </w:rPr>
            </w:pPr>
          </w:p>
        </w:tc>
      </w:tr>
    </w:tbl>
    <w:p>
      <w:pPr>
        <w:spacing w:after="0" w:line="148" w:lineRule="exact"/>
        <w:rPr>
          <w:sz w:val="20"/>
          <w:szCs w:val="20"/>
          <w:color w:val="auto"/>
        </w:rPr>
      </w:pPr>
    </w:p>
    <w:p>
      <w:pPr>
        <w:jc w:val="both"/>
        <w:ind w:left="640" w:right="839"/>
        <w:spacing w:after="0" w:line="286" w:lineRule="auto"/>
        <w:rPr>
          <w:sz w:val="20"/>
          <w:szCs w:val="20"/>
          <w:color w:val="auto"/>
        </w:rPr>
      </w:pPr>
      <w:r>
        <w:rPr>
          <w:rFonts w:ascii="Times New Roman" w:cs="Times New Roman" w:eastAsia="Times New Roman" w:hAnsi="Times New Roman"/>
          <w:sz w:val="12"/>
          <w:szCs w:val="12"/>
          <w:color w:val="auto"/>
        </w:rPr>
        <w:t>The Class C-1 Shares are publicly traded on the Nasdaq (i.e., Level 1 input) and the closing share price of the GGI Public Warrants on June 23, 2022 was used to measure their fair value upon initial recognition, at which time the Class C-1 Shares had a fair value of $40,320. On September 30, 2022, the fair value of the Class C-1 Shares was remeasured at $17,600, for a total gain related to the change in fair value of $22,720.</w:t>
      </w:r>
    </w:p>
    <w:p>
      <w:pPr>
        <w:spacing w:after="0" w:line="118" w:lineRule="exact"/>
        <w:rPr>
          <w:sz w:val="20"/>
          <w:szCs w:val="20"/>
          <w:color w:val="auto"/>
        </w:rPr>
      </w:pPr>
    </w:p>
    <w:tbl>
      <w:tblPr>
        <w:tblLayout w:type="fixed"/>
        <w:tblInd w:w="1880" w:type="dxa"/>
        <w:tblCellMar>
          <w:top w:w="0" w:type="dxa"/>
          <w:left w:w="0" w:type="dxa"/>
          <w:bottom w:w="0" w:type="dxa"/>
          <w:right w:w="0" w:type="dxa"/>
        </w:tblCellMar>
      </w:tblPr>
      <w:tr>
        <w:trPr>
          <w:trHeight w:val="115"/>
        </w:trPr>
        <w:tc>
          <w:tcPr>
            <w:tcW w:w="4740" w:type="dxa"/>
            <w:vAlign w:val="bottom"/>
          </w:tcPr>
          <w:p>
            <w:pPr>
              <w:spacing w:after="0"/>
              <w:rPr>
                <w:sz w:val="10"/>
                <w:szCs w:val="10"/>
                <w:color w:val="auto"/>
              </w:rPr>
            </w:pPr>
          </w:p>
        </w:tc>
        <w:tc>
          <w:tcPr>
            <w:tcW w:w="500" w:type="dxa"/>
            <w:vAlign w:val="bottom"/>
            <w:gridSpan w:val="3"/>
          </w:tcPr>
          <w:p>
            <w:pPr>
              <w:jc w:val="right"/>
              <w:ind w:right="80"/>
              <w:spacing w:after="0"/>
              <w:rPr>
                <w:sz w:val="20"/>
                <w:szCs w:val="20"/>
                <w:color w:val="auto"/>
              </w:rPr>
            </w:pPr>
            <w:r>
              <w:rPr>
                <w:rFonts w:ascii="Times New Roman" w:cs="Times New Roman" w:eastAsia="Times New Roman" w:hAnsi="Times New Roman"/>
                <w:sz w:val="10"/>
                <w:szCs w:val="10"/>
                <w:b w:val="1"/>
                <w:bCs w:val="1"/>
                <w:color w:val="auto"/>
                <w:w w:val="97"/>
              </w:rPr>
              <w:t>Class C-1</w:t>
            </w:r>
          </w:p>
        </w:tc>
      </w:tr>
      <w:tr>
        <w:trPr>
          <w:trHeight w:val="121"/>
        </w:trPr>
        <w:tc>
          <w:tcPr>
            <w:tcW w:w="4740" w:type="dxa"/>
            <w:vAlign w:val="bottom"/>
          </w:tcPr>
          <w:p>
            <w:pPr>
              <w:spacing w:after="0"/>
              <w:rPr>
                <w:sz w:val="10"/>
                <w:szCs w:val="10"/>
                <w:color w:val="auto"/>
              </w:rPr>
            </w:pPr>
          </w:p>
        </w:tc>
        <w:tc>
          <w:tcPr>
            <w:tcW w:w="500" w:type="dxa"/>
            <w:vAlign w:val="bottom"/>
            <w:gridSpan w:val="3"/>
          </w:tcPr>
          <w:p>
            <w:pPr>
              <w:jc w:val="right"/>
              <w:ind w:right="140"/>
              <w:spacing w:after="0"/>
              <w:rPr>
                <w:sz w:val="20"/>
                <w:szCs w:val="20"/>
                <w:color w:val="auto"/>
              </w:rPr>
            </w:pPr>
            <w:r>
              <w:rPr>
                <w:rFonts w:ascii="Times New Roman" w:cs="Times New Roman" w:eastAsia="Times New Roman" w:hAnsi="Times New Roman"/>
                <w:sz w:val="10"/>
                <w:szCs w:val="10"/>
                <w:b w:val="1"/>
                <w:bCs w:val="1"/>
                <w:color w:val="auto"/>
              </w:rPr>
              <w:t>Shares</w:t>
            </w:r>
          </w:p>
        </w:tc>
      </w:tr>
      <w:tr>
        <w:trPr>
          <w:trHeight w:val="141"/>
        </w:trPr>
        <w:tc>
          <w:tcPr>
            <w:tcW w:w="4740" w:type="dxa"/>
            <w:vAlign w:val="bottom"/>
            <w:tcBorders>
              <w:top w:val="single" w:sz="8" w:color="CCEEFF"/>
            </w:tcBorders>
            <w:shd w:val="clear" w:color="auto" w:fill="CCEEFF"/>
          </w:tcPr>
          <w:p>
            <w:pPr>
              <w:spacing w:after="0" w:line="141" w:lineRule="exact"/>
              <w:rPr>
                <w:sz w:val="20"/>
                <w:szCs w:val="20"/>
                <w:color w:val="auto"/>
              </w:rPr>
            </w:pPr>
            <w:r>
              <w:rPr>
                <w:rFonts w:ascii="Times New Roman" w:cs="Times New Roman" w:eastAsia="Times New Roman" w:hAnsi="Times New Roman"/>
                <w:sz w:val="13"/>
                <w:szCs w:val="13"/>
                <w:b w:val="1"/>
                <w:bCs w:val="1"/>
                <w:color w:val="auto"/>
              </w:rPr>
              <w:t>As of January 1, 2022</w:t>
            </w:r>
          </w:p>
        </w:tc>
        <w:tc>
          <w:tcPr>
            <w:tcW w:w="440" w:type="dxa"/>
            <w:vAlign w:val="bottom"/>
            <w:tcBorders>
              <w:top w:val="single" w:sz="8" w:color="auto"/>
            </w:tcBorders>
            <w:shd w:val="clear" w:color="auto" w:fill="CCEEFF"/>
          </w:tcPr>
          <w:p>
            <w:pPr>
              <w:jc w:val="right"/>
              <w:ind w:right="1"/>
              <w:spacing w:after="0" w:line="141" w:lineRule="exact"/>
              <w:rPr>
                <w:sz w:val="20"/>
                <w:szCs w:val="20"/>
                <w:color w:val="auto"/>
              </w:rPr>
            </w:pPr>
            <w:r>
              <w:rPr>
                <w:rFonts w:ascii="Times New Roman" w:cs="Times New Roman" w:eastAsia="Times New Roman" w:hAnsi="Times New Roman"/>
                <w:sz w:val="13"/>
                <w:szCs w:val="13"/>
                <w:b w:val="1"/>
                <w:bCs w:val="1"/>
                <w:color w:val="auto"/>
              </w:rPr>
              <w:t>—</w:t>
            </w:r>
          </w:p>
        </w:tc>
        <w:tc>
          <w:tcPr>
            <w:tcW w:w="60" w:type="dxa"/>
            <w:vAlign w:val="bottom"/>
            <w:tcBorders>
              <w:top w:val="single" w:sz="8" w:color="CCEEFF"/>
            </w:tcBorders>
            <w:gridSpan w:val="2"/>
            <w:shd w:val="clear" w:color="auto" w:fill="CCEEFF"/>
          </w:tcPr>
          <w:p>
            <w:pPr>
              <w:spacing w:after="0"/>
              <w:rPr>
                <w:sz w:val="12"/>
                <w:szCs w:val="12"/>
                <w:color w:val="auto"/>
              </w:rPr>
            </w:pPr>
          </w:p>
        </w:tc>
      </w:tr>
      <w:tr>
        <w:trPr>
          <w:trHeight w:val="152"/>
        </w:trPr>
        <w:tc>
          <w:tcPr>
            <w:tcW w:w="4740" w:type="dxa"/>
            <w:vAlign w:val="bottom"/>
          </w:tcPr>
          <w:p>
            <w:pPr>
              <w:spacing w:after="0"/>
              <w:rPr>
                <w:sz w:val="20"/>
                <w:szCs w:val="20"/>
                <w:color w:val="auto"/>
              </w:rPr>
            </w:pPr>
            <w:r>
              <w:rPr>
                <w:rFonts w:ascii="Times New Roman" w:cs="Times New Roman" w:eastAsia="Times New Roman" w:hAnsi="Times New Roman"/>
                <w:sz w:val="13"/>
                <w:szCs w:val="13"/>
                <w:color w:val="auto"/>
              </w:rPr>
              <w:t>Class C-1 Shares issued</w:t>
            </w:r>
          </w:p>
        </w:tc>
        <w:tc>
          <w:tcPr>
            <w:tcW w:w="460" w:type="dxa"/>
            <w:vAlign w:val="bottom"/>
            <w:gridSpan w:val="2"/>
          </w:tcPr>
          <w:p>
            <w:pPr>
              <w:jc w:val="right"/>
              <w:ind w:right="20"/>
              <w:spacing w:after="0"/>
              <w:rPr>
                <w:sz w:val="20"/>
                <w:szCs w:val="20"/>
                <w:color w:val="auto"/>
              </w:rPr>
            </w:pPr>
            <w:r>
              <w:rPr>
                <w:rFonts w:ascii="Times New Roman" w:cs="Times New Roman" w:eastAsia="Times New Roman" w:hAnsi="Times New Roman"/>
                <w:sz w:val="13"/>
                <w:szCs w:val="13"/>
                <w:color w:val="auto"/>
              </w:rPr>
              <w:t>40,320</w:t>
            </w:r>
          </w:p>
        </w:tc>
        <w:tc>
          <w:tcPr>
            <w:tcW w:w="40" w:type="dxa"/>
            <w:vAlign w:val="bottom"/>
          </w:tcPr>
          <w:p>
            <w:pPr>
              <w:spacing w:after="0"/>
              <w:rPr>
                <w:sz w:val="13"/>
                <w:szCs w:val="13"/>
                <w:color w:val="auto"/>
              </w:rPr>
            </w:pPr>
          </w:p>
        </w:tc>
      </w:tr>
      <w:tr>
        <w:trPr>
          <w:trHeight w:val="152"/>
        </w:trPr>
        <w:tc>
          <w:tcPr>
            <w:tcW w:w="474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Change in fair value measurement</w:t>
            </w:r>
          </w:p>
        </w:tc>
        <w:tc>
          <w:tcPr>
            <w:tcW w:w="500" w:type="dxa"/>
            <w:vAlign w:val="bottom"/>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3"/>
                <w:szCs w:val="13"/>
                <w:color w:val="auto"/>
              </w:rPr>
              <w:t>(22,720)</w:t>
            </w:r>
          </w:p>
        </w:tc>
      </w:tr>
      <w:tr>
        <w:trPr>
          <w:trHeight w:val="151"/>
        </w:trPr>
        <w:tc>
          <w:tcPr>
            <w:tcW w:w="474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As of September 30, 2022</w:t>
            </w:r>
          </w:p>
        </w:tc>
        <w:tc>
          <w:tcPr>
            <w:tcW w:w="4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17,600</w:t>
            </w:r>
          </w:p>
        </w:tc>
        <w:tc>
          <w:tcPr>
            <w:tcW w:w="20" w:type="dxa"/>
            <w:vAlign w:val="bottom"/>
            <w:tcBorders>
              <w:bottom w:val="single" w:sz="8" w:color="auto"/>
            </w:tcBorders>
          </w:tcPr>
          <w:p>
            <w:pPr>
              <w:spacing w:after="0"/>
              <w:rPr>
                <w:sz w:val="13"/>
                <w:szCs w:val="13"/>
                <w:color w:val="auto"/>
              </w:rPr>
            </w:pPr>
          </w:p>
        </w:tc>
        <w:tc>
          <w:tcPr>
            <w:tcW w:w="40" w:type="dxa"/>
            <w:vAlign w:val="bottom"/>
          </w:tcPr>
          <w:p>
            <w:pPr>
              <w:spacing w:after="0"/>
              <w:rPr>
                <w:sz w:val="13"/>
                <w:szCs w:val="13"/>
                <w:color w:val="auto"/>
              </w:rPr>
            </w:pPr>
          </w:p>
        </w:tc>
      </w:tr>
    </w:tbl>
    <w:p>
      <w:pPr>
        <w:spacing w:after="0" w:line="148" w:lineRule="exact"/>
        <w:rPr>
          <w:sz w:val="20"/>
          <w:szCs w:val="20"/>
          <w:color w:val="auto"/>
        </w:rPr>
      </w:pPr>
    </w:p>
    <w:p>
      <w:pPr>
        <w:ind w:left="640" w:right="679"/>
        <w:spacing w:after="0" w:line="251" w:lineRule="auto"/>
        <w:rPr>
          <w:sz w:val="20"/>
          <w:szCs w:val="20"/>
          <w:color w:val="auto"/>
        </w:rPr>
      </w:pPr>
      <w:r>
        <w:rPr>
          <w:rFonts w:ascii="Times New Roman" w:cs="Times New Roman" w:eastAsia="Times New Roman" w:hAnsi="Times New Roman"/>
          <w:sz w:val="13"/>
          <w:szCs w:val="13"/>
          <w:color w:val="auto"/>
        </w:rPr>
        <w:t>The Class C-2 Shares had a fair value as of June 23, 2022, of $22,770. On September 30, 2022, the fair value of the Class C-2 Shares was remeasured at $9,900, for a total gain related to the change in fair value of $12,870. The Class C-2 Shares are not publicly traded and require a valuation approach leveraging Level 2 inputs. Refer to Note 1 - Significant accounting policies and judgements for further details on the valuation methodology utilized to determine the fair value of the Class C-2 Shares.</w:t>
      </w:r>
    </w:p>
    <w:p>
      <w:pPr>
        <w:spacing w:after="0" w:line="8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35</w:t>
      </w:r>
    </w:p>
    <w:p>
      <w:pPr>
        <w:sectPr>
          <w:pgSz w:w="11900" w:h="16838" w:orient="portrait"/>
          <w:cols w:equalWidth="0" w:num="1">
            <w:col w:w="9019"/>
          </w:cols>
          <w:pgMar w:left="1440" w:top="231" w:right="1440" w:bottom="1440" w:gutter="0" w:footer="0" w:header="0"/>
        </w:sectPr>
      </w:pPr>
    </w:p>
    <w:bookmarkStart w:id="92" w:name="page93"/>
    <w:bookmarkEnd w:id="92"/>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79" w:lineRule="exact"/>
        <w:rPr>
          <w:sz w:val="20"/>
          <w:szCs w:val="20"/>
          <w:color w:val="auto"/>
        </w:rPr>
      </w:pPr>
    </w:p>
    <w:tbl>
      <w:tblPr>
        <w:tblLayout w:type="fixed"/>
        <w:tblInd w:w="640" w:type="dxa"/>
        <w:tblCellMar>
          <w:top w:w="0" w:type="dxa"/>
          <w:left w:w="0" w:type="dxa"/>
          <w:bottom w:w="0" w:type="dxa"/>
          <w:right w:w="0" w:type="dxa"/>
        </w:tblCellMar>
      </w:tblPr>
      <w:tr>
        <w:trPr>
          <w:trHeight w:val="115"/>
        </w:trPr>
        <w:tc>
          <w:tcPr>
            <w:tcW w:w="32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322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080" w:type="dxa"/>
            <w:vAlign w:val="bottom"/>
            <w:gridSpan w:val="5"/>
          </w:tcPr>
          <w:p>
            <w:pPr>
              <w:jc w:val="center"/>
              <w:ind w:right="660"/>
              <w:spacing w:after="0"/>
              <w:rPr>
                <w:sz w:val="20"/>
                <w:szCs w:val="20"/>
                <w:color w:val="auto"/>
              </w:rPr>
            </w:pPr>
            <w:r>
              <w:rPr>
                <w:rFonts w:ascii="Times New Roman" w:cs="Times New Roman" w:eastAsia="Times New Roman" w:hAnsi="Times New Roman"/>
                <w:sz w:val="10"/>
                <w:szCs w:val="10"/>
                <w:b w:val="1"/>
                <w:bCs w:val="1"/>
                <w:color w:val="auto"/>
              </w:rPr>
              <w:t>Class C-2</w:t>
            </w:r>
          </w:p>
        </w:tc>
        <w:tc>
          <w:tcPr>
            <w:tcW w:w="3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32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322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080" w:type="dxa"/>
            <w:vAlign w:val="bottom"/>
            <w:gridSpan w:val="5"/>
          </w:tcPr>
          <w:p>
            <w:pPr>
              <w:jc w:val="center"/>
              <w:ind w:right="640"/>
              <w:spacing w:after="0"/>
              <w:rPr>
                <w:sz w:val="20"/>
                <w:szCs w:val="20"/>
                <w:color w:val="auto"/>
              </w:rPr>
            </w:pPr>
            <w:r>
              <w:rPr>
                <w:rFonts w:ascii="Times New Roman" w:cs="Times New Roman" w:eastAsia="Times New Roman" w:hAnsi="Times New Roman"/>
                <w:sz w:val="10"/>
                <w:szCs w:val="10"/>
                <w:b w:val="1"/>
                <w:bCs w:val="1"/>
                <w:color w:val="auto"/>
                <w:w w:val="96"/>
              </w:rPr>
              <w:t>Shares</w:t>
            </w:r>
          </w:p>
        </w:tc>
        <w:tc>
          <w:tcPr>
            <w:tcW w:w="3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1"/>
        </w:trPr>
        <w:tc>
          <w:tcPr>
            <w:tcW w:w="3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3220" w:type="dxa"/>
            <w:vAlign w:val="bottom"/>
            <w:tcBorders>
              <w:top w:val="single" w:sz="8" w:color="CCEEFF"/>
            </w:tcBorders>
            <w:shd w:val="clear" w:color="auto" w:fill="CCEEFF"/>
          </w:tcPr>
          <w:p>
            <w:pPr>
              <w:spacing w:after="0" w:line="141" w:lineRule="exact"/>
              <w:rPr>
                <w:sz w:val="20"/>
                <w:szCs w:val="20"/>
                <w:color w:val="auto"/>
              </w:rPr>
            </w:pPr>
            <w:r>
              <w:rPr>
                <w:rFonts w:ascii="Times New Roman" w:cs="Times New Roman" w:eastAsia="Times New Roman" w:hAnsi="Times New Roman"/>
                <w:sz w:val="13"/>
                <w:szCs w:val="13"/>
                <w:b w:val="1"/>
                <w:bCs w:val="1"/>
                <w:color w:val="auto"/>
              </w:rPr>
              <w:t>As of January 1, 2022</w:t>
            </w:r>
          </w:p>
        </w:tc>
        <w:tc>
          <w:tcPr>
            <w:tcW w:w="640" w:type="dxa"/>
            <w:vAlign w:val="bottom"/>
            <w:tcBorders>
              <w:top w:val="single" w:sz="8" w:color="CCEEFF"/>
            </w:tcBorders>
            <w:shd w:val="clear" w:color="auto" w:fill="CCEEFF"/>
          </w:tcPr>
          <w:p>
            <w:pPr>
              <w:spacing w:after="0"/>
              <w:rPr>
                <w:sz w:val="12"/>
                <w:szCs w:val="12"/>
                <w:color w:val="auto"/>
              </w:rPr>
            </w:pPr>
          </w:p>
        </w:tc>
        <w:tc>
          <w:tcPr>
            <w:tcW w:w="30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34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rPr>
                <w:sz w:val="12"/>
                <w:szCs w:val="12"/>
                <w:color w:val="auto"/>
              </w:rPr>
            </w:pPr>
          </w:p>
        </w:tc>
        <w:tc>
          <w:tcPr>
            <w:tcW w:w="400" w:type="dxa"/>
            <w:vAlign w:val="bottom"/>
            <w:tcBorders>
              <w:top w:val="single" w:sz="8" w:color="auto"/>
              <w:right w:val="single" w:sz="8" w:color="CCEEFF"/>
            </w:tcBorders>
            <w:shd w:val="clear" w:color="auto" w:fill="CCEEFF"/>
          </w:tcPr>
          <w:p>
            <w:pPr>
              <w:jc w:val="right"/>
              <w:ind w:right="59"/>
              <w:spacing w:after="0" w:line="141" w:lineRule="exact"/>
              <w:rPr>
                <w:sz w:val="20"/>
                <w:szCs w:val="20"/>
                <w:color w:val="auto"/>
              </w:rPr>
            </w:pPr>
            <w:r>
              <w:rPr>
                <w:rFonts w:ascii="Times New Roman" w:cs="Times New Roman" w:eastAsia="Times New Roman" w:hAnsi="Times New Roman"/>
                <w:sz w:val="13"/>
                <w:szCs w:val="13"/>
                <w:b w:val="1"/>
                <w:bCs w:val="1"/>
                <w:color w:val="auto"/>
              </w:rPr>
              <w:t>—</w:t>
            </w:r>
          </w:p>
        </w:tc>
        <w:tc>
          <w:tcPr>
            <w:tcW w:w="2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2"/>
        </w:trPr>
        <w:tc>
          <w:tcPr>
            <w:tcW w:w="32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3220" w:type="dxa"/>
            <w:vAlign w:val="bottom"/>
          </w:tcPr>
          <w:p>
            <w:pPr>
              <w:spacing w:after="0"/>
              <w:rPr>
                <w:sz w:val="20"/>
                <w:szCs w:val="20"/>
                <w:color w:val="auto"/>
              </w:rPr>
            </w:pPr>
            <w:r>
              <w:rPr>
                <w:rFonts w:ascii="Times New Roman" w:cs="Times New Roman" w:eastAsia="Times New Roman" w:hAnsi="Times New Roman"/>
                <w:sz w:val="13"/>
                <w:szCs w:val="13"/>
                <w:color w:val="auto"/>
              </w:rPr>
              <w:t>Class C-2 Shares issued</w:t>
            </w:r>
          </w:p>
        </w:tc>
        <w:tc>
          <w:tcPr>
            <w:tcW w:w="64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0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22,770</w:t>
            </w:r>
          </w:p>
        </w:tc>
        <w:tc>
          <w:tcPr>
            <w:tcW w:w="2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32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32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Change in fair value measurement</w:t>
            </w:r>
          </w:p>
        </w:tc>
        <w:tc>
          <w:tcPr>
            <w:tcW w:w="64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50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(12,870)</w:t>
            </w:r>
          </w:p>
        </w:tc>
        <w:tc>
          <w:tcPr>
            <w:tcW w:w="2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32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322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As of September 30, 2022</w:t>
            </w:r>
          </w:p>
        </w:tc>
        <w:tc>
          <w:tcPr>
            <w:tcW w:w="64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00" w:type="dxa"/>
            <w:vAlign w:val="bottom"/>
            <w:tcBorders>
              <w:top w:val="single" w:sz="8" w:color="auto"/>
              <w:bottom w:val="single" w:sz="8" w:color="auto"/>
            </w:tcBorders>
            <w:gridSpan w:val="2"/>
          </w:tcPr>
          <w:p>
            <w:pPr>
              <w:jc w:val="right"/>
              <w:spacing w:after="0"/>
              <w:rPr>
                <w:sz w:val="20"/>
                <w:szCs w:val="20"/>
                <w:color w:val="auto"/>
              </w:rPr>
            </w:pPr>
            <w:r>
              <w:rPr>
                <w:rFonts w:ascii="Times New Roman" w:cs="Times New Roman" w:eastAsia="Times New Roman" w:hAnsi="Times New Roman"/>
                <w:sz w:val="13"/>
                <w:szCs w:val="13"/>
                <w:b w:val="1"/>
                <w:bCs w:val="1"/>
                <w:color w:val="auto"/>
              </w:rPr>
              <w:t>9,900</w:t>
            </w:r>
          </w:p>
        </w:tc>
        <w:tc>
          <w:tcPr>
            <w:tcW w:w="2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02"/>
        </w:trPr>
        <w:tc>
          <w:tcPr>
            <w:tcW w:w="4460" w:type="dxa"/>
            <w:vAlign w:val="bottom"/>
            <w:gridSpan w:val="3"/>
          </w:tcPr>
          <w:p>
            <w:pPr>
              <w:spacing w:after="0"/>
              <w:rPr>
                <w:sz w:val="20"/>
                <w:szCs w:val="20"/>
                <w:color w:val="auto"/>
              </w:rPr>
            </w:pPr>
            <w:r>
              <w:rPr>
                <w:rFonts w:ascii="Times New Roman" w:cs="Times New Roman" w:eastAsia="Times New Roman" w:hAnsi="Times New Roman"/>
                <w:sz w:val="13"/>
                <w:szCs w:val="13"/>
                <w:color w:val="auto"/>
              </w:rPr>
              <w:t>The fair value change for Class C Shares are as follows:</w:t>
            </w:r>
          </w:p>
        </w:tc>
        <w:tc>
          <w:tcPr>
            <w:tcW w:w="6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8"/>
        </w:trPr>
        <w:tc>
          <w:tcPr>
            <w:tcW w:w="320" w:type="dxa"/>
            <w:vAlign w:val="bottom"/>
          </w:tcPr>
          <w:p>
            <w:pPr>
              <w:spacing w:after="0"/>
              <w:rPr>
                <w:sz w:val="22"/>
                <w:szCs w:val="22"/>
                <w:color w:val="auto"/>
              </w:rPr>
            </w:pPr>
          </w:p>
        </w:tc>
        <w:tc>
          <w:tcPr>
            <w:tcW w:w="920" w:type="dxa"/>
            <w:vAlign w:val="bottom"/>
          </w:tcPr>
          <w:p>
            <w:pPr>
              <w:spacing w:after="0"/>
              <w:rPr>
                <w:sz w:val="22"/>
                <w:szCs w:val="22"/>
                <w:color w:val="auto"/>
              </w:rPr>
            </w:pPr>
          </w:p>
        </w:tc>
        <w:tc>
          <w:tcPr>
            <w:tcW w:w="3220" w:type="dxa"/>
            <w:vAlign w:val="bottom"/>
          </w:tcPr>
          <w:p>
            <w:pPr>
              <w:spacing w:after="0"/>
              <w:rPr>
                <w:sz w:val="22"/>
                <w:szCs w:val="22"/>
                <w:color w:val="auto"/>
              </w:rPr>
            </w:pPr>
          </w:p>
        </w:tc>
        <w:tc>
          <w:tcPr>
            <w:tcW w:w="1520" w:type="dxa"/>
            <w:vAlign w:val="bottom"/>
            <w:gridSpan w:val="5"/>
          </w:tcPr>
          <w:p>
            <w:pPr>
              <w:jc w:val="center"/>
              <w:ind w:right="180"/>
              <w:spacing w:after="0"/>
              <w:rPr>
                <w:sz w:val="20"/>
                <w:szCs w:val="20"/>
                <w:color w:val="auto"/>
              </w:rPr>
            </w:pPr>
            <w:r>
              <w:rPr>
                <w:rFonts w:ascii="Times New Roman" w:cs="Times New Roman" w:eastAsia="Times New Roman" w:hAnsi="Times New Roman"/>
                <w:sz w:val="10"/>
                <w:szCs w:val="10"/>
                <w:b w:val="1"/>
                <w:bCs w:val="1"/>
                <w:color w:val="auto"/>
                <w:w w:val="99"/>
              </w:rPr>
              <w:t>For the three months ended</w:t>
            </w:r>
          </w:p>
        </w:tc>
        <w:tc>
          <w:tcPr>
            <w:tcW w:w="100" w:type="dxa"/>
            <w:vAlign w:val="bottom"/>
          </w:tcPr>
          <w:p>
            <w:pPr>
              <w:spacing w:after="0"/>
              <w:rPr>
                <w:sz w:val="22"/>
                <w:szCs w:val="22"/>
                <w:color w:val="auto"/>
              </w:rPr>
            </w:pPr>
          </w:p>
        </w:tc>
        <w:tc>
          <w:tcPr>
            <w:tcW w:w="1340" w:type="dxa"/>
            <w:vAlign w:val="bottom"/>
            <w:gridSpan w:val="6"/>
          </w:tcPr>
          <w:p>
            <w:pPr>
              <w:jc w:val="center"/>
              <w:ind w:right="40"/>
              <w:spacing w:after="0"/>
              <w:rPr>
                <w:sz w:val="20"/>
                <w:szCs w:val="20"/>
                <w:color w:val="auto"/>
              </w:rPr>
            </w:pPr>
            <w:r>
              <w:rPr>
                <w:rFonts w:ascii="Times New Roman" w:cs="Times New Roman" w:eastAsia="Times New Roman" w:hAnsi="Times New Roman"/>
                <w:sz w:val="10"/>
                <w:szCs w:val="10"/>
                <w:b w:val="1"/>
                <w:bCs w:val="1"/>
                <w:color w:val="auto"/>
                <w:w w:val="99"/>
              </w:rPr>
              <w:t>For the nine months ended</w:t>
            </w:r>
          </w:p>
        </w:tc>
        <w:tc>
          <w:tcPr>
            <w:tcW w:w="0" w:type="dxa"/>
            <w:vAlign w:val="bottom"/>
          </w:tcPr>
          <w:p>
            <w:pPr>
              <w:spacing w:after="0"/>
              <w:rPr>
                <w:sz w:val="1"/>
                <w:szCs w:val="1"/>
                <w:color w:val="auto"/>
              </w:rPr>
            </w:pPr>
          </w:p>
        </w:tc>
      </w:tr>
      <w:tr>
        <w:trPr>
          <w:trHeight w:val="104"/>
        </w:trPr>
        <w:tc>
          <w:tcPr>
            <w:tcW w:w="320" w:type="dxa"/>
            <w:vAlign w:val="bottom"/>
          </w:tcPr>
          <w:p>
            <w:pPr>
              <w:spacing w:after="0"/>
              <w:rPr>
                <w:sz w:val="9"/>
                <w:szCs w:val="9"/>
                <w:color w:val="auto"/>
              </w:rPr>
            </w:pPr>
          </w:p>
        </w:tc>
        <w:tc>
          <w:tcPr>
            <w:tcW w:w="920" w:type="dxa"/>
            <w:vAlign w:val="bottom"/>
          </w:tcPr>
          <w:p>
            <w:pPr>
              <w:spacing w:after="0"/>
              <w:rPr>
                <w:sz w:val="9"/>
                <w:szCs w:val="9"/>
                <w:color w:val="auto"/>
              </w:rPr>
            </w:pPr>
          </w:p>
        </w:tc>
        <w:tc>
          <w:tcPr>
            <w:tcW w:w="3220" w:type="dxa"/>
            <w:vAlign w:val="bottom"/>
          </w:tcPr>
          <w:p>
            <w:pPr>
              <w:spacing w:after="0"/>
              <w:rPr>
                <w:sz w:val="9"/>
                <w:szCs w:val="9"/>
                <w:color w:val="auto"/>
              </w:rPr>
            </w:pPr>
          </w:p>
        </w:tc>
        <w:tc>
          <w:tcPr>
            <w:tcW w:w="1000" w:type="dxa"/>
            <w:vAlign w:val="bottom"/>
            <w:gridSpan w:val="3"/>
          </w:tcPr>
          <w:p>
            <w:pPr>
              <w:jc w:val="center"/>
              <w:ind w:left="283"/>
              <w:spacing w:after="0" w:line="104" w:lineRule="exact"/>
              <w:rPr>
                <w:sz w:val="20"/>
                <w:szCs w:val="20"/>
                <w:color w:val="auto"/>
              </w:rPr>
            </w:pPr>
            <w:r>
              <w:rPr>
                <w:rFonts w:ascii="Times New Roman" w:cs="Times New Roman" w:eastAsia="Times New Roman" w:hAnsi="Times New Roman"/>
                <w:sz w:val="10"/>
                <w:szCs w:val="10"/>
                <w:b w:val="1"/>
                <w:bCs w:val="1"/>
                <w:color w:val="auto"/>
              </w:rPr>
              <w:t>September 30,</w:t>
            </w:r>
          </w:p>
        </w:tc>
        <w:tc>
          <w:tcPr>
            <w:tcW w:w="340" w:type="dxa"/>
            <w:vAlign w:val="bottom"/>
            <w:vMerge w:val="restart"/>
          </w:tcPr>
          <w:p>
            <w:pPr>
              <w:jc w:val="right"/>
              <w:ind w:right="40"/>
              <w:spacing w:after="0"/>
              <w:rPr>
                <w:sz w:val="20"/>
                <w:szCs w:val="20"/>
                <w:color w:val="auto"/>
              </w:rPr>
            </w:pPr>
            <w:r>
              <w:rPr>
                <w:rFonts w:ascii="Times New Roman" w:cs="Times New Roman" w:eastAsia="Times New Roman" w:hAnsi="Times New Roman"/>
                <w:sz w:val="10"/>
                <w:szCs w:val="10"/>
                <w:b w:val="1"/>
                <w:bCs w:val="1"/>
                <w:color w:val="auto"/>
              </w:rPr>
              <w:t>2021</w:t>
            </w:r>
          </w:p>
        </w:tc>
        <w:tc>
          <w:tcPr>
            <w:tcW w:w="180" w:type="dxa"/>
            <w:vAlign w:val="bottom"/>
          </w:tcPr>
          <w:p>
            <w:pPr>
              <w:spacing w:after="0"/>
              <w:rPr>
                <w:sz w:val="9"/>
                <w:szCs w:val="9"/>
                <w:color w:val="auto"/>
              </w:rPr>
            </w:pPr>
          </w:p>
        </w:tc>
        <w:tc>
          <w:tcPr>
            <w:tcW w:w="100" w:type="dxa"/>
            <w:vAlign w:val="bottom"/>
          </w:tcPr>
          <w:p>
            <w:pPr>
              <w:spacing w:after="0"/>
              <w:rPr>
                <w:sz w:val="9"/>
                <w:szCs w:val="9"/>
                <w:color w:val="auto"/>
              </w:rPr>
            </w:pPr>
          </w:p>
        </w:tc>
        <w:tc>
          <w:tcPr>
            <w:tcW w:w="400" w:type="dxa"/>
            <w:vAlign w:val="bottom"/>
          </w:tcPr>
          <w:p>
            <w:pPr>
              <w:spacing w:after="0"/>
              <w:rPr>
                <w:sz w:val="9"/>
                <w:szCs w:val="9"/>
                <w:color w:val="auto"/>
              </w:rPr>
            </w:pPr>
          </w:p>
        </w:tc>
        <w:tc>
          <w:tcPr>
            <w:tcW w:w="580" w:type="dxa"/>
            <w:vAlign w:val="bottom"/>
            <w:gridSpan w:val="3"/>
          </w:tcPr>
          <w:p>
            <w:pPr>
              <w:jc w:val="center"/>
              <w:ind w:right="20"/>
              <w:spacing w:after="0" w:line="104" w:lineRule="exact"/>
              <w:rPr>
                <w:sz w:val="20"/>
                <w:szCs w:val="20"/>
                <w:color w:val="auto"/>
              </w:rPr>
            </w:pPr>
            <w:r>
              <w:rPr>
                <w:rFonts w:ascii="Times New Roman" w:cs="Times New Roman" w:eastAsia="Times New Roman" w:hAnsi="Times New Roman"/>
                <w:sz w:val="10"/>
                <w:szCs w:val="10"/>
                <w:b w:val="1"/>
                <w:bCs w:val="1"/>
                <w:color w:val="auto"/>
                <w:w w:val="91"/>
              </w:rPr>
              <w:t>September 30,</w:t>
            </w:r>
          </w:p>
        </w:tc>
        <w:tc>
          <w:tcPr>
            <w:tcW w:w="320" w:type="dxa"/>
            <w:vAlign w:val="bottom"/>
            <w:vMerge w:val="restart"/>
          </w:tcPr>
          <w:p>
            <w:pPr>
              <w:jc w:val="right"/>
              <w:ind w:right="20"/>
              <w:spacing w:after="0"/>
              <w:rPr>
                <w:sz w:val="20"/>
                <w:szCs w:val="20"/>
                <w:color w:val="auto"/>
              </w:rPr>
            </w:pPr>
            <w:r>
              <w:rPr>
                <w:rFonts w:ascii="Times New Roman" w:cs="Times New Roman" w:eastAsia="Times New Roman" w:hAnsi="Times New Roman"/>
                <w:sz w:val="10"/>
                <w:szCs w:val="10"/>
                <w:b w:val="1"/>
                <w:bCs w:val="1"/>
                <w:color w:val="auto"/>
              </w:rPr>
              <w:t>2021</w:t>
            </w: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1"/>
        </w:trPr>
        <w:tc>
          <w:tcPr>
            <w:tcW w:w="32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3220" w:type="dxa"/>
            <w:vAlign w:val="bottom"/>
          </w:tcPr>
          <w:p>
            <w:pPr>
              <w:spacing w:after="0"/>
              <w:rPr>
                <w:sz w:val="10"/>
                <w:szCs w:val="10"/>
                <w:color w:val="auto"/>
              </w:rPr>
            </w:pPr>
          </w:p>
        </w:tc>
        <w:tc>
          <w:tcPr>
            <w:tcW w:w="640" w:type="dxa"/>
            <w:vAlign w:val="bottom"/>
          </w:tcPr>
          <w:p>
            <w:pPr>
              <w:jc w:val="right"/>
              <w:ind w:right="163"/>
              <w:spacing w:after="0"/>
              <w:rPr>
                <w:sz w:val="20"/>
                <w:szCs w:val="20"/>
                <w:color w:val="auto"/>
              </w:rPr>
            </w:pPr>
            <w:r>
              <w:rPr>
                <w:rFonts w:ascii="Times New Roman" w:cs="Times New Roman" w:eastAsia="Times New Roman" w:hAnsi="Times New Roman"/>
                <w:sz w:val="10"/>
                <w:szCs w:val="10"/>
                <w:b w:val="1"/>
                <w:bCs w:val="1"/>
                <w:color w:val="auto"/>
              </w:rPr>
              <w:t>2022</w:t>
            </w:r>
          </w:p>
        </w:tc>
        <w:tc>
          <w:tcPr>
            <w:tcW w:w="3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40" w:type="dxa"/>
            <w:vAlign w:val="bottom"/>
            <w:vMerge w:val="continue"/>
          </w:tcPr>
          <w:p>
            <w:pPr>
              <w:spacing w:after="0"/>
              <w:rPr>
                <w:sz w:val="10"/>
                <w:szCs w:val="10"/>
                <w:color w:val="auto"/>
              </w:rPr>
            </w:pPr>
          </w:p>
        </w:tc>
        <w:tc>
          <w:tcPr>
            <w:tcW w:w="180" w:type="dxa"/>
            <w:vAlign w:val="bottom"/>
          </w:tcPr>
          <w:p>
            <w:pPr>
              <w:spacing w:after="0"/>
              <w:rPr>
                <w:sz w:val="10"/>
                <w:szCs w:val="10"/>
                <w:color w:val="auto"/>
              </w:rPr>
            </w:pPr>
          </w:p>
        </w:tc>
        <w:tc>
          <w:tcPr>
            <w:tcW w:w="720" w:type="dxa"/>
            <w:vAlign w:val="bottom"/>
            <w:gridSpan w:val="3"/>
          </w:tcPr>
          <w:p>
            <w:pPr>
              <w:jc w:val="right"/>
              <w:ind w:right="149"/>
              <w:spacing w:after="0"/>
              <w:rPr>
                <w:sz w:val="20"/>
                <w:szCs w:val="20"/>
                <w:color w:val="auto"/>
              </w:rPr>
            </w:pPr>
            <w:r>
              <w:rPr>
                <w:rFonts w:ascii="Times New Roman" w:cs="Times New Roman" w:eastAsia="Times New Roman" w:hAnsi="Times New Roman"/>
                <w:sz w:val="10"/>
                <w:szCs w:val="10"/>
                <w:b w:val="1"/>
                <w:bCs w:val="1"/>
                <w:color w:val="auto"/>
              </w:rPr>
              <w:t>2022</w:t>
            </w:r>
          </w:p>
        </w:tc>
        <w:tc>
          <w:tcPr>
            <w:tcW w:w="3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20" w:type="dxa"/>
            <w:vAlign w:val="bottom"/>
            <w:vMerge w:val="continue"/>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1"/>
        </w:trPr>
        <w:tc>
          <w:tcPr>
            <w:tcW w:w="320" w:type="dxa"/>
            <w:vAlign w:val="bottom"/>
          </w:tcPr>
          <w:p>
            <w:pPr>
              <w:spacing w:after="0"/>
              <w:rPr>
                <w:sz w:val="12"/>
                <w:szCs w:val="12"/>
                <w:color w:val="auto"/>
              </w:rPr>
            </w:pPr>
          </w:p>
        </w:tc>
        <w:tc>
          <w:tcPr>
            <w:tcW w:w="4140" w:type="dxa"/>
            <w:vAlign w:val="bottom"/>
            <w:tcBorders>
              <w:top w:val="single" w:sz="8" w:color="CCEEFF"/>
            </w:tcBorders>
            <w:gridSpan w:val="2"/>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Fair value change - Class C-1 Shares</w:t>
            </w:r>
          </w:p>
        </w:tc>
        <w:tc>
          <w:tcPr>
            <w:tcW w:w="64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8,960</w:t>
            </w:r>
          </w:p>
        </w:tc>
        <w:tc>
          <w:tcPr>
            <w:tcW w:w="30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auto"/>
            </w:tcBorders>
            <w:shd w:val="clear" w:color="auto" w:fill="CCEEFF"/>
          </w:tcPr>
          <w:p>
            <w:pPr>
              <w:spacing w:after="0"/>
              <w:rPr>
                <w:sz w:val="12"/>
                <w:szCs w:val="12"/>
                <w:color w:val="auto"/>
              </w:rPr>
            </w:pPr>
          </w:p>
        </w:tc>
        <w:tc>
          <w:tcPr>
            <w:tcW w:w="340" w:type="dxa"/>
            <w:vAlign w:val="bottom"/>
            <w:tcBorders>
              <w:top w:val="single" w:sz="8" w:color="auto"/>
            </w:tcBorders>
            <w:shd w:val="clear" w:color="auto" w:fill="CCEEFF"/>
          </w:tcPr>
          <w:p>
            <w:pPr>
              <w:ind w:left="140"/>
              <w:spacing w:after="0" w:line="141" w:lineRule="exact"/>
              <w:rPr>
                <w:sz w:val="20"/>
                <w:szCs w:val="20"/>
                <w:color w:val="auto"/>
              </w:rPr>
            </w:pPr>
            <w:r>
              <w:rPr>
                <w:rFonts w:ascii="Times New Roman" w:cs="Times New Roman" w:eastAsia="Times New Roman" w:hAnsi="Times New Roman"/>
                <w:sz w:val="13"/>
                <w:szCs w:val="13"/>
                <w:color w:val="auto"/>
              </w:rPr>
              <w:t>—</w:t>
            </w:r>
          </w:p>
        </w:tc>
        <w:tc>
          <w:tcPr>
            <w:tcW w:w="18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620" w:type="dxa"/>
            <w:vAlign w:val="bottom"/>
            <w:tcBorders>
              <w:top w:val="single" w:sz="8" w:color="auto"/>
            </w:tcBorders>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22,720</w:t>
            </w:r>
          </w:p>
        </w:tc>
        <w:tc>
          <w:tcPr>
            <w:tcW w:w="30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auto"/>
            </w:tcBorders>
            <w:shd w:val="clear" w:color="auto" w:fill="CCEEFF"/>
          </w:tcPr>
          <w:p>
            <w:pPr>
              <w:spacing w:after="0"/>
              <w:rPr>
                <w:sz w:val="12"/>
                <w:szCs w:val="12"/>
                <w:color w:val="auto"/>
              </w:rPr>
            </w:pPr>
          </w:p>
        </w:tc>
        <w:tc>
          <w:tcPr>
            <w:tcW w:w="320" w:type="dxa"/>
            <w:vAlign w:val="bottom"/>
            <w:tcBorders>
              <w:top w:val="single" w:sz="8" w:color="auto"/>
            </w:tcBorders>
            <w:shd w:val="clear" w:color="auto" w:fill="CCEEFF"/>
          </w:tcPr>
          <w:p>
            <w:pPr>
              <w:ind w:left="140"/>
              <w:spacing w:after="0" w:line="141" w:lineRule="exact"/>
              <w:rPr>
                <w:sz w:val="20"/>
                <w:szCs w:val="20"/>
                <w:color w:val="auto"/>
              </w:rPr>
            </w:pPr>
            <w:r>
              <w:rPr>
                <w:rFonts w:ascii="Times New Roman" w:cs="Times New Roman" w:eastAsia="Times New Roman" w:hAnsi="Times New Roman"/>
                <w:sz w:val="13"/>
                <w:szCs w:val="13"/>
                <w:color w:val="auto"/>
              </w:rPr>
              <w:t>—</w:t>
            </w:r>
          </w:p>
        </w:tc>
        <w:tc>
          <w:tcPr>
            <w:tcW w:w="4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2"/>
        </w:trPr>
        <w:tc>
          <w:tcPr>
            <w:tcW w:w="320" w:type="dxa"/>
            <w:vAlign w:val="bottom"/>
          </w:tcPr>
          <w:p>
            <w:pPr>
              <w:spacing w:after="0"/>
              <w:rPr>
                <w:sz w:val="13"/>
                <w:szCs w:val="13"/>
                <w:color w:val="auto"/>
              </w:rPr>
            </w:pPr>
          </w:p>
        </w:tc>
        <w:tc>
          <w:tcPr>
            <w:tcW w:w="4140" w:type="dxa"/>
            <w:vAlign w:val="bottom"/>
            <w:gridSpan w:val="2"/>
          </w:tcPr>
          <w:p>
            <w:pPr>
              <w:spacing w:after="0"/>
              <w:rPr>
                <w:sz w:val="20"/>
                <w:szCs w:val="20"/>
                <w:color w:val="auto"/>
              </w:rPr>
            </w:pPr>
            <w:r>
              <w:rPr>
                <w:rFonts w:ascii="Times New Roman" w:cs="Times New Roman" w:eastAsia="Times New Roman" w:hAnsi="Times New Roman"/>
                <w:sz w:val="13"/>
                <w:szCs w:val="13"/>
                <w:color w:val="auto"/>
              </w:rPr>
              <w:t>Fair value change - Class C-2 Shares</w:t>
            </w:r>
          </w:p>
        </w:tc>
        <w:tc>
          <w:tcPr>
            <w:tcW w:w="6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5,099</w:t>
            </w:r>
          </w:p>
        </w:tc>
        <w:tc>
          <w:tcPr>
            <w:tcW w:w="300" w:type="dxa"/>
            <w:vAlign w:val="bottom"/>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340" w:type="dxa"/>
            <w:vAlign w:val="bottom"/>
            <w:tcBorders>
              <w:bottom w:val="single" w:sz="8" w:color="auto"/>
            </w:tcBorders>
          </w:tcPr>
          <w:p>
            <w:pPr>
              <w:ind w:left="140"/>
              <w:spacing w:after="0"/>
              <w:rPr>
                <w:sz w:val="20"/>
                <w:szCs w:val="20"/>
                <w:color w:val="auto"/>
              </w:rPr>
            </w:pPr>
            <w:r>
              <w:rPr>
                <w:rFonts w:ascii="Times New Roman" w:cs="Times New Roman" w:eastAsia="Times New Roman" w:hAnsi="Times New Roman"/>
                <w:sz w:val="13"/>
                <w:szCs w:val="13"/>
                <w:color w:val="auto"/>
              </w:rPr>
              <w:t>—</w:t>
            </w:r>
          </w:p>
        </w:tc>
        <w:tc>
          <w:tcPr>
            <w:tcW w:w="1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2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13"/>
                <w:szCs w:val="13"/>
                <w:color w:val="auto"/>
              </w:rPr>
              <w:t>12,870</w:t>
            </w:r>
          </w:p>
        </w:tc>
        <w:tc>
          <w:tcPr>
            <w:tcW w:w="300" w:type="dxa"/>
            <w:vAlign w:val="bottom"/>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320" w:type="dxa"/>
            <w:vAlign w:val="bottom"/>
            <w:tcBorders>
              <w:bottom w:val="single" w:sz="8" w:color="auto"/>
            </w:tcBorders>
          </w:tcPr>
          <w:p>
            <w:pPr>
              <w:ind w:left="140"/>
              <w:spacing w:after="0"/>
              <w:rPr>
                <w:sz w:val="20"/>
                <w:szCs w:val="20"/>
                <w:color w:val="auto"/>
              </w:rPr>
            </w:pPr>
            <w:r>
              <w:rPr>
                <w:rFonts w:ascii="Times New Roman" w:cs="Times New Roman" w:eastAsia="Times New Roman" w:hAnsi="Times New Roman"/>
                <w:sz w:val="13"/>
                <w:szCs w:val="13"/>
                <w:color w:val="auto"/>
              </w:rPr>
              <w:t>—</w:t>
            </w: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320" w:type="dxa"/>
            <w:vAlign w:val="bottom"/>
          </w:tcPr>
          <w:p>
            <w:pPr>
              <w:spacing w:after="0"/>
              <w:rPr>
                <w:sz w:val="13"/>
                <w:szCs w:val="13"/>
                <w:color w:val="auto"/>
              </w:rPr>
            </w:pPr>
          </w:p>
        </w:tc>
        <w:tc>
          <w:tcPr>
            <w:tcW w:w="414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Fair value change - Class C Shares</w:t>
            </w:r>
          </w:p>
        </w:tc>
        <w:tc>
          <w:tcPr>
            <w:tcW w:w="64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14,059</w:t>
            </w:r>
          </w:p>
        </w:tc>
        <w:tc>
          <w:tcPr>
            <w:tcW w:w="300" w:type="dxa"/>
            <w:vAlign w:val="bottom"/>
            <w:shd w:val="clear" w:color="auto" w:fill="CCEEFF"/>
          </w:tcPr>
          <w:p>
            <w:pPr>
              <w:spacing w:after="0"/>
              <w:rPr>
                <w:sz w:val="13"/>
                <w:szCs w:val="13"/>
                <w:color w:val="auto"/>
              </w:rPr>
            </w:pPr>
          </w:p>
        </w:tc>
        <w:tc>
          <w:tcPr>
            <w:tcW w:w="60" w:type="dxa"/>
            <w:vAlign w:val="bottom"/>
            <w:tcBorders>
              <w:bottom w:val="single" w:sz="8" w:color="auto"/>
            </w:tcBorders>
            <w:shd w:val="clear" w:color="auto" w:fill="CCEEFF"/>
          </w:tcPr>
          <w:p>
            <w:pPr>
              <w:spacing w:after="0"/>
              <w:rPr>
                <w:sz w:val="13"/>
                <w:szCs w:val="13"/>
                <w:color w:val="auto"/>
              </w:rPr>
            </w:pPr>
          </w:p>
        </w:tc>
        <w:tc>
          <w:tcPr>
            <w:tcW w:w="340" w:type="dxa"/>
            <w:vAlign w:val="bottom"/>
            <w:tcBorders>
              <w:bottom w:val="single" w:sz="8" w:color="auto"/>
            </w:tcBorders>
            <w:shd w:val="clear" w:color="auto" w:fill="CCEEFF"/>
          </w:tcPr>
          <w:p>
            <w:pPr>
              <w:ind w:left="140"/>
              <w:spacing w:after="0"/>
              <w:rPr>
                <w:sz w:val="20"/>
                <w:szCs w:val="20"/>
                <w:color w:val="auto"/>
              </w:rPr>
            </w:pPr>
            <w:r>
              <w:rPr>
                <w:rFonts w:ascii="Times New Roman" w:cs="Times New Roman" w:eastAsia="Times New Roman" w:hAnsi="Times New Roman"/>
                <w:sz w:val="13"/>
                <w:szCs w:val="13"/>
                <w:color w:val="auto"/>
              </w:rPr>
              <w:t>—</w:t>
            </w:r>
          </w:p>
        </w:tc>
        <w:tc>
          <w:tcPr>
            <w:tcW w:w="1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20" w:type="dxa"/>
            <w:vAlign w:val="bottom"/>
            <w:tcBorders>
              <w:bottom w:val="single" w:sz="8" w:color="auto"/>
            </w:tcBorders>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35,590</w:t>
            </w:r>
          </w:p>
        </w:tc>
        <w:tc>
          <w:tcPr>
            <w:tcW w:w="300" w:type="dxa"/>
            <w:vAlign w:val="bottom"/>
            <w:shd w:val="clear" w:color="auto" w:fill="CCEEFF"/>
          </w:tcPr>
          <w:p>
            <w:pPr>
              <w:spacing w:after="0"/>
              <w:rPr>
                <w:sz w:val="13"/>
                <w:szCs w:val="13"/>
                <w:color w:val="auto"/>
              </w:rPr>
            </w:pPr>
          </w:p>
        </w:tc>
        <w:tc>
          <w:tcPr>
            <w:tcW w:w="60" w:type="dxa"/>
            <w:vAlign w:val="bottom"/>
            <w:tcBorders>
              <w:bottom w:val="single" w:sz="8" w:color="auto"/>
            </w:tcBorders>
            <w:shd w:val="clear" w:color="auto" w:fill="CCEEFF"/>
          </w:tcPr>
          <w:p>
            <w:pPr>
              <w:spacing w:after="0"/>
              <w:rPr>
                <w:sz w:val="13"/>
                <w:szCs w:val="13"/>
                <w:color w:val="auto"/>
              </w:rPr>
            </w:pPr>
          </w:p>
        </w:tc>
        <w:tc>
          <w:tcPr>
            <w:tcW w:w="320" w:type="dxa"/>
            <w:vAlign w:val="bottom"/>
            <w:tcBorders>
              <w:bottom w:val="single" w:sz="8" w:color="auto"/>
            </w:tcBorders>
            <w:shd w:val="clear" w:color="auto" w:fill="CCEEFF"/>
          </w:tcPr>
          <w:p>
            <w:pPr>
              <w:ind w:left="140"/>
              <w:spacing w:after="0"/>
              <w:rPr>
                <w:sz w:val="20"/>
                <w:szCs w:val="20"/>
                <w:color w:val="auto"/>
              </w:rPr>
            </w:pPr>
            <w:r>
              <w:rPr>
                <w:rFonts w:ascii="Times New Roman" w:cs="Times New Roman" w:eastAsia="Times New Roman" w:hAnsi="Times New Roman"/>
                <w:sz w:val="13"/>
                <w:szCs w:val="13"/>
                <w:color w:val="auto"/>
              </w:rPr>
              <w:t>—</w:t>
            </w:r>
          </w:p>
        </w:tc>
        <w:tc>
          <w:tcPr>
            <w:tcW w:w="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bl>
    <w:p>
      <w:pPr>
        <w:spacing w:after="0" w:line="146"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Earn-out rights</w:t>
      </w:r>
    </w:p>
    <w:p>
      <w:pPr>
        <w:spacing w:after="0" w:line="80" w:lineRule="exact"/>
        <w:rPr>
          <w:sz w:val="20"/>
          <w:szCs w:val="20"/>
          <w:color w:val="auto"/>
        </w:rPr>
      </w:pPr>
    </w:p>
    <w:p>
      <w:pPr>
        <w:ind w:left="640" w:right="719"/>
        <w:spacing w:after="0" w:line="248" w:lineRule="auto"/>
        <w:rPr>
          <w:sz w:val="20"/>
          <w:szCs w:val="20"/>
          <w:color w:val="auto"/>
        </w:rPr>
      </w:pPr>
      <w:r>
        <w:rPr>
          <w:rFonts w:ascii="Times New Roman" w:cs="Times New Roman" w:eastAsia="Times New Roman" w:hAnsi="Times New Roman"/>
          <w:sz w:val="13"/>
          <w:szCs w:val="13"/>
          <w:color w:val="auto"/>
        </w:rPr>
        <w:t>On the Closing of the BCA, the Former Parent (or the shareholders of the Former Parent if the Former Parent is dissolved or liquidated) was issued a contingent right to receive earn outs of up to 24,078,638 Class A Shares and 134,098,971 Class B Shares in ListCo, issuable in five tranches that each comprise 4,815,728 Class A Shares and 26,819,794 Class B Shares in ListCo. Each tranche is issuable once the daily volume weighted average price of Class A Shares in ListCo meets specific price hurdles for 20 trading days out of any 30 day trading period beginning after December 23, 2022 and ending on December 23, 2028. The daily volume weighted average price of Class A Shares in ListCo that is required to trigger each tranche is as follows:</w:t>
      </w:r>
    </w:p>
    <w:p>
      <w:pPr>
        <w:spacing w:after="0" w:line="68" w:lineRule="exact"/>
        <w:rPr>
          <w:sz w:val="20"/>
          <w:szCs w:val="20"/>
          <w:color w:val="auto"/>
        </w:rPr>
      </w:pPr>
    </w:p>
    <w:p>
      <w:pPr>
        <w:ind w:left="1320" w:hanging="303"/>
        <w:spacing w:after="0"/>
        <w:tabs>
          <w:tab w:leader="none" w:pos="1320" w:val="left"/>
        </w:tabs>
        <w:numPr>
          <w:ilvl w:val="0"/>
          <w:numId w:val="21"/>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Tranche 1 — $13 per share</w:t>
      </w:r>
    </w:p>
    <w:p>
      <w:pPr>
        <w:spacing w:after="0" w:line="87" w:lineRule="exact"/>
        <w:rPr>
          <w:rFonts w:ascii="Times New Roman" w:cs="Times New Roman" w:eastAsia="Times New Roman" w:hAnsi="Times New Roman"/>
          <w:sz w:val="13"/>
          <w:szCs w:val="13"/>
          <w:color w:val="auto"/>
        </w:rPr>
      </w:pPr>
    </w:p>
    <w:p>
      <w:pPr>
        <w:ind w:left="1320" w:hanging="303"/>
        <w:spacing w:after="0"/>
        <w:tabs>
          <w:tab w:leader="none" w:pos="1320" w:val="left"/>
        </w:tabs>
        <w:numPr>
          <w:ilvl w:val="0"/>
          <w:numId w:val="21"/>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Tranche 2 — $15.50 per share</w:t>
      </w:r>
    </w:p>
    <w:p>
      <w:pPr>
        <w:spacing w:after="0" w:line="87" w:lineRule="exact"/>
        <w:rPr>
          <w:rFonts w:ascii="Times New Roman" w:cs="Times New Roman" w:eastAsia="Times New Roman" w:hAnsi="Times New Roman"/>
          <w:sz w:val="13"/>
          <w:szCs w:val="13"/>
          <w:color w:val="auto"/>
        </w:rPr>
      </w:pPr>
    </w:p>
    <w:p>
      <w:pPr>
        <w:ind w:left="1320" w:hanging="303"/>
        <w:spacing w:after="0"/>
        <w:tabs>
          <w:tab w:leader="none" w:pos="1320" w:val="left"/>
        </w:tabs>
        <w:numPr>
          <w:ilvl w:val="0"/>
          <w:numId w:val="21"/>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Tranche 3 — $18 per share</w:t>
      </w:r>
    </w:p>
    <w:p>
      <w:pPr>
        <w:spacing w:after="0" w:line="87" w:lineRule="exact"/>
        <w:rPr>
          <w:rFonts w:ascii="Times New Roman" w:cs="Times New Roman" w:eastAsia="Times New Roman" w:hAnsi="Times New Roman"/>
          <w:sz w:val="13"/>
          <w:szCs w:val="13"/>
          <w:color w:val="auto"/>
        </w:rPr>
      </w:pPr>
    </w:p>
    <w:p>
      <w:pPr>
        <w:ind w:left="1320" w:hanging="303"/>
        <w:spacing w:after="0"/>
        <w:tabs>
          <w:tab w:leader="none" w:pos="1320" w:val="left"/>
        </w:tabs>
        <w:numPr>
          <w:ilvl w:val="0"/>
          <w:numId w:val="21"/>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Tranche 4 — $20.50 per share</w:t>
      </w:r>
    </w:p>
    <w:p>
      <w:pPr>
        <w:spacing w:after="0" w:line="87" w:lineRule="exact"/>
        <w:rPr>
          <w:rFonts w:ascii="Times New Roman" w:cs="Times New Roman" w:eastAsia="Times New Roman" w:hAnsi="Times New Roman"/>
          <w:sz w:val="13"/>
          <w:szCs w:val="13"/>
          <w:color w:val="auto"/>
        </w:rPr>
      </w:pPr>
    </w:p>
    <w:p>
      <w:pPr>
        <w:ind w:left="1320" w:hanging="303"/>
        <w:spacing w:after="0"/>
        <w:tabs>
          <w:tab w:leader="none" w:pos="1320" w:val="left"/>
        </w:tabs>
        <w:numPr>
          <w:ilvl w:val="0"/>
          <w:numId w:val="21"/>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Tranche 5 — $23 per share</w:t>
      </w:r>
    </w:p>
    <w:p>
      <w:pPr>
        <w:spacing w:after="0" w:line="154" w:lineRule="exact"/>
        <w:rPr>
          <w:sz w:val="20"/>
          <w:szCs w:val="20"/>
          <w:color w:val="auto"/>
        </w:rPr>
      </w:pPr>
    </w:p>
    <w:p>
      <w:pPr>
        <w:ind w:left="640" w:right="879"/>
        <w:spacing w:after="0" w:line="279" w:lineRule="auto"/>
        <w:rPr>
          <w:sz w:val="20"/>
          <w:szCs w:val="20"/>
          <w:color w:val="auto"/>
        </w:rPr>
      </w:pPr>
      <w:r>
        <w:rPr>
          <w:rFonts w:ascii="Times New Roman" w:cs="Times New Roman" w:eastAsia="Times New Roman" w:hAnsi="Times New Roman"/>
          <w:sz w:val="12"/>
          <w:szCs w:val="12"/>
          <w:color w:val="auto"/>
        </w:rPr>
        <w:t>If the daily volume weighted average price of Class A Shares in ListCo triggers a higher price tranche prior to triggering a lower price tranche, all tranches below the tranche triggered are also triggered for (e.g., if tranche 5 is triggered, tranches 1 through 4 are also triggered). Additionally, in the event there is a change of control of the Group, i.e., greater than 50%, all five tranches are automatically triggered for issuance. The Former Parent’s contingent right to the earn out tranches that are not triggered for issuance by December 23, 2028 will expire immediately.</w:t>
      </w:r>
    </w:p>
    <w:p>
      <w:pPr>
        <w:spacing w:after="0" w:line="116" w:lineRule="exact"/>
        <w:rPr>
          <w:sz w:val="20"/>
          <w:szCs w:val="20"/>
          <w:color w:val="auto"/>
        </w:rPr>
      </w:pPr>
    </w:p>
    <w:p>
      <w:pPr>
        <w:ind w:left="640" w:right="659"/>
        <w:spacing w:after="0" w:line="272" w:lineRule="auto"/>
        <w:rPr>
          <w:sz w:val="20"/>
          <w:szCs w:val="20"/>
          <w:color w:val="auto"/>
        </w:rPr>
      </w:pPr>
      <w:r>
        <w:rPr>
          <w:rFonts w:ascii="Times New Roman" w:cs="Times New Roman" w:eastAsia="Times New Roman" w:hAnsi="Times New Roman"/>
          <w:sz w:val="12"/>
          <w:szCs w:val="12"/>
          <w:color w:val="auto"/>
        </w:rPr>
        <w:t>The Group applied the provisions of IAS 32 and IFRS 9 in accounting for the contingent earn out rights of the Former Parent. Under IAS 32 and IFRS 9, the contingent earn out right failed to meet the definition of equity because it could result in the issuance of a variable number of Class A Shares and Class B Shares in ListCo and the triggering events are subject to price hurdles (i.e., a market condition) that are outside of the control of the Group. Instead, it meets definition of a derivative liability that is carried at fair value with subsequent changes in fair value recognized in the Unaudited Condensed Consolidated Statement of Income and Comprehensive Income (Loss) at each reporting date. However, since it provides value to owners of the Former Parent effectively in the form of a pro rata dividend, the fair value at the Closing of the BCA was charged to Accumulated deficit.</w:t>
      </w:r>
    </w:p>
    <w:p>
      <w:pPr>
        <w:spacing w:after="0" w:line="7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36</w:t>
      </w:r>
    </w:p>
    <w:p>
      <w:pPr>
        <w:sectPr>
          <w:pgSz w:w="11900" w:h="16838" w:orient="portrait"/>
          <w:cols w:equalWidth="0" w:num="1">
            <w:col w:w="9019"/>
          </w:cols>
          <w:pgMar w:left="1440" w:top="231" w:right="1440" w:bottom="1440" w:gutter="0" w:footer="0" w:header="0"/>
        </w:sectPr>
      </w:pPr>
    </w:p>
    <w:bookmarkStart w:id="93" w:name="page94"/>
    <w:bookmarkEnd w:id="93"/>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3" w:lineRule="exact"/>
        <w:rPr>
          <w:sz w:val="20"/>
          <w:szCs w:val="20"/>
          <w:color w:val="auto"/>
        </w:rPr>
      </w:pPr>
    </w:p>
    <w:p>
      <w:pPr>
        <w:ind w:left="640" w:right="899"/>
        <w:spacing w:after="0" w:line="286" w:lineRule="auto"/>
        <w:rPr>
          <w:sz w:val="20"/>
          <w:szCs w:val="20"/>
          <w:color w:val="auto"/>
        </w:rPr>
      </w:pPr>
      <w:r>
        <w:rPr>
          <w:rFonts w:ascii="Times New Roman" w:cs="Times New Roman" w:eastAsia="Times New Roman" w:hAnsi="Times New Roman"/>
          <w:sz w:val="12"/>
          <w:szCs w:val="12"/>
          <w:color w:val="auto"/>
        </w:rPr>
        <w:t>At the Closing of the BCA, the fair value of the contingent earn out rights was approximately $1,500,638. The financial liability was remeasured on September 30, 2022 at $534,970, resulting in a total gain related to the change in fair value of $965,668. Refer to Note 1 - Significant accounting policies and judgements for further details on the valuation methodology utilized to determine the fair value of the earn out.</w:t>
      </w:r>
    </w:p>
    <w:p>
      <w:pPr>
        <w:spacing w:after="0" w:line="118" w:lineRule="exact"/>
        <w:rPr>
          <w:sz w:val="20"/>
          <w:szCs w:val="20"/>
          <w:color w:val="auto"/>
        </w:rPr>
      </w:pPr>
    </w:p>
    <w:tbl>
      <w:tblPr>
        <w:tblLayout w:type="fixed"/>
        <w:tblInd w:w="640" w:type="dxa"/>
        <w:tblCellMar>
          <w:top w:w="0" w:type="dxa"/>
          <w:left w:w="0" w:type="dxa"/>
          <w:bottom w:w="0" w:type="dxa"/>
          <w:right w:w="0" w:type="dxa"/>
        </w:tblCellMar>
      </w:tblPr>
      <w:tr>
        <w:trPr>
          <w:trHeight w:val="115"/>
        </w:trPr>
        <w:tc>
          <w:tcPr>
            <w:tcW w:w="32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338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180" w:type="dxa"/>
            <w:vAlign w:val="bottom"/>
            <w:gridSpan w:val="5"/>
          </w:tcPr>
          <w:p>
            <w:pPr>
              <w:jc w:val="center"/>
              <w:ind w:right="700"/>
              <w:spacing w:after="0"/>
              <w:rPr>
                <w:sz w:val="20"/>
                <w:szCs w:val="20"/>
                <w:color w:val="auto"/>
              </w:rPr>
            </w:pPr>
            <w:r>
              <w:rPr>
                <w:rFonts w:ascii="Times New Roman" w:cs="Times New Roman" w:eastAsia="Times New Roman" w:hAnsi="Times New Roman"/>
                <w:sz w:val="10"/>
                <w:szCs w:val="10"/>
                <w:b w:val="1"/>
                <w:bCs w:val="1"/>
                <w:color w:val="auto"/>
              </w:rPr>
              <w:t>Earn out</w:t>
            </w:r>
          </w:p>
        </w:tc>
        <w:tc>
          <w:tcPr>
            <w:tcW w:w="3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32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338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180" w:type="dxa"/>
            <w:vAlign w:val="bottom"/>
            <w:gridSpan w:val="5"/>
          </w:tcPr>
          <w:p>
            <w:pPr>
              <w:jc w:val="center"/>
              <w:ind w:right="700"/>
              <w:spacing w:after="0"/>
              <w:rPr>
                <w:sz w:val="20"/>
                <w:szCs w:val="20"/>
                <w:color w:val="auto"/>
              </w:rPr>
            </w:pPr>
            <w:r>
              <w:rPr>
                <w:rFonts w:ascii="Times New Roman" w:cs="Times New Roman" w:eastAsia="Times New Roman" w:hAnsi="Times New Roman"/>
                <w:sz w:val="10"/>
                <w:szCs w:val="10"/>
                <w:b w:val="1"/>
                <w:bCs w:val="1"/>
                <w:color w:val="auto"/>
                <w:w w:val="95"/>
              </w:rPr>
              <w:t>rights</w:t>
            </w:r>
          </w:p>
        </w:tc>
        <w:tc>
          <w:tcPr>
            <w:tcW w:w="3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1"/>
        </w:trPr>
        <w:tc>
          <w:tcPr>
            <w:tcW w:w="3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3380" w:type="dxa"/>
            <w:vAlign w:val="bottom"/>
            <w:tcBorders>
              <w:top w:val="single" w:sz="8" w:color="CCEEFF"/>
            </w:tcBorders>
            <w:shd w:val="clear" w:color="auto" w:fill="CCEEFF"/>
          </w:tcPr>
          <w:p>
            <w:pPr>
              <w:spacing w:after="0" w:line="141" w:lineRule="exact"/>
              <w:rPr>
                <w:sz w:val="20"/>
                <w:szCs w:val="20"/>
                <w:color w:val="auto"/>
              </w:rPr>
            </w:pPr>
            <w:r>
              <w:rPr>
                <w:rFonts w:ascii="Times New Roman" w:cs="Times New Roman" w:eastAsia="Times New Roman" w:hAnsi="Times New Roman"/>
                <w:sz w:val="13"/>
                <w:szCs w:val="13"/>
                <w:b w:val="1"/>
                <w:bCs w:val="1"/>
                <w:color w:val="auto"/>
              </w:rPr>
              <w:t>As of January 1, 2022</w:t>
            </w:r>
          </w:p>
        </w:tc>
        <w:tc>
          <w:tcPr>
            <w:tcW w:w="680" w:type="dxa"/>
            <w:vAlign w:val="bottom"/>
            <w:tcBorders>
              <w:top w:val="single" w:sz="8" w:color="CCEEFF"/>
            </w:tcBorders>
            <w:shd w:val="clear" w:color="auto" w:fill="CCEEFF"/>
          </w:tcPr>
          <w:p>
            <w:pPr>
              <w:spacing w:after="0"/>
              <w:rPr>
                <w:sz w:val="12"/>
                <w:szCs w:val="12"/>
                <w:color w:val="auto"/>
              </w:rPr>
            </w:pPr>
          </w:p>
        </w:tc>
        <w:tc>
          <w:tcPr>
            <w:tcW w:w="24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CCEEFF"/>
            </w:tcBorders>
            <w:shd w:val="clear" w:color="auto" w:fill="CCEEFF"/>
          </w:tcPr>
          <w:p>
            <w:pPr>
              <w:spacing w:after="0"/>
              <w:rPr>
                <w:sz w:val="12"/>
                <w:szCs w:val="12"/>
                <w:color w:val="auto"/>
              </w:rPr>
            </w:pPr>
          </w:p>
        </w:tc>
        <w:tc>
          <w:tcPr>
            <w:tcW w:w="40" w:type="dxa"/>
            <w:vAlign w:val="bottom"/>
            <w:tcBorders>
              <w:top w:val="single" w:sz="8" w:color="auto"/>
            </w:tcBorders>
            <w:shd w:val="clear" w:color="auto" w:fill="CCEEFF"/>
          </w:tcPr>
          <w:p>
            <w:pPr>
              <w:spacing w:after="0"/>
              <w:rPr>
                <w:sz w:val="12"/>
                <w:szCs w:val="12"/>
                <w:color w:val="auto"/>
              </w:rPr>
            </w:pPr>
          </w:p>
        </w:tc>
        <w:tc>
          <w:tcPr>
            <w:tcW w:w="220" w:type="dxa"/>
            <w:vAlign w:val="bottom"/>
            <w:tcBorders>
              <w:top w:val="single" w:sz="8" w:color="auto"/>
            </w:tcBorders>
            <w:shd w:val="clear" w:color="auto" w:fill="CCEEFF"/>
          </w:tcPr>
          <w:p>
            <w:pPr>
              <w:spacing w:after="0"/>
              <w:rPr>
                <w:sz w:val="12"/>
                <w:szCs w:val="12"/>
                <w:color w:val="auto"/>
              </w:rPr>
            </w:pPr>
          </w:p>
        </w:tc>
        <w:tc>
          <w:tcPr>
            <w:tcW w:w="360" w:type="dxa"/>
            <w:vAlign w:val="bottom"/>
            <w:tcBorders>
              <w:top w:val="single" w:sz="8" w:color="auto"/>
              <w:right w:val="single" w:sz="8" w:color="CCEEFF"/>
            </w:tcBorders>
            <w:shd w:val="clear" w:color="auto" w:fill="CCEEFF"/>
          </w:tcPr>
          <w:p>
            <w:pPr>
              <w:jc w:val="right"/>
              <w:ind w:right="61"/>
              <w:spacing w:after="0" w:line="141" w:lineRule="exact"/>
              <w:rPr>
                <w:sz w:val="20"/>
                <w:szCs w:val="20"/>
                <w:color w:val="auto"/>
              </w:rPr>
            </w:pPr>
            <w:r>
              <w:rPr>
                <w:rFonts w:ascii="Times New Roman" w:cs="Times New Roman" w:eastAsia="Times New Roman" w:hAnsi="Times New Roman"/>
                <w:sz w:val="13"/>
                <w:szCs w:val="13"/>
                <w:b w:val="1"/>
                <w:bCs w:val="1"/>
                <w:color w:val="auto"/>
              </w:rPr>
              <w:t>—</w:t>
            </w: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2"/>
        </w:trPr>
        <w:tc>
          <w:tcPr>
            <w:tcW w:w="32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3380" w:type="dxa"/>
            <w:vAlign w:val="bottom"/>
          </w:tcPr>
          <w:p>
            <w:pPr>
              <w:spacing w:after="0"/>
              <w:rPr>
                <w:sz w:val="20"/>
                <w:szCs w:val="20"/>
                <w:color w:val="auto"/>
              </w:rPr>
            </w:pPr>
            <w:r>
              <w:rPr>
                <w:rFonts w:ascii="Times New Roman" w:cs="Times New Roman" w:eastAsia="Times New Roman" w:hAnsi="Times New Roman"/>
                <w:sz w:val="13"/>
                <w:szCs w:val="13"/>
                <w:color w:val="auto"/>
              </w:rPr>
              <w:t>Earn-out rights issued</w:t>
            </w:r>
          </w:p>
        </w:tc>
        <w:tc>
          <w:tcPr>
            <w:tcW w:w="6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20" w:type="dxa"/>
            <w:vAlign w:val="bottom"/>
            <w:gridSpan w:val="3"/>
          </w:tcPr>
          <w:p>
            <w:pPr>
              <w:jc w:val="right"/>
              <w:ind w:right="1"/>
              <w:spacing w:after="0"/>
              <w:rPr>
                <w:sz w:val="20"/>
                <w:szCs w:val="20"/>
                <w:color w:val="auto"/>
              </w:rPr>
            </w:pPr>
            <w:r>
              <w:rPr>
                <w:rFonts w:ascii="Times New Roman" w:cs="Times New Roman" w:eastAsia="Times New Roman" w:hAnsi="Times New Roman"/>
                <w:sz w:val="13"/>
                <w:szCs w:val="13"/>
                <w:color w:val="auto"/>
              </w:rPr>
              <w:t>1,500,638</w:t>
            </w:r>
          </w:p>
        </w:tc>
        <w:tc>
          <w:tcPr>
            <w:tcW w:w="3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32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338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Change in fair value measurement</w:t>
            </w:r>
          </w:p>
        </w:tc>
        <w:tc>
          <w:tcPr>
            <w:tcW w:w="68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62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(965,668)</w:t>
            </w:r>
          </w:p>
        </w:tc>
        <w:tc>
          <w:tcPr>
            <w:tcW w:w="3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32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3380" w:type="dxa"/>
            <w:vAlign w:val="bottom"/>
          </w:tcPr>
          <w:p>
            <w:pPr>
              <w:spacing w:after="0"/>
              <w:rPr>
                <w:sz w:val="20"/>
                <w:szCs w:val="20"/>
                <w:color w:val="auto"/>
              </w:rPr>
            </w:pPr>
            <w:r>
              <w:rPr>
                <w:rFonts w:ascii="Times New Roman" w:cs="Times New Roman" w:eastAsia="Times New Roman" w:hAnsi="Times New Roman"/>
                <w:sz w:val="13"/>
                <w:szCs w:val="13"/>
                <w:color w:val="auto"/>
              </w:rPr>
              <w:t>As of September 30, 2022</w:t>
            </w:r>
          </w:p>
        </w:tc>
        <w:tc>
          <w:tcPr>
            <w:tcW w:w="6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620" w:type="dxa"/>
            <w:vAlign w:val="bottom"/>
            <w:tcBorders>
              <w:top w:val="single" w:sz="8" w:color="auto"/>
              <w:bottom w:val="single" w:sz="8" w:color="auto"/>
            </w:tcBorders>
            <w:gridSpan w:val="3"/>
          </w:tcPr>
          <w:p>
            <w:pPr>
              <w:jc w:val="right"/>
              <w:ind w:right="1"/>
              <w:spacing w:after="0"/>
              <w:rPr>
                <w:sz w:val="20"/>
                <w:szCs w:val="20"/>
                <w:color w:val="auto"/>
              </w:rPr>
            </w:pPr>
            <w:r>
              <w:rPr>
                <w:rFonts w:ascii="Times New Roman" w:cs="Times New Roman" w:eastAsia="Times New Roman" w:hAnsi="Times New Roman"/>
                <w:sz w:val="13"/>
                <w:szCs w:val="13"/>
                <w:b w:val="1"/>
                <w:bCs w:val="1"/>
                <w:color w:val="auto"/>
              </w:rPr>
              <w:t>534,970</w:t>
            </w:r>
          </w:p>
        </w:tc>
        <w:tc>
          <w:tcPr>
            <w:tcW w:w="3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02"/>
        </w:trPr>
        <w:tc>
          <w:tcPr>
            <w:tcW w:w="4620" w:type="dxa"/>
            <w:vAlign w:val="bottom"/>
            <w:gridSpan w:val="3"/>
          </w:tcPr>
          <w:p>
            <w:pPr>
              <w:spacing w:after="0"/>
              <w:rPr>
                <w:sz w:val="20"/>
                <w:szCs w:val="20"/>
                <w:color w:val="auto"/>
              </w:rPr>
            </w:pPr>
            <w:r>
              <w:rPr>
                <w:rFonts w:ascii="Times New Roman" w:cs="Times New Roman" w:eastAsia="Times New Roman" w:hAnsi="Times New Roman"/>
                <w:sz w:val="13"/>
                <w:szCs w:val="13"/>
                <w:color w:val="auto"/>
              </w:rPr>
              <w:t>The fair value change of earn-out rights are as follows:</w:t>
            </w:r>
          </w:p>
        </w:tc>
        <w:tc>
          <w:tcPr>
            <w:tcW w:w="6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8"/>
        </w:trPr>
        <w:tc>
          <w:tcPr>
            <w:tcW w:w="320" w:type="dxa"/>
            <w:vAlign w:val="bottom"/>
          </w:tcPr>
          <w:p>
            <w:pPr>
              <w:spacing w:after="0"/>
              <w:rPr>
                <w:sz w:val="22"/>
                <w:szCs w:val="22"/>
                <w:color w:val="auto"/>
              </w:rPr>
            </w:pPr>
          </w:p>
        </w:tc>
        <w:tc>
          <w:tcPr>
            <w:tcW w:w="920" w:type="dxa"/>
            <w:vAlign w:val="bottom"/>
          </w:tcPr>
          <w:p>
            <w:pPr>
              <w:spacing w:after="0"/>
              <w:rPr>
                <w:sz w:val="22"/>
                <w:szCs w:val="22"/>
                <w:color w:val="auto"/>
              </w:rPr>
            </w:pPr>
          </w:p>
        </w:tc>
        <w:tc>
          <w:tcPr>
            <w:tcW w:w="3380" w:type="dxa"/>
            <w:vAlign w:val="bottom"/>
          </w:tcPr>
          <w:p>
            <w:pPr>
              <w:spacing w:after="0"/>
              <w:rPr>
                <w:sz w:val="22"/>
                <w:szCs w:val="22"/>
                <w:color w:val="auto"/>
              </w:rPr>
            </w:pPr>
          </w:p>
        </w:tc>
        <w:tc>
          <w:tcPr>
            <w:tcW w:w="1240" w:type="dxa"/>
            <w:vAlign w:val="bottom"/>
            <w:gridSpan w:val="4"/>
          </w:tcPr>
          <w:p>
            <w:pPr>
              <w:jc w:val="center"/>
              <w:spacing w:after="0"/>
              <w:rPr>
                <w:sz w:val="20"/>
                <w:szCs w:val="20"/>
                <w:color w:val="auto"/>
              </w:rPr>
            </w:pPr>
            <w:r>
              <w:rPr>
                <w:rFonts w:ascii="Times New Roman" w:cs="Times New Roman" w:eastAsia="Times New Roman" w:hAnsi="Times New Roman"/>
                <w:sz w:val="10"/>
                <w:szCs w:val="10"/>
                <w:b w:val="1"/>
                <w:bCs w:val="1"/>
                <w:color w:val="auto"/>
              </w:rPr>
              <w:t>For the three months ended</w:t>
            </w:r>
          </w:p>
        </w:tc>
        <w:tc>
          <w:tcPr>
            <w:tcW w:w="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300" w:type="dxa"/>
            <w:vAlign w:val="bottom"/>
            <w:gridSpan w:val="6"/>
          </w:tcPr>
          <w:p>
            <w:pPr>
              <w:jc w:val="center"/>
              <w:ind w:right="20"/>
              <w:spacing w:after="0"/>
              <w:rPr>
                <w:sz w:val="20"/>
                <w:szCs w:val="20"/>
                <w:color w:val="auto"/>
              </w:rPr>
            </w:pPr>
            <w:r>
              <w:rPr>
                <w:rFonts w:ascii="Times New Roman" w:cs="Times New Roman" w:eastAsia="Times New Roman" w:hAnsi="Times New Roman"/>
                <w:sz w:val="10"/>
                <w:szCs w:val="10"/>
                <w:b w:val="1"/>
                <w:bCs w:val="1"/>
                <w:color w:val="auto"/>
              </w:rPr>
              <w:t>For the nine months ended</w:t>
            </w:r>
          </w:p>
        </w:tc>
        <w:tc>
          <w:tcPr>
            <w:tcW w:w="0" w:type="dxa"/>
            <w:vAlign w:val="bottom"/>
          </w:tcPr>
          <w:p>
            <w:pPr>
              <w:spacing w:after="0"/>
              <w:rPr>
                <w:sz w:val="1"/>
                <w:szCs w:val="1"/>
                <w:color w:val="auto"/>
              </w:rPr>
            </w:pPr>
          </w:p>
        </w:tc>
      </w:tr>
      <w:tr>
        <w:trPr>
          <w:trHeight w:val="104"/>
        </w:trPr>
        <w:tc>
          <w:tcPr>
            <w:tcW w:w="320" w:type="dxa"/>
            <w:vAlign w:val="bottom"/>
          </w:tcPr>
          <w:p>
            <w:pPr>
              <w:spacing w:after="0"/>
              <w:rPr>
                <w:sz w:val="9"/>
                <w:szCs w:val="9"/>
                <w:color w:val="auto"/>
              </w:rPr>
            </w:pPr>
          </w:p>
        </w:tc>
        <w:tc>
          <w:tcPr>
            <w:tcW w:w="920" w:type="dxa"/>
            <w:vAlign w:val="bottom"/>
          </w:tcPr>
          <w:p>
            <w:pPr>
              <w:spacing w:after="0"/>
              <w:rPr>
                <w:sz w:val="9"/>
                <w:szCs w:val="9"/>
                <w:color w:val="auto"/>
              </w:rPr>
            </w:pPr>
          </w:p>
        </w:tc>
        <w:tc>
          <w:tcPr>
            <w:tcW w:w="3380" w:type="dxa"/>
            <w:vAlign w:val="bottom"/>
          </w:tcPr>
          <w:p>
            <w:pPr>
              <w:spacing w:after="0"/>
              <w:rPr>
                <w:sz w:val="9"/>
                <w:szCs w:val="9"/>
                <w:color w:val="auto"/>
              </w:rPr>
            </w:pPr>
          </w:p>
        </w:tc>
        <w:tc>
          <w:tcPr>
            <w:tcW w:w="980" w:type="dxa"/>
            <w:vAlign w:val="bottom"/>
            <w:gridSpan w:val="3"/>
          </w:tcPr>
          <w:p>
            <w:pPr>
              <w:jc w:val="center"/>
              <w:ind w:left="226"/>
              <w:spacing w:after="0" w:line="104" w:lineRule="exact"/>
              <w:rPr>
                <w:sz w:val="20"/>
                <w:szCs w:val="20"/>
                <w:color w:val="auto"/>
              </w:rPr>
            </w:pPr>
            <w:r>
              <w:rPr>
                <w:rFonts w:ascii="Times New Roman" w:cs="Times New Roman" w:eastAsia="Times New Roman" w:hAnsi="Times New Roman"/>
                <w:sz w:val="10"/>
                <w:szCs w:val="10"/>
                <w:b w:val="1"/>
                <w:bCs w:val="1"/>
                <w:color w:val="auto"/>
              </w:rPr>
              <w:t>September 30,</w:t>
            </w:r>
          </w:p>
        </w:tc>
        <w:tc>
          <w:tcPr>
            <w:tcW w:w="260" w:type="dxa"/>
            <w:vAlign w:val="bottom"/>
            <w:vMerge w:val="restart"/>
          </w:tcPr>
          <w:p>
            <w:pPr>
              <w:jc w:val="right"/>
              <w:spacing w:after="0"/>
              <w:rPr>
                <w:sz w:val="20"/>
                <w:szCs w:val="20"/>
                <w:color w:val="auto"/>
              </w:rPr>
            </w:pPr>
            <w:r>
              <w:rPr>
                <w:rFonts w:ascii="Times New Roman" w:cs="Times New Roman" w:eastAsia="Times New Roman" w:hAnsi="Times New Roman"/>
                <w:sz w:val="10"/>
                <w:szCs w:val="10"/>
                <w:b w:val="1"/>
                <w:bCs w:val="1"/>
                <w:color w:val="auto"/>
                <w:w w:val="99"/>
              </w:rPr>
              <w:t>2021</w:t>
            </w:r>
          </w:p>
        </w:tc>
        <w:tc>
          <w:tcPr>
            <w:tcW w:w="40" w:type="dxa"/>
            <w:vAlign w:val="bottom"/>
          </w:tcPr>
          <w:p>
            <w:pPr>
              <w:spacing w:after="0"/>
              <w:rPr>
                <w:sz w:val="9"/>
                <w:szCs w:val="9"/>
                <w:color w:val="auto"/>
              </w:rPr>
            </w:pPr>
          </w:p>
        </w:tc>
        <w:tc>
          <w:tcPr>
            <w:tcW w:w="220" w:type="dxa"/>
            <w:vAlign w:val="bottom"/>
          </w:tcPr>
          <w:p>
            <w:pPr>
              <w:spacing w:after="0"/>
              <w:rPr>
                <w:sz w:val="9"/>
                <w:szCs w:val="9"/>
                <w:color w:val="auto"/>
              </w:rPr>
            </w:pPr>
          </w:p>
        </w:tc>
        <w:tc>
          <w:tcPr>
            <w:tcW w:w="360" w:type="dxa"/>
            <w:vAlign w:val="bottom"/>
          </w:tcPr>
          <w:p>
            <w:pPr>
              <w:spacing w:after="0"/>
              <w:rPr>
                <w:sz w:val="9"/>
                <w:szCs w:val="9"/>
                <w:color w:val="auto"/>
              </w:rPr>
            </w:pPr>
          </w:p>
        </w:tc>
        <w:tc>
          <w:tcPr>
            <w:tcW w:w="600" w:type="dxa"/>
            <w:vAlign w:val="bottom"/>
            <w:gridSpan w:val="3"/>
          </w:tcPr>
          <w:p>
            <w:pPr>
              <w:jc w:val="center"/>
              <w:ind w:right="20"/>
              <w:spacing w:after="0" w:line="104" w:lineRule="exact"/>
              <w:rPr>
                <w:sz w:val="20"/>
                <w:szCs w:val="20"/>
                <w:color w:val="auto"/>
              </w:rPr>
            </w:pPr>
            <w:r>
              <w:rPr>
                <w:rFonts w:ascii="Times New Roman" w:cs="Times New Roman" w:eastAsia="Times New Roman" w:hAnsi="Times New Roman"/>
                <w:sz w:val="10"/>
                <w:szCs w:val="10"/>
                <w:b w:val="1"/>
                <w:bCs w:val="1"/>
                <w:color w:val="auto"/>
                <w:w w:val="94"/>
              </w:rPr>
              <w:t>September 30,</w:t>
            </w:r>
          </w:p>
        </w:tc>
        <w:tc>
          <w:tcPr>
            <w:tcW w:w="300" w:type="dxa"/>
            <w:vAlign w:val="bottom"/>
            <w:vMerge w:val="restart"/>
          </w:tcPr>
          <w:p>
            <w:pPr>
              <w:jc w:val="right"/>
              <w:ind w:right="23"/>
              <w:spacing w:after="0"/>
              <w:rPr>
                <w:sz w:val="20"/>
                <w:szCs w:val="20"/>
                <w:color w:val="auto"/>
              </w:rPr>
            </w:pPr>
            <w:r>
              <w:rPr>
                <w:rFonts w:ascii="Times New Roman" w:cs="Times New Roman" w:eastAsia="Times New Roman" w:hAnsi="Times New Roman"/>
                <w:sz w:val="10"/>
                <w:szCs w:val="10"/>
                <w:b w:val="1"/>
                <w:bCs w:val="1"/>
                <w:color w:val="auto"/>
                <w:w w:val="99"/>
              </w:rPr>
              <w:t>2021</w:t>
            </w: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1"/>
        </w:trPr>
        <w:tc>
          <w:tcPr>
            <w:tcW w:w="32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3380" w:type="dxa"/>
            <w:vAlign w:val="bottom"/>
          </w:tcPr>
          <w:p>
            <w:pPr>
              <w:spacing w:after="0"/>
              <w:rPr>
                <w:sz w:val="10"/>
                <w:szCs w:val="10"/>
                <w:color w:val="auto"/>
              </w:rPr>
            </w:pPr>
          </w:p>
        </w:tc>
        <w:tc>
          <w:tcPr>
            <w:tcW w:w="680" w:type="dxa"/>
            <w:vAlign w:val="bottom"/>
          </w:tcPr>
          <w:p>
            <w:pPr>
              <w:jc w:val="right"/>
              <w:ind w:right="186"/>
              <w:spacing w:after="0"/>
              <w:rPr>
                <w:sz w:val="20"/>
                <w:szCs w:val="20"/>
                <w:color w:val="auto"/>
              </w:rPr>
            </w:pPr>
            <w:r>
              <w:rPr>
                <w:rFonts w:ascii="Times New Roman" w:cs="Times New Roman" w:eastAsia="Times New Roman" w:hAnsi="Times New Roman"/>
                <w:sz w:val="10"/>
                <w:szCs w:val="10"/>
                <w:b w:val="1"/>
                <w:bCs w:val="1"/>
                <w:color w:val="auto"/>
              </w:rPr>
              <w:t>2022</w:t>
            </w:r>
          </w:p>
        </w:tc>
        <w:tc>
          <w:tcPr>
            <w:tcW w:w="2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60" w:type="dxa"/>
            <w:vAlign w:val="bottom"/>
            <w:vMerge w:val="continue"/>
          </w:tcPr>
          <w:p>
            <w:pPr>
              <w:spacing w:after="0"/>
              <w:rPr>
                <w:sz w:val="10"/>
                <w:szCs w:val="10"/>
                <w:color w:val="auto"/>
              </w:rPr>
            </w:pPr>
          </w:p>
        </w:tc>
        <w:tc>
          <w:tcPr>
            <w:tcW w:w="940" w:type="dxa"/>
            <w:vAlign w:val="bottom"/>
            <w:gridSpan w:val="4"/>
          </w:tcPr>
          <w:p>
            <w:pPr>
              <w:jc w:val="right"/>
              <w:ind w:right="189"/>
              <w:spacing w:after="0"/>
              <w:rPr>
                <w:sz w:val="20"/>
                <w:szCs w:val="20"/>
                <w:color w:val="auto"/>
              </w:rPr>
            </w:pPr>
            <w:r>
              <w:rPr>
                <w:rFonts w:ascii="Times New Roman" w:cs="Times New Roman" w:eastAsia="Times New Roman" w:hAnsi="Times New Roman"/>
                <w:sz w:val="10"/>
                <w:szCs w:val="10"/>
                <w:b w:val="1"/>
                <w:bCs w:val="1"/>
                <w:color w:val="auto"/>
              </w:rPr>
              <w:t>2022</w:t>
            </w:r>
          </w:p>
        </w:tc>
        <w:tc>
          <w:tcPr>
            <w:tcW w:w="2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vMerge w:val="continue"/>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1"/>
        </w:trPr>
        <w:tc>
          <w:tcPr>
            <w:tcW w:w="320" w:type="dxa"/>
            <w:vAlign w:val="bottom"/>
          </w:tcPr>
          <w:p>
            <w:pPr>
              <w:spacing w:after="0"/>
              <w:rPr>
                <w:sz w:val="12"/>
                <w:szCs w:val="12"/>
                <w:color w:val="auto"/>
              </w:rPr>
            </w:pPr>
          </w:p>
        </w:tc>
        <w:tc>
          <w:tcPr>
            <w:tcW w:w="4300" w:type="dxa"/>
            <w:vAlign w:val="bottom"/>
            <w:tcBorders>
              <w:top w:val="single" w:sz="8" w:color="CCEEFF"/>
            </w:tcBorders>
            <w:gridSpan w:val="2"/>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Fair value change - Earn-out rights</w:t>
            </w:r>
          </w:p>
        </w:tc>
        <w:tc>
          <w:tcPr>
            <w:tcW w:w="68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546,961</w:t>
            </w:r>
          </w:p>
        </w:tc>
        <w:tc>
          <w:tcPr>
            <w:tcW w:w="24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auto"/>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w:t>
            </w:r>
          </w:p>
        </w:tc>
        <w:tc>
          <w:tcPr>
            <w:tcW w:w="40" w:type="dxa"/>
            <w:vAlign w:val="bottom"/>
            <w:tcBorders>
              <w:top w:val="single" w:sz="8" w:color="auto"/>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680" w:type="dxa"/>
            <w:vAlign w:val="bottom"/>
            <w:tcBorders>
              <w:top w:val="single" w:sz="8" w:color="auto"/>
            </w:tcBorders>
            <w:gridSpan w:val="2"/>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965,668</w:t>
            </w:r>
          </w:p>
        </w:tc>
        <w:tc>
          <w:tcPr>
            <w:tcW w:w="22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auto"/>
            </w:tcBorders>
            <w:shd w:val="clear" w:color="auto" w:fill="CCEEFF"/>
          </w:tcPr>
          <w:p>
            <w:pPr>
              <w:spacing w:after="0"/>
              <w:rPr>
                <w:sz w:val="12"/>
                <w:szCs w:val="12"/>
                <w:color w:val="auto"/>
              </w:rPr>
            </w:pPr>
          </w:p>
        </w:tc>
        <w:tc>
          <w:tcPr>
            <w:tcW w:w="300" w:type="dxa"/>
            <w:vAlign w:val="bottom"/>
            <w:tcBorders>
              <w:top w:val="single" w:sz="8" w:color="auto"/>
            </w:tcBorders>
            <w:shd w:val="clear" w:color="auto" w:fill="CCEEFF"/>
          </w:tcPr>
          <w:p>
            <w:pPr>
              <w:jc w:val="right"/>
              <w:ind w:right="3"/>
              <w:spacing w:after="0" w:line="141" w:lineRule="exact"/>
              <w:rPr>
                <w:sz w:val="20"/>
                <w:szCs w:val="20"/>
                <w:color w:val="auto"/>
              </w:rPr>
            </w:pPr>
            <w:r>
              <w:rPr>
                <w:rFonts w:ascii="Times New Roman" w:cs="Times New Roman" w:eastAsia="Times New Roman" w:hAnsi="Times New Roman"/>
                <w:sz w:val="13"/>
                <w:szCs w:val="13"/>
                <w:color w:val="auto"/>
              </w:rPr>
              <w:t>—</w:t>
            </w:r>
          </w:p>
        </w:tc>
        <w:tc>
          <w:tcPr>
            <w:tcW w:w="4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137"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Volvo Cars Preference Subscription Shares</w:t>
      </w:r>
    </w:p>
    <w:p>
      <w:pPr>
        <w:spacing w:after="0" w:line="80" w:lineRule="exact"/>
        <w:rPr>
          <w:sz w:val="20"/>
          <w:szCs w:val="20"/>
          <w:color w:val="auto"/>
        </w:rPr>
      </w:pPr>
    </w:p>
    <w:p>
      <w:pPr>
        <w:ind w:left="640" w:right="699"/>
        <w:spacing w:after="0" w:line="248" w:lineRule="auto"/>
        <w:rPr>
          <w:sz w:val="20"/>
          <w:szCs w:val="20"/>
          <w:color w:val="auto"/>
        </w:rPr>
      </w:pPr>
      <w:r>
        <w:rPr>
          <w:rFonts w:ascii="Times New Roman" w:cs="Times New Roman" w:eastAsia="Times New Roman" w:hAnsi="Times New Roman"/>
          <w:sz w:val="13"/>
          <w:szCs w:val="13"/>
          <w:color w:val="auto"/>
        </w:rPr>
        <w:t>At the Closing of the BCA and pursuant to the Volvo Cars Preference Subscription Agreement, Volvo Cars agreed to subscribe for Preference Shares in ListCo in exchange for a cash payment of $588,826. The cash proceeds were used to pay down outstanding payables owed to VCC. Each Preference Share in ListCo automatically converts into Class A Shares in ListCo at a conversion price of $10 per share thereafter. The Group applied the provisions of IAS 32 and IFRS 9 in accounting for the Volvo Cars Preference Subscription Shares. Under IAS 32, the preference shares did not meet the definition of a financial liability but instead represent a fixed residual interest in ListCo (i.e., Class A shares). As such, the initial carrying value of the Volvo Cars Preference Subscription Shares was equity classified and accounted for as capital contribution from Volvo Cars.</w:t>
      </w:r>
    </w:p>
    <w:p>
      <w:pPr>
        <w:spacing w:after="0" w:line="8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37</w:t>
      </w:r>
    </w:p>
    <w:p>
      <w:pPr>
        <w:sectPr>
          <w:pgSz w:w="11900" w:h="16838" w:orient="portrait"/>
          <w:cols w:equalWidth="0" w:num="1">
            <w:col w:w="9019"/>
          </w:cols>
          <w:pgMar w:left="1440" w:top="231" w:right="1440" w:bottom="1440" w:gutter="0" w:footer="0" w:header="0"/>
        </w:sectPr>
      </w:pPr>
    </w:p>
    <w:bookmarkStart w:id="94" w:name="page95"/>
    <w:bookmarkEnd w:id="94"/>
    <w:p>
      <w:pPr>
        <w:jc w:val="center"/>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1"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Note 10 - Financial instruments</w:t>
      </w:r>
    </w:p>
    <w:p>
      <w:pPr>
        <w:spacing w:after="0" w:line="80"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The following table shows the carrying amounts of financial assets and liabilities measured at fair value through profit and loss on a recurring basis:</w:t>
      </w:r>
    </w:p>
    <w:p>
      <w:pPr>
        <w:spacing w:after="0" w:line="158" w:lineRule="exact"/>
        <w:rPr>
          <w:sz w:val="20"/>
          <w:szCs w:val="20"/>
          <w:color w:val="auto"/>
        </w:rPr>
      </w:pPr>
    </w:p>
    <w:tbl>
      <w:tblPr>
        <w:tblLayout w:type="fixed"/>
        <w:tblInd w:w="640" w:type="dxa"/>
        <w:tblCellMar>
          <w:top w:w="0" w:type="dxa"/>
          <w:left w:w="0" w:type="dxa"/>
          <w:bottom w:w="0" w:type="dxa"/>
          <w:right w:w="0" w:type="dxa"/>
        </w:tblCellMar>
      </w:tblPr>
      <w:tr>
        <w:trPr>
          <w:trHeight w:val="115"/>
        </w:trPr>
        <w:tc>
          <w:tcPr>
            <w:tcW w:w="4000" w:type="dxa"/>
            <w:vAlign w:val="bottom"/>
          </w:tcPr>
          <w:p>
            <w:pPr>
              <w:spacing w:after="0"/>
              <w:rPr>
                <w:sz w:val="10"/>
                <w:szCs w:val="10"/>
                <w:color w:val="auto"/>
              </w:rPr>
            </w:pPr>
          </w:p>
        </w:tc>
        <w:tc>
          <w:tcPr>
            <w:tcW w:w="500" w:type="dxa"/>
            <w:vAlign w:val="bottom"/>
            <w:gridSpan w:val="2"/>
            <w:vMerge w:val="restart"/>
          </w:tcPr>
          <w:p>
            <w:pPr>
              <w:ind w:left="40"/>
              <w:spacing w:after="0"/>
              <w:rPr>
                <w:sz w:val="20"/>
                <w:szCs w:val="20"/>
                <w:color w:val="auto"/>
              </w:rPr>
            </w:pPr>
            <w:r>
              <w:rPr>
                <w:rFonts w:ascii="Times New Roman" w:cs="Times New Roman" w:eastAsia="Times New Roman" w:hAnsi="Times New Roman"/>
                <w:sz w:val="10"/>
                <w:szCs w:val="10"/>
                <w:b w:val="1"/>
                <w:bCs w:val="1"/>
                <w:color w:val="auto"/>
              </w:rPr>
              <w:t>Level 1</w:t>
            </w:r>
          </w:p>
        </w:tc>
        <w:tc>
          <w:tcPr>
            <w:tcW w:w="1020" w:type="dxa"/>
            <w:vAlign w:val="bottom"/>
            <w:gridSpan w:val="4"/>
          </w:tcPr>
          <w:p>
            <w:pPr>
              <w:ind w:left="60"/>
              <w:spacing w:after="0"/>
              <w:rPr>
                <w:sz w:val="20"/>
                <w:szCs w:val="20"/>
                <w:color w:val="auto"/>
              </w:rPr>
            </w:pPr>
            <w:r>
              <w:rPr>
                <w:rFonts w:ascii="Times New Roman" w:cs="Times New Roman" w:eastAsia="Times New Roman" w:hAnsi="Times New Roman"/>
                <w:sz w:val="10"/>
                <w:szCs w:val="10"/>
                <w:b w:val="1"/>
                <w:bCs w:val="1"/>
                <w:color w:val="auto"/>
              </w:rPr>
              <w:t>September 30, 2022</w:t>
            </w:r>
          </w:p>
        </w:tc>
        <w:tc>
          <w:tcPr>
            <w:tcW w:w="560" w:type="dxa"/>
            <w:vAlign w:val="bottom"/>
            <w:gridSpan w:val="2"/>
            <w:vMerge w:val="restart"/>
          </w:tcPr>
          <w:p>
            <w:pPr>
              <w:jc w:val="right"/>
              <w:ind w:right="220"/>
              <w:spacing w:after="0"/>
              <w:rPr>
                <w:sz w:val="20"/>
                <w:szCs w:val="20"/>
                <w:color w:val="auto"/>
              </w:rPr>
            </w:pPr>
            <w:r>
              <w:rPr>
                <w:rFonts w:ascii="Times New Roman" w:cs="Times New Roman" w:eastAsia="Times New Roman" w:hAnsi="Times New Roman"/>
                <w:sz w:val="10"/>
                <w:szCs w:val="10"/>
                <w:b w:val="1"/>
                <w:bCs w:val="1"/>
                <w:color w:val="auto"/>
              </w:rPr>
              <w:t>Total</w:t>
            </w:r>
          </w:p>
        </w:tc>
        <w:tc>
          <w:tcPr>
            <w:tcW w:w="360" w:type="dxa"/>
            <w:vAlign w:val="bottom"/>
            <w:gridSpan w:val="2"/>
            <w:vMerge w:val="restart"/>
          </w:tcPr>
          <w:p>
            <w:pPr>
              <w:spacing w:after="0"/>
              <w:rPr>
                <w:sz w:val="20"/>
                <w:szCs w:val="20"/>
                <w:color w:val="auto"/>
              </w:rPr>
            </w:pPr>
            <w:r>
              <w:rPr>
                <w:rFonts w:ascii="Times New Roman" w:cs="Times New Roman" w:eastAsia="Times New Roman" w:hAnsi="Times New Roman"/>
                <w:sz w:val="10"/>
                <w:szCs w:val="10"/>
                <w:b w:val="1"/>
                <w:bCs w:val="1"/>
                <w:color w:val="auto"/>
              </w:rPr>
              <w:t>Level 1</w:t>
            </w:r>
          </w:p>
        </w:tc>
        <w:tc>
          <w:tcPr>
            <w:tcW w:w="940" w:type="dxa"/>
            <w:vAlign w:val="bottom"/>
            <w:gridSpan w:val="5"/>
          </w:tcPr>
          <w:p>
            <w:pPr>
              <w:ind w:left="40"/>
              <w:spacing w:after="0"/>
              <w:rPr>
                <w:sz w:val="20"/>
                <w:szCs w:val="20"/>
                <w:color w:val="auto"/>
              </w:rPr>
            </w:pPr>
            <w:r>
              <w:rPr>
                <w:rFonts w:ascii="Times New Roman" w:cs="Times New Roman" w:eastAsia="Times New Roman" w:hAnsi="Times New Roman"/>
                <w:sz w:val="10"/>
                <w:szCs w:val="10"/>
                <w:b w:val="1"/>
                <w:bCs w:val="1"/>
                <w:color w:val="auto"/>
              </w:rPr>
              <w:t>December 31, 2021</w:t>
            </w:r>
          </w:p>
        </w:tc>
        <w:tc>
          <w:tcPr>
            <w:tcW w:w="360" w:type="dxa"/>
            <w:vAlign w:val="bottom"/>
            <w:gridSpan w:val="2"/>
            <w:vMerge w:val="restart"/>
          </w:tcPr>
          <w:p>
            <w:pPr>
              <w:ind w:left="40"/>
              <w:spacing w:after="0"/>
              <w:rPr>
                <w:sz w:val="20"/>
                <w:szCs w:val="20"/>
                <w:color w:val="auto"/>
              </w:rPr>
            </w:pPr>
            <w:r>
              <w:rPr>
                <w:rFonts w:ascii="Times New Roman" w:cs="Times New Roman" w:eastAsia="Times New Roman" w:hAnsi="Times New Roman"/>
                <w:sz w:val="10"/>
                <w:szCs w:val="10"/>
                <w:b w:val="1"/>
                <w:bCs w:val="1"/>
                <w:color w:val="auto"/>
              </w:rPr>
              <w:t>Total</w:t>
            </w:r>
          </w:p>
        </w:tc>
        <w:tc>
          <w:tcPr>
            <w:tcW w:w="0" w:type="dxa"/>
            <w:vAlign w:val="bottom"/>
          </w:tcPr>
          <w:p>
            <w:pPr>
              <w:spacing w:after="0"/>
              <w:rPr>
                <w:sz w:val="1"/>
                <w:szCs w:val="1"/>
                <w:color w:val="auto"/>
              </w:rPr>
            </w:pPr>
          </w:p>
        </w:tc>
      </w:tr>
      <w:tr>
        <w:trPr>
          <w:trHeight w:val="121"/>
        </w:trPr>
        <w:tc>
          <w:tcPr>
            <w:tcW w:w="4000" w:type="dxa"/>
            <w:vAlign w:val="bottom"/>
          </w:tcPr>
          <w:p>
            <w:pPr>
              <w:spacing w:after="0"/>
              <w:rPr>
                <w:sz w:val="10"/>
                <w:szCs w:val="10"/>
                <w:color w:val="auto"/>
              </w:rPr>
            </w:pPr>
          </w:p>
        </w:tc>
        <w:tc>
          <w:tcPr>
            <w:tcW w:w="500" w:type="dxa"/>
            <w:vAlign w:val="bottom"/>
            <w:gridSpan w:val="2"/>
            <w:vMerge w:val="continue"/>
          </w:tcPr>
          <w:p>
            <w:pPr>
              <w:spacing w:after="0"/>
              <w:rPr>
                <w:sz w:val="10"/>
                <w:szCs w:val="10"/>
                <w:color w:val="auto"/>
              </w:rPr>
            </w:pPr>
          </w:p>
        </w:tc>
        <w:tc>
          <w:tcPr>
            <w:tcW w:w="340" w:type="dxa"/>
            <w:vAlign w:val="bottom"/>
          </w:tcPr>
          <w:p>
            <w:pPr>
              <w:ind w:left="20"/>
              <w:spacing w:after="0"/>
              <w:rPr>
                <w:sz w:val="20"/>
                <w:szCs w:val="20"/>
                <w:color w:val="auto"/>
              </w:rPr>
            </w:pPr>
            <w:r>
              <w:rPr>
                <w:rFonts w:ascii="Times New Roman" w:cs="Times New Roman" w:eastAsia="Times New Roman" w:hAnsi="Times New Roman"/>
                <w:sz w:val="10"/>
                <w:szCs w:val="10"/>
                <w:b w:val="1"/>
                <w:bCs w:val="1"/>
                <w:color w:val="auto"/>
                <w:w w:val="97"/>
              </w:rPr>
              <w:t>Level 2</w:t>
            </w:r>
          </w:p>
        </w:tc>
        <w:tc>
          <w:tcPr>
            <w:tcW w:w="100" w:type="dxa"/>
            <w:vAlign w:val="bottom"/>
          </w:tcPr>
          <w:p>
            <w:pPr>
              <w:spacing w:after="0"/>
              <w:rPr>
                <w:sz w:val="10"/>
                <w:szCs w:val="10"/>
                <w:color w:val="auto"/>
              </w:rPr>
            </w:pPr>
          </w:p>
        </w:tc>
        <w:tc>
          <w:tcPr>
            <w:tcW w:w="580" w:type="dxa"/>
            <w:vAlign w:val="bottom"/>
            <w:gridSpan w:val="2"/>
          </w:tcPr>
          <w:p>
            <w:pPr>
              <w:ind w:left="80"/>
              <w:spacing w:after="0"/>
              <w:rPr>
                <w:sz w:val="20"/>
                <w:szCs w:val="20"/>
                <w:color w:val="auto"/>
              </w:rPr>
            </w:pPr>
            <w:r>
              <w:rPr>
                <w:rFonts w:ascii="Times New Roman" w:cs="Times New Roman" w:eastAsia="Times New Roman" w:hAnsi="Times New Roman"/>
                <w:sz w:val="10"/>
                <w:szCs w:val="10"/>
                <w:b w:val="1"/>
                <w:bCs w:val="1"/>
                <w:color w:val="auto"/>
              </w:rPr>
              <w:t>Level 3</w:t>
            </w:r>
          </w:p>
        </w:tc>
        <w:tc>
          <w:tcPr>
            <w:tcW w:w="560" w:type="dxa"/>
            <w:vAlign w:val="bottom"/>
            <w:gridSpan w:val="2"/>
            <w:vMerge w:val="continue"/>
          </w:tcPr>
          <w:p>
            <w:pPr>
              <w:spacing w:after="0"/>
              <w:rPr>
                <w:sz w:val="10"/>
                <w:szCs w:val="10"/>
                <w:color w:val="auto"/>
              </w:rPr>
            </w:pPr>
          </w:p>
        </w:tc>
        <w:tc>
          <w:tcPr>
            <w:tcW w:w="360" w:type="dxa"/>
            <w:vAlign w:val="bottom"/>
            <w:gridSpan w:val="2"/>
            <w:vMerge w:val="continue"/>
          </w:tcPr>
          <w:p>
            <w:pPr>
              <w:spacing w:after="0"/>
              <w:rPr>
                <w:sz w:val="10"/>
                <w:szCs w:val="10"/>
                <w:color w:val="auto"/>
              </w:rPr>
            </w:pPr>
          </w:p>
        </w:tc>
        <w:tc>
          <w:tcPr>
            <w:tcW w:w="80" w:type="dxa"/>
            <w:vAlign w:val="bottom"/>
          </w:tcPr>
          <w:p>
            <w:pPr>
              <w:spacing w:after="0"/>
              <w:rPr>
                <w:sz w:val="10"/>
                <w:szCs w:val="10"/>
                <w:color w:val="auto"/>
              </w:rPr>
            </w:pPr>
          </w:p>
        </w:tc>
        <w:tc>
          <w:tcPr>
            <w:tcW w:w="320" w:type="dxa"/>
            <w:vAlign w:val="bottom"/>
          </w:tcPr>
          <w:p>
            <w:pPr>
              <w:jc w:val="center"/>
              <w:spacing w:after="0"/>
              <w:rPr>
                <w:sz w:val="20"/>
                <w:szCs w:val="20"/>
                <w:color w:val="auto"/>
              </w:rPr>
            </w:pPr>
            <w:r>
              <w:rPr>
                <w:rFonts w:ascii="Times New Roman" w:cs="Times New Roman" w:eastAsia="Times New Roman" w:hAnsi="Times New Roman"/>
                <w:sz w:val="10"/>
                <w:szCs w:val="10"/>
                <w:b w:val="1"/>
                <w:bCs w:val="1"/>
                <w:color w:val="auto"/>
                <w:w w:val="97"/>
              </w:rPr>
              <w:t>Level 2</w:t>
            </w:r>
          </w:p>
        </w:tc>
        <w:tc>
          <w:tcPr>
            <w:tcW w:w="100" w:type="dxa"/>
            <w:vAlign w:val="bottom"/>
          </w:tcPr>
          <w:p>
            <w:pPr>
              <w:spacing w:after="0"/>
              <w:rPr>
                <w:sz w:val="10"/>
                <w:szCs w:val="10"/>
                <w:color w:val="auto"/>
              </w:rPr>
            </w:pPr>
          </w:p>
        </w:tc>
        <w:tc>
          <w:tcPr>
            <w:tcW w:w="440" w:type="dxa"/>
            <w:vAlign w:val="bottom"/>
            <w:gridSpan w:val="2"/>
          </w:tcPr>
          <w:p>
            <w:pPr>
              <w:jc w:val="center"/>
              <w:ind w:right="120"/>
              <w:spacing w:after="0"/>
              <w:rPr>
                <w:sz w:val="20"/>
                <w:szCs w:val="20"/>
                <w:color w:val="auto"/>
              </w:rPr>
            </w:pPr>
            <w:r>
              <w:rPr>
                <w:rFonts w:ascii="Times New Roman" w:cs="Times New Roman" w:eastAsia="Times New Roman" w:hAnsi="Times New Roman"/>
                <w:sz w:val="10"/>
                <w:szCs w:val="10"/>
                <w:b w:val="1"/>
                <w:bCs w:val="1"/>
                <w:color w:val="auto"/>
              </w:rPr>
              <w:t>Level 3</w:t>
            </w:r>
          </w:p>
        </w:tc>
        <w:tc>
          <w:tcPr>
            <w:tcW w:w="360" w:type="dxa"/>
            <w:vAlign w:val="bottom"/>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2"/>
        </w:trPr>
        <w:tc>
          <w:tcPr>
            <w:tcW w:w="40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Assets measured at FVTPL</w:t>
            </w: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4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000" w:type="dxa"/>
            <w:vAlign w:val="bottom"/>
          </w:tcPr>
          <w:p>
            <w:pPr>
              <w:spacing w:after="0"/>
              <w:rPr>
                <w:sz w:val="20"/>
                <w:szCs w:val="20"/>
                <w:color w:val="auto"/>
              </w:rPr>
            </w:pPr>
            <w:r>
              <w:rPr>
                <w:rFonts w:ascii="Times New Roman" w:cs="Times New Roman" w:eastAsia="Times New Roman" w:hAnsi="Times New Roman"/>
                <w:sz w:val="13"/>
                <w:szCs w:val="13"/>
                <w:color w:val="auto"/>
              </w:rPr>
              <w:t>Marketable securities</w:t>
            </w:r>
          </w:p>
        </w:tc>
        <w:tc>
          <w:tcPr>
            <w:tcW w:w="4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40" w:type="dxa"/>
            <w:vAlign w:val="bottom"/>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100" w:type="dxa"/>
            <w:vAlign w:val="bottom"/>
          </w:tcPr>
          <w:p>
            <w:pPr>
              <w:spacing w:after="0"/>
              <w:rPr>
                <w:sz w:val="13"/>
                <w:szCs w:val="13"/>
                <w:color w:val="auto"/>
              </w:rPr>
            </w:pPr>
          </w:p>
        </w:tc>
        <w:tc>
          <w:tcPr>
            <w:tcW w:w="580" w:type="dxa"/>
            <w:vAlign w:val="bottom"/>
            <w:gridSpan w:val="2"/>
          </w:tcPr>
          <w:p>
            <w:pPr>
              <w:ind w:left="260"/>
              <w:spacing w:after="0"/>
              <w:rPr>
                <w:sz w:val="20"/>
                <w:szCs w:val="20"/>
                <w:color w:val="auto"/>
              </w:rPr>
            </w:pPr>
            <w:r>
              <w:rPr>
                <w:rFonts w:ascii="Times New Roman" w:cs="Times New Roman" w:eastAsia="Times New Roman" w:hAnsi="Times New Roman"/>
                <w:sz w:val="13"/>
                <w:szCs w:val="13"/>
                <w:color w:val="auto"/>
              </w:rPr>
              <w:t>—</w:t>
            </w:r>
          </w:p>
        </w:tc>
        <w:tc>
          <w:tcPr>
            <w:tcW w:w="560" w:type="dxa"/>
            <w:vAlign w:val="bottom"/>
            <w:gridSpan w:val="2"/>
          </w:tcPr>
          <w:p>
            <w:pPr>
              <w:jc w:val="right"/>
              <w:ind w:right="180"/>
              <w:spacing w:after="0"/>
              <w:rPr>
                <w:sz w:val="20"/>
                <w:szCs w:val="20"/>
                <w:color w:val="auto"/>
              </w:rPr>
            </w:pPr>
            <w:r>
              <w:rPr>
                <w:rFonts w:ascii="Times New Roman" w:cs="Times New Roman" w:eastAsia="Times New Roman" w:hAnsi="Times New Roman"/>
                <w:sz w:val="13"/>
                <w:szCs w:val="13"/>
                <w:b w:val="1"/>
                <w:bCs w:val="1"/>
                <w:color w:val="auto"/>
              </w:rPr>
              <w:t>—</w:t>
            </w:r>
          </w:p>
        </w:tc>
        <w:tc>
          <w:tcPr>
            <w:tcW w:w="360" w:type="dxa"/>
            <w:vAlign w:val="bottom"/>
            <w:gridSpan w:val="2"/>
          </w:tcPr>
          <w:p>
            <w:pPr>
              <w:jc w:val="center"/>
              <w:spacing w:after="0"/>
              <w:rPr>
                <w:sz w:val="20"/>
                <w:szCs w:val="20"/>
                <w:color w:val="auto"/>
              </w:rPr>
            </w:pPr>
            <w:r>
              <w:rPr>
                <w:rFonts w:ascii="Times New Roman" w:cs="Times New Roman" w:eastAsia="Times New Roman" w:hAnsi="Times New Roman"/>
                <w:sz w:val="13"/>
                <w:szCs w:val="13"/>
                <w:color w:val="auto"/>
                <w:w w:val="95"/>
              </w:rPr>
              <w:t>1,258</w:t>
            </w:r>
          </w:p>
        </w:tc>
        <w:tc>
          <w:tcPr>
            <w:tcW w:w="80" w:type="dxa"/>
            <w:vAlign w:val="bottom"/>
          </w:tcPr>
          <w:p>
            <w:pPr>
              <w:spacing w:after="0"/>
              <w:rPr>
                <w:sz w:val="13"/>
                <w:szCs w:val="13"/>
                <w:color w:val="auto"/>
              </w:rPr>
            </w:pPr>
          </w:p>
        </w:tc>
        <w:tc>
          <w:tcPr>
            <w:tcW w:w="320" w:type="dxa"/>
            <w:vAlign w:val="bottom"/>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100" w:type="dxa"/>
            <w:vAlign w:val="bottom"/>
          </w:tcPr>
          <w:p>
            <w:pPr>
              <w:spacing w:after="0"/>
              <w:rPr>
                <w:sz w:val="13"/>
                <w:szCs w:val="13"/>
                <w:color w:val="auto"/>
              </w:rPr>
            </w:pPr>
          </w:p>
        </w:tc>
        <w:tc>
          <w:tcPr>
            <w:tcW w:w="440" w:type="dxa"/>
            <w:vAlign w:val="bottom"/>
            <w:gridSpan w:val="2"/>
          </w:tcPr>
          <w:p>
            <w:pPr>
              <w:jc w:val="center"/>
              <w:ind w:right="60"/>
              <w:spacing w:after="0"/>
              <w:rPr>
                <w:sz w:val="20"/>
                <w:szCs w:val="20"/>
                <w:color w:val="auto"/>
              </w:rPr>
            </w:pPr>
            <w:r>
              <w:rPr>
                <w:rFonts w:ascii="Times New Roman" w:cs="Times New Roman" w:eastAsia="Times New Roman" w:hAnsi="Times New Roman"/>
                <w:sz w:val="13"/>
                <w:szCs w:val="13"/>
                <w:color w:val="auto"/>
              </w:rPr>
              <w:t>—</w:t>
            </w:r>
          </w:p>
        </w:tc>
        <w:tc>
          <w:tcPr>
            <w:tcW w:w="320" w:type="dxa"/>
            <w:vAlign w:val="bottom"/>
          </w:tcPr>
          <w:p>
            <w:pPr>
              <w:jc w:val="center"/>
              <w:spacing w:after="0"/>
              <w:rPr>
                <w:sz w:val="20"/>
                <w:szCs w:val="20"/>
                <w:color w:val="auto"/>
              </w:rPr>
            </w:pPr>
            <w:r>
              <w:rPr>
                <w:rFonts w:ascii="Times New Roman" w:cs="Times New Roman" w:eastAsia="Times New Roman" w:hAnsi="Times New Roman"/>
                <w:sz w:val="13"/>
                <w:szCs w:val="13"/>
                <w:color w:val="auto"/>
              </w:rPr>
              <w:t>1,258</w:t>
            </w: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0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Other investments</w:t>
            </w:r>
          </w:p>
        </w:tc>
        <w:tc>
          <w:tcPr>
            <w:tcW w:w="500" w:type="dxa"/>
            <w:vAlign w:val="bottom"/>
            <w:gridSpan w:val="2"/>
            <w:shd w:val="clear" w:color="auto" w:fill="CCEEFF"/>
          </w:tcPr>
          <w:p>
            <w:pPr>
              <w:ind w:left="200"/>
              <w:spacing w:after="0"/>
              <w:rPr>
                <w:sz w:val="20"/>
                <w:szCs w:val="20"/>
                <w:color w:val="auto"/>
              </w:rPr>
            </w:pPr>
            <w:r>
              <w:rPr>
                <w:rFonts w:ascii="Times New Roman" w:cs="Times New Roman" w:eastAsia="Times New Roman" w:hAnsi="Times New Roman"/>
                <w:sz w:val="13"/>
                <w:szCs w:val="13"/>
                <w:color w:val="auto"/>
              </w:rPr>
              <w:t>—</w:t>
            </w:r>
          </w:p>
        </w:tc>
        <w:tc>
          <w:tcPr>
            <w:tcW w:w="34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5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2,185</w:t>
            </w:r>
          </w:p>
        </w:tc>
        <w:tc>
          <w:tcPr>
            <w:tcW w:w="12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2,185</w:t>
            </w:r>
          </w:p>
        </w:tc>
        <w:tc>
          <w:tcPr>
            <w:tcW w:w="360" w:type="dxa"/>
            <w:vAlign w:val="bottom"/>
            <w:gridSpan w:val="2"/>
            <w:shd w:val="clear" w:color="auto" w:fill="CCEEFF"/>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80" w:type="dxa"/>
            <w:vAlign w:val="bottom"/>
            <w:shd w:val="clear" w:color="auto" w:fill="CCEEFF"/>
          </w:tcPr>
          <w:p>
            <w:pPr>
              <w:spacing w:after="0"/>
              <w:rPr>
                <w:sz w:val="13"/>
                <w:szCs w:val="13"/>
                <w:color w:val="auto"/>
              </w:rPr>
            </w:pPr>
          </w:p>
        </w:tc>
        <w:tc>
          <w:tcPr>
            <w:tcW w:w="3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100" w:type="dxa"/>
            <w:vAlign w:val="bottom"/>
            <w:shd w:val="clear" w:color="auto" w:fill="CCEEFF"/>
          </w:tcPr>
          <w:p>
            <w:pPr>
              <w:spacing w:after="0"/>
              <w:rPr>
                <w:sz w:val="13"/>
                <w:szCs w:val="13"/>
                <w:color w:val="auto"/>
              </w:rPr>
            </w:pPr>
          </w:p>
        </w:tc>
        <w:tc>
          <w:tcPr>
            <w:tcW w:w="440" w:type="dxa"/>
            <w:vAlign w:val="bottom"/>
            <w:gridSpan w:val="2"/>
            <w:shd w:val="clear" w:color="auto" w:fill="CCEEFF"/>
          </w:tcPr>
          <w:p>
            <w:pPr>
              <w:jc w:val="center"/>
              <w:ind w:right="60"/>
              <w:spacing w:after="0"/>
              <w:rPr>
                <w:sz w:val="20"/>
                <w:szCs w:val="20"/>
                <w:color w:val="auto"/>
              </w:rPr>
            </w:pPr>
            <w:r>
              <w:rPr>
                <w:rFonts w:ascii="Times New Roman" w:cs="Times New Roman" w:eastAsia="Times New Roman" w:hAnsi="Times New Roman"/>
                <w:sz w:val="13"/>
                <w:szCs w:val="13"/>
                <w:color w:val="auto"/>
              </w:rPr>
              <w:t>—</w:t>
            </w:r>
          </w:p>
        </w:tc>
        <w:tc>
          <w:tcPr>
            <w:tcW w:w="360" w:type="dxa"/>
            <w:vAlign w:val="bottom"/>
            <w:gridSpan w:val="2"/>
            <w:shd w:val="clear" w:color="auto" w:fill="CCEEFF"/>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0" w:type="dxa"/>
            <w:vAlign w:val="bottom"/>
          </w:tcPr>
          <w:p>
            <w:pPr>
              <w:spacing w:after="0"/>
              <w:rPr>
                <w:sz w:val="1"/>
                <w:szCs w:val="1"/>
                <w:color w:val="auto"/>
              </w:rPr>
            </w:pPr>
          </w:p>
        </w:tc>
      </w:tr>
      <w:tr>
        <w:trPr>
          <w:trHeight w:val="151"/>
        </w:trPr>
        <w:tc>
          <w:tcPr>
            <w:tcW w:w="4000" w:type="dxa"/>
            <w:vAlign w:val="bottom"/>
          </w:tcPr>
          <w:p>
            <w:pPr>
              <w:spacing w:after="0"/>
              <w:rPr>
                <w:sz w:val="20"/>
                <w:szCs w:val="20"/>
                <w:color w:val="auto"/>
              </w:rPr>
            </w:pPr>
            <w:r>
              <w:rPr>
                <w:rFonts w:ascii="Times New Roman" w:cs="Times New Roman" w:eastAsia="Times New Roman" w:hAnsi="Times New Roman"/>
                <w:sz w:val="13"/>
                <w:szCs w:val="13"/>
                <w:b w:val="1"/>
                <w:bCs w:val="1"/>
                <w:color w:val="auto"/>
              </w:rPr>
              <w:t>Total assets</w:t>
            </w:r>
          </w:p>
        </w:tc>
        <w:tc>
          <w:tcPr>
            <w:tcW w:w="400" w:type="dxa"/>
            <w:vAlign w:val="bottom"/>
            <w:tcBorders>
              <w:top w:val="single" w:sz="8" w:color="auto"/>
              <w:bottom w:val="single" w:sz="8" w:color="auto"/>
            </w:tcBorders>
          </w:tcPr>
          <w:p>
            <w:pPr>
              <w:ind w:left="200"/>
              <w:spacing w:after="0"/>
              <w:rPr>
                <w:sz w:val="20"/>
                <w:szCs w:val="20"/>
                <w:color w:val="auto"/>
              </w:rPr>
            </w:pPr>
            <w:r>
              <w:rPr>
                <w:rFonts w:ascii="Times New Roman" w:cs="Times New Roman" w:eastAsia="Times New Roman" w:hAnsi="Times New Roman"/>
                <w:sz w:val="13"/>
                <w:szCs w:val="13"/>
                <w:b w:val="1"/>
                <w:bCs w:val="1"/>
                <w:color w:val="auto"/>
              </w:rPr>
              <w:t>—</w:t>
            </w:r>
          </w:p>
        </w:tc>
        <w:tc>
          <w:tcPr>
            <w:tcW w:w="100" w:type="dxa"/>
            <w:vAlign w:val="bottom"/>
          </w:tcPr>
          <w:p>
            <w:pPr>
              <w:spacing w:after="0"/>
              <w:rPr>
                <w:sz w:val="13"/>
                <w:szCs w:val="13"/>
                <w:color w:val="auto"/>
              </w:rPr>
            </w:pPr>
          </w:p>
        </w:tc>
        <w:tc>
          <w:tcPr>
            <w:tcW w:w="340" w:type="dxa"/>
            <w:vAlign w:val="bottom"/>
            <w:tcBorders>
              <w:top w:val="single" w:sz="8" w:color="auto"/>
              <w:bottom w:val="single" w:sz="8" w:color="auto"/>
            </w:tcBorders>
          </w:tcPr>
          <w:p>
            <w:pPr>
              <w:jc w:val="center"/>
              <w:spacing w:after="0"/>
              <w:rPr>
                <w:sz w:val="20"/>
                <w:szCs w:val="20"/>
                <w:color w:val="auto"/>
              </w:rPr>
            </w:pPr>
            <w:r>
              <w:rPr>
                <w:rFonts w:ascii="Times New Roman" w:cs="Times New Roman" w:eastAsia="Times New Roman" w:hAnsi="Times New Roman"/>
                <w:sz w:val="13"/>
                <w:szCs w:val="13"/>
                <w:b w:val="1"/>
                <w:bCs w:val="1"/>
                <w:color w:val="auto"/>
                <w:w w:val="91"/>
              </w:rPr>
              <w:t>—</w:t>
            </w:r>
          </w:p>
        </w:tc>
        <w:tc>
          <w:tcPr>
            <w:tcW w:w="100" w:type="dxa"/>
            <w:vAlign w:val="bottom"/>
          </w:tcPr>
          <w:p>
            <w:pPr>
              <w:spacing w:after="0"/>
              <w:rPr>
                <w:sz w:val="13"/>
                <w:szCs w:val="13"/>
                <w:color w:val="auto"/>
              </w:rPr>
            </w:pPr>
          </w:p>
        </w:tc>
        <w:tc>
          <w:tcPr>
            <w:tcW w:w="4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2,185</w:t>
            </w:r>
          </w:p>
        </w:tc>
        <w:tc>
          <w:tcPr>
            <w:tcW w:w="120" w:type="dxa"/>
            <w:vAlign w:val="bottom"/>
          </w:tcPr>
          <w:p>
            <w:pPr>
              <w:spacing w:after="0"/>
              <w:rPr>
                <w:sz w:val="13"/>
                <w:szCs w:val="13"/>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3"/>
                <w:szCs w:val="13"/>
                <w:b w:val="1"/>
                <w:bCs w:val="1"/>
                <w:color w:val="auto"/>
              </w:rPr>
              <w:t>2,185</w:t>
            </w:r>
          </w:p>
        </w:tc>
        <w:tc>
          <w:tcPr>
            <w:tcW w:w="120" w:type="dxa"/>
            <w:vAlign w:val="bottom"/>
          </w:tcPr>
          <w:p>
            <w:pPr>
              <w:spacing w:after="0"/>
              <w:rPr>
                <w:sz w:val="13"/>
                <w:szCs w:val="13"/>
                <w:color w:val="auto"/>
              </w:rPr>
            </w:pPr>
          </w:p>
        </w:tc>
        <w:tc>
          <w:tcPr>
            <w:tcW w:w="320" w:type="dxa"/>
            <w:vAlign w:val="bottom"/>
            <w:tcBorders>
              <w:top w:val="single" w:sz="8" w:color="auto"/>
              <w:bottom w:val="single" w:sz="8" w:color="auto"/>
            </w:tcBorders>
          </w:tcPr>
          <w:p>
            <w:pPr>
              <w:jc w:val="center"/>
              <w:spacing w:after="0"/>
              <w:rPr>
                <w:sz w:val="20"/>
                <w:szCs w:val="20"/>
                <w:color w:val="auto"/>
              </w:rPr>
            </w:pPr>
            <w:r>
              <w:rPr>
                <w:rFonts w:ascii="Times New Roman" w:cs="Times New Roman" w:eastAsia="Times New Roman" w:hAnsi="Times New Roman"/>
                <w:sz w:val="13"/>
                <w:szCs w:val="13"/>
                <w:b w:val="1"/>
                <w:bCs w:val="1"/>
                <w:color w:val="auto"/>
                <w:w w:val="95"/>
              </w:rPr>
              <w:t>1,258</w:t>
            </w: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20" w:type="dxa"/>
            <w:vAlign w:val="bottom"/>
            <w:tcBorders>
              <w:top w:val="single" w:sz="8" w:color="auto"/>
              <w:bottom w:val="single" w:sz="8" w:color="auto"/>
            </w:tcBorders>
          </w:tcPr>
          <w:p>
            <w:pPr>
              <w:jc w:val="center"/>
              <w:spacing w:after="0"/>
              <w:rPr>
                <w:sz w:val="20"/>
                <w:szCs w:val="20"/>
                <w:color w:val="auto"/>
              </w:rPr>
            </w:pPr>
            <w:r>
              <w:rPr>
                <w:rFonts w:ascii="Times New Roman" w:cs="Times New Roman" w:eastAsia="Times New Roman" w:hAnsi="Times New Roman"/>
                <w:sz w:val="13"/>
                <w:szCs w:val="13"/>
                <w:b w:val="1"/>
                <w:bCs w:val="1"/>
                <w:color w:val="auto"/>
                <w:w w:val="91"/>
              </w:rPr>
              <w:t>—</w:t>
            </w:r>
          </w:p>
        </w:tc>
        <w:tc>
          <w:tcPr>
            <w:tcW w:w="100" w:type="dxa"/>
            <w:vAlign w:val="bottom"/>
          </w:tcPr>
          <w:p>
            <w:pPr>
              <w:spacing w:after="0"/>
              <w:rPr>
                <w:sz w:val="13"/>
                <w:szCs w:val="13"/>
                <w:color w:val="auto"/>
              </w:rPr>
            </w:pPr>
          </w:p>
        </w:tc>
        <w:tc>
          <w:tcPr>
            <w:tcW w:w="320" w:type="dxa"/>
            <w:vAlign w:val="bottom"/>
            <w:tcBorders>
              <w:top w:val="single" w:sz="8" w:color="auto"/>
              <w:bottom w:val="single" w:sz="8" w:color="auto"/>
            </w:tcBorders>
          </w:tcPr>
          <w:p>
            <w:pPr>
              <w:jc w:val="center"/>
              <w:spacing w:after="0"/>
              <w:rPr>
                <w:sz w:val="20"/>
                <w:szCs w:val="20"/>
                <w:color w:val="auto"/>
              </w:rPr>
            </w:pPr>
            <w:r>
              <w:rPr>
                <w:rFonts w:ascii="Times New Roman" w:cs="Times New Roman" w:eastAsia="Times New Roman" w:hAnsi="Times New Roman"/>
                <w:sz w:val="13"/>
                <w:szCs w:val="13"/>
                <w:b w:val="1"/>
                <w:bCs w:val="1"/>
                <w:color w:val="auto"/>
              </w:rPr>
              <w:t>—</w:t>
            </w:r>
          </w:p>
        </w:tc>
        <w:tc>
          <w:tcPr>
            <w:tcW w:w="120" w:type="dxa"/>
            <w:vAlign w:val="bottom"/>
          </w:tcPr>
          <w:p>
            <w:pPr>
              <w:spacing w:after="0"/>
              <w:rPr>
                <w:sz w:val="13"/>
                <w:szCs w:val="13"/>
                <w:color w:val="auto"/>
              </w:rPr>
            </w:pPr>
          </w:p>
        </w:tc>
        <w:tc>
          <w:tcPr>
            <w:tcW w:w="320" w:type="dxa"/>
            <w:vAlign w:val="bottom"/>
            <w:tcBorders>
              <w:top w:val="single" w:sz="8" w:color="auto"/>
              <w:bottom w:val="single" w:sz="8" w:color="auto"/>
            </w:tcBorders>
          </w:tcPr>
          <w:p>
            <w:pPr>
              <w:jc w:val="center"/>
              <w:spacing w:after="0"/>
              <w:rPr>
                <w:sz w:val="20"/>
                <w:szCs w:val="20"/>
                <w:color w:val="auto"/>
              </w:rPr>
            </w:pPr>
            <w:r>
              <w:rPr>
                <w:rFonts w:ascii="Times New Roman" w:cs="Times New Roman" w:eastAsia="Times New Roman" w:hAnsi="Times New Roman"/>
                <w:sz w:val="13"/>
                <w:szCs w:val="13"/>
                <w:b w:val="1"/>
                <w:bCs w:val="1"/>
                <w:color w:val="auto"/>
              </w:rPr>
              <w:t>1,258</w:t>
            </w: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40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Liabilities measured at FVTPL</w:t>
            </w:r>
          </w:p>
        </w:tc>
        <w:tc>
          <w:tcPr>
            <w:tcW w:w="4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4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2"/>
        </w:trPr>
        <w:tc>
          <w:tcPr>
            <w:tcW w:w="4000" w:type="dxa"/>
            <w:vAlign w:val="bottom"/>
          </w:tcPr>
          <w:p>
            <w:pPr>
              <w:spacing w:after="0"/>
              <w:rPr>
                <w:sz w:val="20"/>
                <w:szCs w:val="20"/>
                <w:color w:val="auto"/>
              </w:rPr>
            </w:pPr>
            <w:r>
              <w:rPr>
                <w:rFonts w:ascii="Times New Roman" w:cs="Times New Roman" w:eastAsia="Times New Roman" w:hAnsi="Times New Roman"/>
                <w:sz w:val="13"/>
                <w:szCs w:val="13"/>
                <w:color w:val="auto"/>
              </w:rPr>
              <w:t>Earn out rights</w:t>
            </w:r>
          </w:p>
        </w:tc>
        <w:tc>
          <w:tcPr>
            <w:tcW w:w="500" w:type="dxa"/>
            <w:vAlign w:val="bottom"/>
            <w:gridSpan w:val="2"/>
          </w:tcPr>
          <w:p>
            <w:pPr>
              <w:ind w:left="200"/>
              <w:spacing w:after="0"/>
              <w:rPr>
                <w:sz w:val="20"/>
                <w:szCs w:val="20"/>
                <w:color w:val="auto"/>
              </w:rPr>
            </w:pPr>
            <w:r>
              <w:rPr>
                <w:rFonts w:ascii="Times New Roman" w:cs="Times New Roman" w:eastAsia="Times New Roman" w:hAnsi="Times New Roman"/>
                <w:sz w:val="13"/>
                <w:szCs w:val="13"/>
                <w:color w:val="auto"/>
              </w:rPr>
              <w:t>—</w:t>
            </w:r>
          </w:p>
        </w:tc>
        <w:tc>
          <w:tcPr>
            <w:tcW w:w="340" w:type="dxa"/>
            <w:vAlign w:val="bottom"/>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560" w:type="dxa"/>
            <w:vAlign w:val="bottom"/>
            <w:gridSpan w:val="2"/>
          </w:tcPr>
          <w:p>
            <w:pPr>
              <w:jc w:val="right"/>
              <w:spacing w:after="0"/>
              <w:rPr>
                <w:sz w:val="20"/>
                <w:szCs w:val="20"/>
                <w:color w:val="auto"/>
              </w:rPr>
            </w:pPr>
            <w:r>
              <w:rPr>
                <w:rFonts w:ascii="Times New Roman" w:cs="Times New Roman" w:eastAsia="Times New Roman" w:hAnsi="Times New Roman"/>
                <w:sz w:val="13"/>
                <w:szCs w:val="13"/>
                <w:color w:val="auto"/>
              </w:rPr>
              <w:t>534,970</w:t>
            </w:r>
          </w:p>
        </w:tc>
        <w:tc>
          <w:tcPr>
            <w:tcW w:w="120" w:type="dxa"/>
            <w:vAlign w:val="bottom"/>
          </w:tcPr>
          <w:p>
            <w:pPr>
              <w:spacing w:after="0"/>
              <w:rPr>
                <w:sz w:val="13"/>
                <w:szCs w:val="13"/>
                <w:color w:val="auto"/>
              </w:rPr>
            </w:pPr>
          </w:p>
        </w:tc>
        <w:tc>
          <w:tcPr>
            <w:tcW w:w="56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w w:val="99"/>
              </w:rPr>
              <w:t>534,970</w:t>
            </w:r>
          </w:p>
        </w:tc>
        <w:tc>
          <w:tcPr>
            <w:tcW w:w="360" w:type="dxa"/>
            <w:vAlign w:val="bottom"/>
            <w:gridSpan w:val="2"/>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80" w:type="dxa"/>
            <w:vAlign w:val="bottom"/>
          </w:tcPr>
          <w:p>
            <w:pPr>
              <w:spacing w:after="0"/>
              <w:rPr>
                <w:sz w:val="13"/>
                <w:szCs w:val="13"/>
                <w:color w:val="auto"/>
              </w:rPr>
            </w:pPr>
          </w:p>
        </w:tc>
        <w:tc>
          <w:tcPr>
            <w:tcW w:w="320" w:type="dxa"/>
            <w:vAlign w:val="bottom"/>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100" w:type="dxa"/>
            <w:vAlign w:val="bottom"/>
          </w:tcPr>
          <w:p>
            <w:pPr>
              <w:spacing w:after="0"/>
              <w:rPr>
                <w:sz w:val="13"/>
                <w:szCs w:val="13"/>
                <w:color w:val="auto"/>
              </w:rPr>
            </w:pPr>
          </w:p>
        </w:tc>
        <w:tc>
          <w:tcPr>
            <w:tcW w:w="440" w:type="dxa"/>
            <w:vAlign w:val="bottom"/>
            <w:gridSpan w:val="2"/>
          </w:tcPr>
          <w:p>
            <w:pPr>
              <w:jc w:val="center"/>
              <w:ind w:right="60"/>
              <w:spacing w:after="0"/>
              <w:rPr>
                <w:sz w:val="20"/>
                <w:szCs w:val="20"/>
                <w:color w:val="auto"/>
              </w:rPr>
            </w:pPr>
            <w:r>
              <w:rPr>
                <w:rFonts w:ascii="Times New Roman" w:cs="Times New Roman" w:eastAsia="Times New Roman" w:hAnsi="Times New Roman"/>
                <w:sz w:val="13"/>
                <w:szCs w:val="13"/>
                <w:color w:val="auto"/>
              </w:rPr>
              <w:t>—</w:t>
            </w:r>
          </w:p>
        </w:tc>
        <w:tc>
          <w:tcPr>
            <w:tcW w:w="360" w:type="dxa"/>
            <w:vAlign w:val="bottom"/>
            <w:gridSpan w:val="2"/>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0" w:type="dxa"/>
            <w:vAlign w:val="bottom"/>
          </w:tcPr>
          <w:p>
            <w:pPr>
              <w:spacing w:after="0"/>
              <w:rPr>
                <w:sz w:val="1"/>
                <w:szCs w:val="1"/>
                <w:color w:val="auto"/>
              </w:rPr>
            </w:pPr>
          </w:p>
        </w:tc>
      </w:tr>
      <w:tr>
        <w:trPr>
          <w:trHeight w:val="152"/>
        </w:trPr>
        <w:tc>
          <w:tcPr>
            <w:tcW w:w="40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Class C-1 Shares</w:t>
            </w:r>
          </w:p>
        </w:tc>
        <w:tc>
          <w:tcPr>
            <w:tcW w:w="5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3"/>
                <w:szCs w:val="13"/>
                <w:color w:val="auto"/>
              </w:rPr>
              <w:t>17,600</w:t>
            </w:r>
          </w:p>
        </w:tc>
        <w:tc>
          <w:tcPr>
            <w:tcW w:w="34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100" w:type="dxa"/>
            <w:vAlign w:val="bottom"/>
            <w:shd w:val="clear" w:color="auto" w:fill="CCEEFF"/>
          </w:tcPr>
          <w:p>
            <w:pPr>
              <w:spacing w:after="0"/>
              <w:rPr>
                <w:sz w:val="13"/>
                <w:szCs w:val="13"/>
                <w:color w:val="auto"/>
              </w:rPr>
            </w:pPr>
          </w:p>
        </w:tc>
        <w:tc>
          <w:tcPr>
            <w:tcW w:w="580" w:type="dxa"/>
            <w:vAlign w:val="bottom"/>
            <w:gridSpan w:val="2"/>
            <w:shd w:val="clear" w:color="auto" w:fill="CCEEFF"/>
          </w:tcPr>
          <w:p>
            <w:pPr>
              <w:ind w:left="260"/>
              <w:spacing w:after="0"/>
              <w:rPr>
                <w:sz w:val="20"/>
                <w:szCs w:val="20"/>
                <w:color w:val="auto"/>
              </w:rPr>
            </w:pPr>
            <w:r>
              <w:rPr>
                <w:rFonts w:ascii="Times New Roman" w:cs="Times New Roman" w:eastAsia="Times New Roman" w:hAnsi="Times New Roman"/>
                <w:sz w:val="13"/>
                <w:szCs w:val="13"/>
                <w:color w:val="auto"/>
              </w:rPr>
              <w:t>—</w:t>
            </w:r>
          </w:p>
        </w:tc>
        <w:tc>
          <w:tcPr>
            <w:tcW w:w="5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color w:val="auto"/>
              </w:rPr>
              <w:t>17,600</w:t>
            </w:r>
          </w:p>
        </w:tc>
        <w:tc>
          <w:tcPr>
            <w:tcW w:w="360" w:type="dxa"/>
            <w:vAlign w:val="bottom"/>
            <w:gridSpan w:val="2"/>
            <w:shd w:val="clear" w:color="auto" w:fill="CCEEFF"/>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80" w:type="dxa"/>
            <w:vAlign w:val="bottom"/>
            <w:shd w:val="clear" w:color="auto" w:fill="CCEEFF"/>
          </w:tcPr>
          <w:p>
            <w:pPr>
              <w:spacing w:after="0"/>
              <w:rPr>
                <w:sz w:val="13"/>
                <w:szCs w:val="13"/>
                <w:color w:val="auto"/>
              </w:rPr>
            </w:pPr>
          </w:p>
        </w:tc>
        <w:tc>
          <w:tcPr>
            <w:tcW w:w="3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100" w:type="dxa"/>
            <w:vAlign w:val="bottom"/>
            <w:shd w:val="clear" w:color="auto" w:fill="CCEEFF"/>
          </w:tcPr>
          <w:p>
            <w:pPr>
              <w:spacing w:after="0"/>
              <w:rPr>
                <w:sz w:val="13"/>
                <w:szCs w:val="13"/>
                <w:color w:val="auto"/>
              </w:rPr>
            </w:pPr>
          </w:p>
        </w:tc>
        <w:tc>
          <w:tcPr>
            <w:tcW w:w="440" w:type="dxa"/>
            <w:vAlign w:val="bottom"/>
            <w:gridSpan w:val="2"/>
            <w:shd w:val="clear" w:color="auto" w:fill="CCEEFF"/>
          </w:tcPr>
          <w:p>
            <w:pPr>
              <w:jc w:val="center"/>
              <w:ind w:right="60"/>
              <w:spacing w:after="0"/>
              <w:rPr>
                <w:sz w:val="20"/>
                <w:szCs w:val="20"/>
                <w:color w:val="auto"/>
              </w:rPr>
            </w:pPr>
            <w:r>
              <w:rPr>
                <w:rFonts w:ascii="Times New Roman" w:cs="Times New Roman" w:eastAsia="Times New Roman" w:hAnsi="Times New Roman"/>
                <w:sz w:val="13"/>
                <w:szCs w:val="13"/>
                <w:color w:val="auto"/>
              </w:rPr>
              <w:t>—</w:t>
            </w:r>
          </w:p>
        </w:tc>
        <w:tc>
          <w:tcPr>
            <w:tcW w:w="360" w:type="dxa"/>
            <w:vAlign w:val="bottom"/>
            <w:gridSpan w:val="2"/>
            <w:shd w:val="clear" w:color="auto" w:fill="CCEEFF"/>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0" w:type="dxa"/>
            <w:vAlign w:val="bottom"/>
          </w:tcPr>
          <w:p>
            <w:pPr>
              <w:spacing w:after="0"/>
              <w:rPr>
                <w:sz w:val="1"/>
                <w:szCs w:val="1"/>
                <w:color w:val="auto"/>
              </w:rPr>
            </w:pPr>
          </w:p>
        </w:tc>
      </w:tr>
      <w:tr>
        <w:trPr>
          <w:trHeight w:val="152"/>
        </w:trPr>
        <w:tc>
          <w:tcPr>
            <w:tcW w:w="4000" w:type="dxa"/>
            <w:vAlign w:val="bottom"/>
          </w:tcPr>
          <w:p>
            <w:pPr>
              <w:spacing w:after="0"/>
              <w:rPr>
                <w:sz w:val="20"/>
                <w:szCs w:val="20"/>
                <w:color w:val="auto"/>
              </w:rPr>
            </w:pPr>
            <w:r>
              <w:rPr>
                <w:rFonts w:ascii="Times New Roman" w:cs="Times New Roman" w:eastAsia="Times New Roman" w:hAnsi="Times New Roman"/>
                <w:sz w:val="13"/>
                <w:szCs w:val="13"/>
                <w:color w:val="auto"/>
              </w:rPr>
              <w:t>Class C-2 Shares</w:t>
            </w:r>
          </w:p>
        </w:tc>
        <w:tc>
          <w:tcPr>
            <w:tcW w:w="400" w:type="dxa"/>
            <w:vAlign w:val="bottom"/>
          </w:tcPr>
          <w:p>
            <w:pPr>
              <w:ind w:left="200"/>
              <w:spacing w:after="0"/>
              <w:rPr>
                <w:sz w:val="20"/>
                <w:szCs w:val="20"/>
                <w:color w:val="auto"/>
              </w:rPr>
            </w:pPr>
            <w:r>
              <w:rPr>
                <w:rFonts w:ascii="Times New Roman" w:cs="Times New Roman" w:eastAsia="Times New Roman" w:hAnsi="Times New Roman"/>
                <w:sz w:val="13"/>
                <w:szCs w:val="13"/>
                <w:color w:val="auto"/>
              </w:rPr>
              <w:t>—</w:t>
            </w:r>
          </w:p>
        </w:tc>
        <w:tc>
          <w:tcPr>
            <w:tcW w:w="100" w:type="dxa"/>
            <w:vAlign w:val="bottom"/>
          </w:tcPr>
          <w:p>
            <w:pPr>
              <w:spacing w:after="0"/>
              <w:rPr>
                <w:sz w:val="13"/>
                <w:szCs w:val="13"/>
                <w:color w:val="auto"/>
              </w:rPr>
            </w:pPr>
          </w:p>
        </w:tc>
        <w:tc>
          <w:tcPr>
            <w:tcW w:w="340" w:type="dxa"/>
            <w:vAlign w:val="bottom"/>
          </w:tcPr>
          <w:p>
            <w:pPr>
              <w:jc w:val="center"/>
              <w:spacing w:after="0"/>
              <w:rPr>
                <w:sz w:val="20"/>
                <w:szCs w:val="20"/>
                <w:color w:val="auto"/>
              </w:rPr>
            </w:pPr>
            <w:r>
              <w:rPr>
                <w:rFonts w:ascii="Times New Roman" w:cs="Times New Roman" w:eastAsia="Times New Roman" w:hAnsi="Times New Roman"/>
                <w:sz w:val="13"/>
                <w:szCs w:val="13"/>
                <w:color w:val="auto"/>
              </w:rPr>
              <w:t>9,900</w:t>
            </w:r>
          </w:p>
        </w:tc>
        <w:tc>
          <w:tcPr>
            <w:tcW w:w="100" w:type="dxa"/>
            <w:vAlign w:val="bottom"/>
          </w:tcPr>
          <w:p>
            <w:pPr>
              <w:spacing w:after="0"/>
              <w:rPr>
                <w:sz w:val="13"/>
                <w:szCs w:val="13"/>
                <w:color w:val="auto"/>
              </w:rPr>
            </w:pPr>
          </w:p>
        </w:tc>
        <w:tc>
          <w:tcPr>
            <w:tcW w:w="460" w:type="dxa"/>
            <w:vAlign w:val="bottom"/>
          </w:tcPr>
          <w:p>
            <w:pPr>
              <w:ind w:left="260"/>
              <w:spacing w:after="0"/>
              <w:rPr>
                <w:sz w:val="20"/>
                <w:szCs w:val="20"/>
                <w:color w:val="auto"/>
              </w:rPr>
            </w:pPr>
            <w:r>
              <w:rPr>
                <w:rFonts w:ascii="Times New Roman" w:cs="Times New Roman" w:eastAsia="Times New Roman" w:hAnsi="Times New Roman"/>
                <w:sz w:val="13"/>
                <w:szCs w:val="13"/>
                <w:color w:val="auto"/>
              </w:rPr>
              <w:t>—</w:t>
            </w:r>
          </w:p>
        </w:tc>
        <w:tc>
          <w:tcPr>
            <w:tcW w:w="120" w:type="dxa"/>
            <w:vAlign w:val="bottom"/>
          </w:tcPr>
          <w:p>
            <w:pPr>
              <w:spacing w:after="0"/>
              <w:rPr>
                <w:sz w:val="13"/>
                <w:szCs w:val="13"/>
                <w:color w:val="auto"/>
              </w:rPr>
            </w:pPr>
          </w:p>
        </w:tc>
        <w:tc>
          <w:tcPr>
            <w:tcW w:w="560" w:type="dxa"/>
            <w:vAlign w:val="bottom"/>
            <w:gridSpan w:val="2"/>
          </w:tcPr>
          <w:p>
            <w:pPr>
              <w:jc w:val="right"/>
              <w:ind w:right="120"/>
              <w:spacing w:after="0"/>
              <w:rPr>
                <w:sz w:val="20"/>
                <w:szCs w:val="20"/>
                <w:color w:val="auto"/>
              </w:rPr>
            </w:pPr>
            <w:r>
              <w:rPr>
                <w:rFonts w:ascii="Times New Roman" w:cs="Times New Roman" w:eastAsia="Times New Roman" w:hAnsi="Times New Roman"/>
                <w:sz w:val="13"/>
                <w:szCs w:val="13"/>
                <w:color w:val="auto"/>
              </w:rPr>
              <w:t>9,900</w:t>
            </w:r>
          </w:p>
        </w:tc>
        <w:tc>
          <w:tcPr>
            <w:tcW w:w="360" w:type="dxa"/>
            <w:vAlign w:val="bottom"/>
            <w:gridSpan w:val="2"/>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80" w:type="dxa"/>
            <w:vAlign w:val="bottom"/>
          </w:tcPr>
          <w:p>
            <w:pPr>
              <w:spacing w:after="0"/>
              <w:rPr>
                <w:sz w:val="13"/>
                <w:szCs w:val="13"/>
                <w:color w:val="auto"/>
              </w:rPr>
            </w:pPr>
          </w:p>
        </w:tc>
        <w:tc>
          <w:tcPr>
            <w:tcW w:w="320" w:type="dxa"/>
            <w:vAlign w:val="bottom"/>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100" w:type="dxa"/>
            <w:vAlign w:val="bottom"/>
          </w:tcPr>
          <w:p>
            <w:pPr>
              <w:spacing w:after="0"/>
              <w:rPr>
                <w:sz w:val="13"/>
                <w:szCs w:val="13"/>
                <w:color w:val="auto"/>
              </w:rPr>
            </w:pPr>
          </w:p>
        </w:tc>
        <w:tc>
          <w:tcPr>
            <w:tcW w:w="440" w:type="dxa"/>
            <w:vAlign w:val="bottom"/>
            <w:gridSpan w:val="2"/>
          </w:tcPr>
          <w:p>
            <w:pPr>
              <w:jc w:val="center"/>
              <w:ind w:right="60"/>
              <w:spacing w:after="0"/>
              <w:rPr>
                <w:sz w:val="20"/>
                <w:szCs w:val="20"/>
                <w:color w:val="auto"/>
              </w:rPr>
            </w:pPr>
            <w:r>
              <w:rPr>
                <w:rFonts w:ascii="Times New Roman" w:cs="Times New Roman" w:eastAsia="Times New Roman" w:hAnsi="Times New Roman"/>
                <w:sz w:val="13"/>
                <w:szCs w:val="13"/>
                <w:color w:val="auto"/>
              </w:rPr>
              <w:t>—</w:t>
            </w:r>
          </w:p>
        </w:tc>
        <w:tc>
          <w:tcPr>
            <w:tcW w:w="360" w:type="dxa"/>
            <w:vAlign w:val="bottom"/>
            <w:gridSpan w:val="2"/>
          </w:tcPr>
          <w:p>
            <w:pPr>
              <w:jc w:val="center"/>
              <w:spacing w:after="0"/>
              <w:rPr>
                <w:sz w:val="20"/>
                <w:szCs w:val="20"/>
                <w:color w:val="auto"/>
              </w:rPr>
            </w:pPr>
            <w:r>
              <w:rPr>
                <w:rFonts w:ascii="Times New Roman" w:cs="Times New Roman" w:eastAsia="Times New Roman" w:hAnsi="Times New Roman"/>
                <w:sz w:val="13"/>
                <w:szCs w:val="13"/>
                <w:color w:val="auto"/>
                <w:w w:val="91"/>
              </w:rPr>
              <w:t>—</w:t>
            </w:r>
          </w:p>
        </w:tc>
        <w:tc>
          <w:tcPr>
            <w:tcW w:w="0" w:type="dxa"/>
            <w:vAlign w:val="bottom"/>
          </w:tcPr>
          <w:p>
            <w:pPr>
              <w:spacing w:after="0"/>
              <w:rPr>
                <w:sz w:val="1"/>
                <w:szCs w:val="1"/>
                <w:color w:val="auto"/>
              </w:rPr>
            </w:pPr>
          </w:p>
        </w:tc>
      </w:tr>
      <w:tr>
        <w:trPr>
          <w:trHeight w:val="20"/>
        </w:trPr>
        <w:tc>
          <w:tcPr>
            <w:tcW w:w="400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1"/>
        </w:trPr>
        <w:tc>
          <w:tcPr>
            <w:tcW w:w="400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Total liabilities</w:t>
            </w:r>
          </w:p>
        </w:tc>
        <w:tc>
          <w:tcPr>
            <w:tcW w:w="400" w:type="dxa"/>
            <w:vAlign w:val="bottom"/>
            <w:shd w:val="clear" w:color="auto" w:fill="CCEEFF"/>
          </w:tcPr>
          <w:p>
            <w:pPr>
              <w:ind w:left="40"/>
              <w:spacing w:after="0"/>
              <w:rPr>
                <w:sz w:val="20"/>
                <w:szCs w:val="20"/>
                <w:color w:val="auto"/>
              </w:rPr>
            </w:pPr>
            <w:r>
              <w:rPr>
                <w:rFonts w:ascii="Times New Roman" w:cs="Times New Roman" w:eastAsia="Times New Roman" w:hAnsi="Times New Roman"/>
                <w:sz w:val="13"/>
                <w:szCs w:val="13"/>
                <w:b w:val="1"/>
                <w:bCs w:val="1"/>
                <w:color w:val="auto"/>
                <w:w w:val="94"/>
              </w:rPr>
              <w:t>17,600</w:t>
            </w:r>
          </w:p>
        </w:tc>
        <w:tc>
          <w:tcPr>
            <w:tcW w:w="100" w:type="dxa"/>
            <w:vAlign w:val="bottom"/>
            <w:shd w:val="clear" w:color="auto" w:fill="CCEEFF"/>
          </w:tcPr>
          <w:p>
            <w:pPr>
              <w:spacing w:after="0"/>
              <w:rPr>
                <w:sz w:val="13"/>
                <w:szCs w:val="13"/>
                <w:color w:val="auto"/>
              </w:rPr>
            </w:pPr>
          </w:p>
        </w:tc>
        <w:tc>
          <w:tcPr>
            <w:tcW w:w="34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3"/>
                <w:szCs w:val="13"/>
                <w:b w:val="1"/>
                <w:bCs w:val="1"/>
                <w:color w:val="auto"/>
              </w:rPr>
              <w:t>9,900</w:t>
            </w:r>
          </w:p>
        </w:tc>
        <w:tc>
          <w:tcPr>
            <w:tcW w:w="100" w:type="dxa"/>
            <w:vAlign w:val="bottom"/>
            <w:shd w:val="clear" w:color="auto" w:fill="CCEEFF"/>
          </w:tcPr>
          <w:p>
            <w:pPr>
              <w:spacing w:after="0"/>
              <w:rPr>
                <w:sz w:val="13"/>
                <w:szCs w:val="13"/>
                <w:color w:val="auto"/>
              </w:rPr>
            </w:pPr>
          </w:p>
        </w:tc>
        <w:tc>
          <w:tcPr>
            <w:tcW w:w="4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534,970</w:t>
            </w:r>
          </w:p>
        </w:tc>
        <w:tc>
          <w:tcPr>
            <w:tcW w:w="12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3"/>
                <w:szCs w:val="13"/>
                <w:b w:val="1"/>
                <w:bCs w:val="1"/>
                <w:color w:val="auto"/>
                <w:w w:val="99"/>
              </w:rPr>
              <w:t>562,470</w:t>
            </w:r>
          </w:p>
        </w:tc>
        <w:tc>
          <w:tcPr>
            <w:tcW w:w="360" w:type="dxa"/>
            <w:vAlign w:val="bottom"/>
            <w:gridSpan w:val="2"/>
            <w:shd w:val="clear" w:color="auto" w:fill="CCEEFF"/>
          </w:tcPr>
          <w:p>
            <w:pPr>
              <w:jc w:val="center"/>
              <w:spacing w:after="0"/>
              <w:rPr>
                <w:sz w:val="20"/>
                <w:szCs w:val="20"/>
                <w:color w:val="auto"/>
              </w:rPr>
            </w:pPr>
            <w:r>
              <w:rPr>
                <w:rFonts w:ascii="Times New Roman" w:cs="Times New Roman" w:eastAsia="Times New Roman" w:hAnsi="Times New Roman"/>
                <w:sz w:val="13"/>
                <w:szCs w:val="13"/>
                <w:b w:val="1"/>
                <w:bCs w:val="1"/>
                <w:color w:val="auto"/>
                <w:w w:val="91"/>
              </w:rPr>
              <w:t>—</w:t>
            </w:r>
          </w:p>
        </w:tc>
        <w:tc>
          <w:tcPr>
            <w:tcW w:w="80" w:type="dxa"/>
            <w:vAlign w:val="bottom"/>
            <w:shd w:val="clear" w:color="auto" w:fill="CCEEFF"/>
          </w:tcPr>
          <w:p>
            <w:pPr>
              <w:spacing w:after="0"/>
              <w:rPr>
                <w:sz w:val="13"/>
                <w:szCs w:val="13"/>
                <w:color w:val="auto"/>
              </w:rPr>
            </w:pPr>
          </w:p>
        </w:tc>
        <w:tc>
          <w:tcPr>
            <w:tcW w:w="3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3"/>
                <w:szCs w:val="13"/>
                <w:b w:val="1"/>
                <w:bCs w:val="1"/>
                <w:color w:val="auto"/>
                <w:w w:val="91"/>
              </w:rPr>
              <w:t>—</w:t>
            </w:r>
          </w:p>
        </w:tc>
        <w:tc>
          <w:tcPr>
            <w:tcW w:w="100" w:type="dxa"/>
            <w:vAlign w:val="bottom"/>
            <w:shd w:val="clear" w:color="auto" w:fill="CCEEFF"/>
          </w:tcPr>
          <w:p>
            <w:pPr>
              <w:spacing w:after="0"/>
              <w:rPr>
                <w:sz w:val="13"/>
                <w:szCs w:val="13"/>
                <w:color w:val="auto"/>
              </w:rPr>
            </w:pPr>
          </w:p>
        </w:tc>
        <w:tc>
          <w:tcPr>
            <w:tcW w:w="440" w:type="dxa"/>
            <w:vAlign w:val="bottom"/>
            <w:gridSpan w:val="2"/>
            <w:shd w:val="clear" w:color="auto" w:fill="CCEEFF"/>
          </w:tcPr>
          <w:p>
            <w:pPr>
              <w:jc w:val="center"/>
              <w:ind w:right="60"/>
              <w:spacing w:after="0"/>
              <w:rPr>
                <w:sz w:val="20"/>
                <w:szCs w:val="20"/>
                <w:color w:val="auto"/>
              </w:rPr>
            </w:pPr>
            <w:r>
              <w:rPr>
                <w:rFonts w:ascii="Times New Roman" w:cs="Times New Roman" w:eastAsia="Times New Roman" w:hAnsi="Times New Roman"/>
                <w:sz w:val="13"/>
                <w:szCs w:val="13"/>
                <w:b w:val="1"/>
                <w:bCs w:val="1"/>
                <w:color w:val="auto"/>
              </w:rPr>
              <w:t>—</w:t>
            </w:r>
          </w:p>
        </w:tc>
        <w:tc>
          <w:tcPr>
            <w:tcW w:w="360" w:type="dxa"/>
            <w:vAlign w:val="bottom"/>
            <w:gridSpan w:val="2"/>
            <w:shd w:val="clear" w:color="auto" w:fill="CCEEFF"/>
          </w:tcPr>
          <w:p>
            <w:pPr>
              <w:jc w:val="center"/>
              <w:spacing w:after="0"/>
              <w:rPr>
                <w:sz w:val="20"/>
                <w:szCs w:val="20"/>
                <w:color w:val="auto"/>
              </w:rPr>
            </w:pPr>
            <w:r>
              <w:rPr>
                <w:rFonts w:ascii="Times New Roman" w:cs="Times New Roman" w:eastAsia="Times New Roman" w:hAnsi="Times New Roman"/>
                <w:sz w:val="13"/>
                <w:szCs w:val="13"/>
                <w:b w:val="1"/>
                <w:bCs w:val="1"/>
                <w:color w:val="auto"/>
                <w:w w:val="91"/>
              </w:rPr>
              <w:t>—</w:t>
            </w:r>
          </w:p>
        </w:tc>
        <w:tc>
          <w:tcPr>
            <w:tcW w:w="0" w:type="dxa"/>
            <w:vAlign w:val="bottom"/>
          </w:tcPr>
          <w:p>
            <w:pPr>
              <w:spacing w:after="0"/>
              <w:rPr>
                <w:sz w:val="1"/>
                <w:szCs w:val="1"/>
                <w:color w:val="auto"/>
              </w:rPr>
            </w:pPr>
          </w:p>
        </w:tc>
      </w:tr>
      <w:tr>
        <w:trPr>
          <w:trHeight w:val="20"/>
        </w:trPr>
        <w:tc>
          <w:tcPr>
            <w:tcW w:w="400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48" w:lineRule="exact"/>
        <w:rPr>
          <w:sz w:val="20"/>
          <w:szCs w:val="20"/>
          <w:color w:val="auto"/>
        </w:rPr>
      </w:pPr>
    </w:p>
    <w:p>
      <w:pPr>
        <w:ind w:left="640" w:right="779"/>
        <w:spacing w:after="0" w:line="251" w:lineRule="auto"/>
        <w:rPr>
          <w:sz w:val="20"/>
          <w:szCs w:val="20"/>
          <w:color w:val="auto"/>
        </w:rPr>
      </w:pPr>
      <w:r>
        <w:rPr>
          <w:rFonts w:ascii="Times New Roman" w:cs="Times New Roman" w:eastAsia="Times New Roman" w:hAnsi="Times New Roman"/>
          <w:sz w:val="13"/>
          <w:szCs w:val="13"/>
          <w:color w:val="auto"/>
        </w:rPr>
        <w:t>During the nine months ended September 30, 2022, Polestar made a $2,480 investment in the fast charging innovator, StoreDot. This investment is presented in Other investments in the Unaudited Condensed Consolidated Statement of Financial Position and is valued at $2,185 as of September 30, 2022. Refer to Note 1 - Significant accounting policies and judgements and Note 9 - Reverse recapitalization for more detail on the financial liabilities related to the Class C-2 Shares and the Former Parent’s earn-out rights.</w:t>
      </w:r>
    </w:p>
    <w:p>
      <w:pPr>
        <w:spacing w:after="0" w:line="207"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Note 11 - Share-based payments</w:t>
      </w:r>
    </w:p>
    <w:p>
      <w:pPr>
        <w:spacing w:after="0" w:line="80" w:lineRule="exact"/>
        <w:rPr>
          <w:sz w:val="20"/>
          <w:szCs w:val="20"/>
          <w:color w:val="auto"/>
        </w:rPr>
      </w:pPr>
    </w:p>
    <w:p>
      <w:pPr>
        <w:ind w:left="640" w:right="699"/>
        <w:spacing w:after="0" w:line="309" w:lineRule="auto"/>
        <w:rPr>
          <w:sz w:val="20"/>
          <w:szCs w:val="20"/>
          <w:color w:val="auto"/>
        </w:rPr>
      </w:pPr>
      <w:r>
        <w:rPr>
          <w:rFonts w:ascii="Times New Roman" w:cs="Times New Roman" w:eastAsia="Times New Roman" w:hAnsi="Times New Roman"/>
          <w:sz w:val="12"/>
          <w:szCs w:val="12"/>
          <w:color w:val="auto"/>
        </w:rPr>
        <w:t>As noted in Note 1 - Significant accounting policies and judgements, Polestar granted shares to employees under the Omnibus Plans as part of the Group’s employee compensation. Under the Omnibus Plan, there are three kinds of programs: At-listing Plan, Post-listing Plan, and the Free Share Plan</w:t>
      </w:r>
    </w:p>
    <w:p>
      <w:pPr>
        <w:spacing w:after="0" w:line="100"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The following table illustrates share activity as of September 30, 2022:</w:t>
      </w:r>
    </w:p>
    <w:p>
      <w:pPr>
        <w:spacing w:after="0" w:line="158" w:lineRule="exact"/>
        <w:rPr>
          <w:sz w:val="20"/>
          <w:szCs w:val="20"/>
          <w:color w:val="auto"/>
        </w:rPr>
      </w:pPr>
    </w:p>
    <w:tbl>
      <w:tblPr>
        <w:tblLayout w:type="fixed"/>
        <w:tblInd w:w="960" w:type="dxa"/>
        <w:tblCellMar>
          <w:top w:w="0" w:type="dxa"/>
          <w:left w:w="0" w:type="dxa"/>
          <w:bottom w:w="0" w:type="dxa"/>
          <w:right w:w="0" w:type="dxa"/>
        </w:tblCellMar>
      </w:tblPr>
      <w:tr>
        <w:trPr>
          <w:trHeight w:val="115"/>
        </w:trPr>
        <w:tc>
          <w:tcPr>
            <w:tcW w:w="3260" w:type="dxa"/>
            <w:vAlign w:val="bottom"/>
          </w:tcPr>
          <w:p>
            <w:pPr>
              <w:spacing w:after="0"/>
              <w:rPr>
                <w:sz w:val="10"/>
                <w:szCs w:val="10"/>
                <w:color w:val="auto"/>
              </w:rPr>
            </w:pPr>
          </w:p>
        </w:tc>
        <w:tc>
          <w:tcPr>
            <w:tcW w:w="1100" w:type="dxa"/>
            <w:vAlign w:val="bottom"/>
            <w:gridSpan w:val="2"/>
            <w:vMerge w:val="restart"/>
          </w:tcPr>
          <w:p>
            <w:pPr>
              <w:jc w:val="right"/>
              <w:ind w:right="380"/>
              <w:spacing w:after="0"/>
              <w:rPr>
                <w:sz w:val="20"/>
                <w:szCs w:val="20"/>
                <w:color w:val="auto"/>
              </w:rPr>
            </w:pPr>
            <w:r>
              <w:rPr>
                <w:rFonts w:ascii="Times New Roman" w:cs="Times New Roman" w:eastAsia="Times New Roman" w:hAnsi="Times New Roman"/>
                <w:sz w:val="10"/>
                <w:szCs w:val="10"/>
                <w:b w:val="1"/>
                <w:bCs w:val="1"/>
                <w:color w:val="auto"/>
                <w:w w:val="97"/>
              </w:rPr>
              <w:t>Number of PSUs</w:t>
            </w:r>
          </w:p>
        </w:tc>
        <w:tc>
          <w:tcPr>
            <w:tcW w:w="1120" w:type="dxa"/>
            <w:vAlign w:val="bottom"/>
            <w:gridSpan w:val="2"/>
            <w:vMerge w:val="restart"/>
          </w:tcPr>
          <w:p>
            <w:pPr>
              <w:jc w:val="right"/>
              <w:ind w:right="380"/>
              <w:spacing w:after="0"/>
              <w:rPr>
                <w:sz w:val="20"/>
                <w:szCs w:val="20"/>
                <w:color w:val="auto"/>
              </w:rPr>
            </w:pPr>
            <w:r>
              <w:rPr>
                <w:rFonts w:ascii="Times New Roman" w:cs="Times New Roman" w:eastAsia="Times New Roman" w:hAnsi="Times New Roman"/>
                <w:sz w:val="10"/>
                <w:szCs w:val="10"/>
                <w:b w:val="1"/>
                <w:bCs w:val="1"/>
                <w:color w:val="auto"/>
                <w:w w:val="98"/>
              </w:rPr>
              <w:t>Number of RSUs</w:t>
            </w:r>
          </w:p>
        </w:tc>
        <w:tc>
          <w:tcPr>
            <w:tcW w:w="660" w:type="dxa"/>
            <w:vAlign w:val="bottom"/>
          </w:tcPr>
          <w:p>
            <w:pPr>
              <w:jc w:val="right"/>
              <w:spacing w:after="0"/>
              <w:rPr>
                <w:sz w:val="20"/>
                <w:szCs w:val="20"/>
                <w:color w:val="auto"/>
              </w:rPr>
            </w:pPr>
            <w:r>
              <w:rPr>
                <w:rFonts w:ascii="Times New Roman" w:cs="Times New Roman" w:eastAsia="Times New Roman" w:hAnsi="Times New Roman"/>
                <w:sz w:val="10"/>
                <w:szCs w:val="10"/>
                <w:b w:val="1"/>
                <w:bCs w:val="1"/>
                <w:color w:val="auto"/>
                <w:w w:val="97"/>
              </w:rPr>
              <w:t>Number of free</w:t>
            </w:r>
          </w:p>
        </w:tc>
        <w:tc>
          <w:tcPr>
            <w:tcW w:w="380" w:type="dxa"/>
            <w:vAlign w:val="bottom"/>
          </w:tcPr>
          <w:p>
            <w:pPr>
              <w:spacing w:after="0"/>
              <w:rPr>
                <w:sz w:val="10"/>
                <w:szCs w:val="10"/>
                <w:color w:val="auto"/>
              </w:rPr>
            </w:pPr>
          </w:p>
        </w:tc>
        <w:tc>
          <w:tcPr>
            <w:tcW w:w="580" w:type="dxa"/>
            <w:vAlign w:val="bottom"/>
            <w:gridSpan w:val="2"/>
            <w:vMerge w:val="restart"/>
          </w:tcPr>
          <w:p>
            <w:pPr>
              <w:ind w:left="160"/>
              <w:spacing w:after="0"/>
              <w:rPr>
                <w:sz w:val="20"/>
                <w:szCs w:val="20"/>
                <w:color w:val="auto"/>
              </w:rPr>
            </w:pPr>
            <w:r>
              <w:rPr>
                <w:rFonts w:ascii="Times New Roman" w:cs="Times New Roman" w:eastAsia="Times New Roman" w:hAnsi="Times New Roman"/>
                <w:sz w:val="10"/>
                <w:szCs w:val="10"/>
                <w:b w:val="1"/>
                <w:bCs w:val="1"/>
                <w:color w:val="auto"/>
              </w:rPr>
              <w:t>Total</w:t>
            </w:r>
          </w:p>
        </w:tc>
        <w:tc>
          <w:tcPr>
            <w:tcW w:w="0" w:type="dxa"/>
            <w:vAlign w:val="bottom"/>
          </w:tcPr>
          <w:p>
            <w:pPr>
              <w:spacing w:after="0"/>
              <w:rPr>
                <w:sz w:val="1"/>
                <w:szCs w:val="1"/>
                <w:color w:val="auto"/>
              </w:rPr>
            </w:pPr>
          </w:p>
        </w:tc>
      </w:tr>
      <w:tr>
        <w:trPr>
          <w:trHeight w:val="121"/>
        </w:trPr>
        <w:tc>
          <w:tcPr>
            <w:tcW w:w="3260" w:type="dxa"/>
            <w:vAlign w:val="bottom"/>
          </w:tcPr>
          <w:p>
            <w:pPr>
              <w:spacing w:after="0"/>
              <w:rPr>
                <w:sz w:val="10"/>
                <w:szCs w:val="10"/>
                <w:color w:val="auto"/>
              </w:rPr>
            </w:pPr>
          </w:p>
        </w:tc>
        <w:tc>
          <w:tcPr>
            <w:tcW w:w="1100" w:type="dxa"/>
            <w:vAlign w:val="bottom"/>
            <w:gridSpan w:val="2"/>
            <w:vMerge w:val="continue"/>
          </w:tcPr>
          <w:p>
            <w:pPr>
              <w:spacing w:after="0"/>
              <w:rPr>
                <w:sz w:val="10"/>
                <w:szCs w:val="10"/>
                <w:color w:val="auto"/>
              </w:rPr>
            </w:pPr>
          </w:p>
        </w:tc>
        <w:tc>
          <w:tcPr>
            <w:tcW w:w="1120" w:type="dxa"/>
            <w:vAlign w:val="bottom"/>
            <w:gridSpan w:val="2"/>
            <w:vMerge w:val="continue"/>
          </w:tcPr>
          <w:p>
            <w:pPr>
              <w:spacing w:after="0"/>
              <w:rPr>
                <w:sz w:val="10"/>
                <w:szCs w:val="10"/>
                <w:color w:val="auto"/>
              </w:rPr>
            </w:pPr>
          </w:p>
        </w:tc>
        <w:tc>
          <w:tcPr>
            <w:tcW w:w="660" w:type="dxa"/>
            <w:vAlign w:val="bottom"/>
          </w:tcPr>
          <w:p>
            <w:pPr>
              <w:jc w:val="right"/>
              <w:ind w:right="140"/>
              <w:spacing w:after="0"/>
              <w:rPr>
                <w:sz w:val="20"/>
                <w:szCs w:val="20"/>
                <w:color w:val="auto"/>
              </w:rPr>
            </w:pPr>
            <w:r>
              <w:rPr>
                <w:rFonts w:ascii="Times New Roman" w:cs="Times New Roman" w:eastAsia="Times New Roman" w:hAnsi="Times New Roman"/>
                <w:sz w:val="10"/>
                <w:szCs w:val="10"/>
                <w:b w:val="1"/>
                <w:bCs w:val="1"/>
                <w:color w:val="auto"/>
              </w:rPr>
              <w:t>shares</w:t>
            </w:r>
          </w:p>
        </w:tc>
        <w:tc>
          <w:tcPr>
            <w:tcW w:w="380" w:type="dxa"/>
            <w:vAlign w:val="bottom"/>
          </w:tcPr>
          <w:p>
            <w:pPr>
              <w:spacing w:after="0"/>
              <w:rPr>
                <w:sz w:val="10"/>
                <w:szCs w:val="10"/>
                <w:color w:val="auto"/>
              </w:rPr>
            </w:pPr>
          </w:p>
        </w:tc>
        <w:tc>
          <w:tcPr>
            <w:tcW w:w="580" w:type="dxa"/>
            <w:vAlign w:val="bottom"/>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2"/>
        </w:trPr>
        <w:tc>
          <w:tcPr>
            <w:tcW w:w="326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Outstanding as of January 1, 2022</w:t>
            </w:r>
          </w:p>
        </w:tc>
        <w:tc>
          <w:tcPr>
            <w:tcW w:w="1100" w:type="dxa"/>
            <w:vAlign w:val="bottom"/>
            <w:gridSpan w:val="2"/>
            <w:shd w:val="clear" w:color="auto" w:fill="CCEEFF"/>
          </w:tcPr>
          <w:p>
            <w:pPr>
              <w:jc w:val="right"/>
              <w:ind w:right="440"/>
              <w:spacing w:after="0"/>
              <w:rPr>
                <w:sz w:val="20"/>
                <w:szCs w:val="20"/>
                <w:color w:val="auto"/>
              </w:rPr>
            </w:pPr>
            <w:r>
              <w:rPr>
                <w:rFonts w:ascii="Times New Roman" w:cs="Times New Roman" w:eastAsia="Times New Roman" w:hAnsi="Times New Roman"/>
                <w:sz w:val="13"/>
                <w:szCs w:val="13"/>
                <w:color w:val="auto"/>
              </w:rPr>
              <w:t>—</w:t>
            </w:r>
          </w:p>
        </w:tc>
        <w:tc>
          <w:tcPr>
            <w:tcW w:w="1120" w:type="dxa"/>
            <w:vAlign w:val="bottom"/>
            <w:gridSpan w:val="2"/>
            <w:shd w:val="clear" w:color="auto" w:fill="CCEEFF"/>
          </w:tcPr>
          <w:p>
            <w:pPr>
              <w:ind w:left="540"/>
              <w:spacing w:after="0"/>
              <w:rPr>
                <w:sz w:val="20"/>
                <w:szCs w:val="20"/>
                <w:color w:val="auto"/>
              </w:rPr>
            </w:pPr>
            <w:r>
              <w:rPr>
                <w:rFonts w:ascii="Times New Roman" w:cs="Times New Roman" w:eastAsia="Times New Roman" w:hAnsi="Times New Roman"/>
                <w:sz w:val="13"/>
                <w:szCs w:val="13"/>
                <w:color w:val="auto"/>
              </w:rPr>
              <w:t>—</w:t>
            </w:r>
          </w:p>
        </w:tc>
        <w:tc>
          <w:tcPr>
            <w:tcW w:w="6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380" w:type="dxa"/>
            <w:vAlign w:val="bottom"/>
            <w:shd w:val="clear" w:color="auto" w:fill="CCEEFF"/>
          </w:tcPr>
          <w:p>
            <w:pPr>
              <w:spacing w:after="0"/>
              <w:rPr>
                <w:sz w:val="13"/>
                <w:szCs w:val="13"/>
                <w:color w:val="auto"/>
              </w:rPr>
            </w:pPr>
          </w:p>
        </w:tc>
        <w:tc>
          <w:tcPr>
            <w:tcW w:w="580" w:type="dxa"/>
            <w:vAlign w:val="bottom"/>
            <w:gridSpan w:val="2"/>
            <w:shd w:val="clear" w:color="auto" w:fill="CCEEFF"/>
          </w:tcPr>
          <w:p>
            <w:pPr>
              <w:ind w:left="360"/>
              <w:spacing w:after="0"/>
              <w:rPr>
                <w:sz w:val="20"/>
                <w:szCs w:val="20"/>
                <w:color w:val="auto"/>
              </w:rPr>
            </w:pPr>
            <w:r>
              <w:rPr>
                <w:rFonts w:ascii="Times New Roman" w:cs="Times New Roman" w:eastAsia="Times New Roman" w:hAnsi="Times New Roman"/>
                <w:sz w:val="13"/>
                <w:szCs w:val="13"/>
                <w:color w:val="auto"/>
              </w:rPr>
              <w:t>—</w:t>
            </w:r>
          </w:p>
        </w:tc>
        <w:tc>
          <w:tcPr>
            <w:tcW w:w="0" w:type="dxa"/>
            <w:vAlign w:val="bottom"/>
          </w:tcPr>
          <w:p>
            <w:pPr>
              <w:spacing w:after="0"/>
              <w:rPr>
                <w:sz w:val="1"/>
                <w:szCs w:val="1"/>
                <w:color w:val="auto"/>
              </w:rPr>
            </w:pPr>
          </w:p>
        </w:tc>
      </w:tr>
      <w:tr>
        <w:trPr>
          <w:trHeight w:val="152"/>
        </w:trPr>
        <w:tc>
          <w:tcPr>
            <w:tcW w:w="3260" w:type="dxa"/>
            <w:vAlign w:val="bottom"/>
          </w:tcPr>
          <w:p>
            <w:pPr>
              <w:spacing w:after="0"/>
              <w:rPr>
                <w:sz w:val="20"/>
                <w:szCs w:val="20"/>
                <w:color w:val="auto"/>
              </w:rPr>
            </w:pPr>
            <w:r>
              <w:rPr>
                <w:rFonts w:ascii="Times New Roman" w:cs="Times New Roman" w:eastAsia="Times New Roman" w:hAnsi="Times New Roman"/>
                <w:sz w:val="13"/>
                <w:szCs w:val="13"/>
                <w:color w:val="auto"/>
              </w:rPr>
              <w:t>Granted</w:t>
            </w:r>
          </w:p>
        </w:tc>
        <w:tc>
          <w:tcPr>
            <w:tcW w:w="1100" w:type="dxa"/>
            <w:vAlign w:val="bottom"/>
            <w:gridSpan w:val="2"/>
          </w:tcPr>
          <w:p>
            <w:pPr>
              <w:jc w:val="right"/>
              <w:ind w:right="380"/>
              <w:spacing w:after="0"/>
              <w:rPr>
                <w:sz w:val="20"/>
                <w:szCs w:val="20"/>
                <w:color w:val="auto"/>
              </w:rPr>
            </w:pPr>
            <w:r>
              <w:rPr>
                <w:rFonts w:ascii="Times New Roman" w:cs="Times New Roman" w:eastAsia="Times New Roman" w:hAnsi="Times New Roman"/>
                <w:sz w:val="13"/>
                <w:szCs w:val="13"/>
                <w:color w:val="auto"/>
              </w:rPr>
              <w:t>858,821</w:t>
            </w:r>
          </w:p>
        </w:tc>
        <w:tc>
          <w:tcPr>
            <w:tcW w:w="1120" w:type="dxa"/>
            <w:vAlign w:val="bottom"/>
            <w:gridSpan w:val="2"/>
          </w:tcPr>
          <w:p>
            <w:pPr>
              <w:jc w:val="right"/>
              <w:ind w:right="380"/>
              <w:spacing w:after="0"/>
              <w:rPr>
                <w:sz w:val="20"/>
                <w:szCs w:val="20"/>
                <w:color w:val="auto"/>
              </w:rPr>
            </w:pPr>
            <w:r>
              <w:rPr>
                <w:rFonts w:ascii="Times New Roman" w:cs="Times New Roman" w:eastAsia="Times New Roman" w:hAnsi="Times New Roman"/>
                <w:sz w:val="13"/>
                <w:szCs w:val="13"/>
                <w:color w:val="auto"/>
              </w:rPr>
              <w:t>629,303</w:t>
            </w:r>
          </w:p>
        </w:tc>
        <w:tc>
          <w:tcPr>
            <w:tcW w:w="66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334,990</w:t>
            </w:r>
          </w:p>
        </w:tc>
        <w:tc>
          <w:tcPr>
            <w:tcW w:w="960" w:type="dxa"/>
            <w:vAlign w:val="bottom"/>
            <w:gridSpan w:val="3"/>
          </w:tcPr>
          <w:p>
            <w:pPr>
              <w:jc w:val="right"/>
              <w:ind w:right="40"/>
              <w:spacing w:after="0"/>
              <w:rPr>
                <w:sz w:val="20"/>
                <w:szCs w:val="20"/>
                <w:color w:val="auto"/>
              </w:rPr>
            </w:pPr>
            <w:r>
              <w:rPr>
                <w:rFonts w:ascii="Times New Roman" w:cs="Times New Roman" w:eastAsia="Times New Roman" w:hAnsi="Times New Roman"/>
                <w:sz w:val="13"/>
                <w:szCs w:val="13"/>
                <w:color w:val="auto"/>
              </w:rPr>
              <w:t>1,823,114</w:t>
            </w:r>
          </w:p>
        </w:tc>
        <w:tc>
          <w:tcPr>
            <w:tcW w:w="0" w:type="dxa"/>
            <w:vAlign w:val="bottom"/>
          </w:tcPr>
          <w:p>
            <w:pPr>
              <w:spacing w:after="0"/>
              <w:rPr>
                <w:sz w:val="1"/>
                <w:szCs w:val="1"/>
                <w:color w:val="auto"/>
              </w:rPr>
            </w:pPr>
          </w:p>
        </w:tc>
      </w:tr>
      <w:tr>
        <w:trPr>
          <w:trHeight w:val="152"/>
        </w:trPr>
        <w:tc>
          <w:tcPr>
            <w:tcW w:w="326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color w:val="auto"/>
              </w:rPr>
              <w:t>Vested</w:t>
            </w:r>
          </w:p>
        </w:tc>
        <w:tc>
          <w:tcPr>
            <w:tcW w:w="1100" w:type="dxa"/>
            <w:vAlign w:val="bottom"/>
            <w:gridSpan w:val="2"/>
            <w:shd w:val="clear" w:color="auto" w:fill="CCEEFF"/>
          </w:tcPr>
          <w:p>
            <w:pPr>
              <w:jc w:val="right"/>
              <w:ind w:right="440"/>
              <w:spacing w:after="0"/>
              <w:rPr>
                <w:sz w:val="20"/>
                <w:szCs w:val="20"/>
                <w:color w:val="auto"/>
              </w:rPr>
            </w:pPr>
            <w:r>
              <w:rPr>
                <w:rFonts w:ascii="Times New Roman" w:cs="Times New Roman" w:eastAsia="Times New Roman" w:hAnsi="Times New Roman"/>
                <w:sz w:val="13"/>
                <w:szCs w:val="13"/>
                <w:color w:val="auto"/>
              </w:rPr>
              <w:t>—</w:t>
            </w:r>
          </w:p>
        </w:tc>
        <w:tc>
          <w:tcPr>
            <w:tcW w:w="1120" w:type="dxa"/>
            <w:vAlign w:val="bottom"/>
            <w:gridSpan w:val="2"/>
            <w:shd w:val="clear" w:color="auto" w:fill="CCEEFF"/>
          </w:tcPr>
          <w:p>
            <w:pPr>
              <w:ind w:left="540"/>
              <w:spacing w:after="0"/>
              <w:rPr>
                <w:sz w:val="20"/>
                <w:szCs w:val="20"/>
                <w:color w:val="auto"/>
              </w:rPr>
            </w:pPr>
            <w:r>
              <w:rPr>
                <w:rFonts w:ascii="Times New Roman" w:cs="Times New Roman" w:eastAsia="Times New Roman" w:hAnsi="Times New Roman"/>
                <w:sz w:val="13"/>
                <w:szCs w:val="13"/>
                <w:color w:val="auto"/>
              </w:rPr>
              <w:t>—</w:t>
            </w:r>
          </w:p>
        </w:tc>
        <w:tc>
          <w:tcPr>
            <w:tcW w:w="6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380" w:type="dxa"/>
            <w:vAlign w:val="bottom"/>
            <w:shd w:val="clear" w:color="auto" w:fill="CCEEFF"/>
          </w:tcPr>
          <w:p>
            <w:pPr>
              <w:spacing w:after="0"/>
              <w:rPr>
                <w:sz w:val="13"/>
                <w:szCs w:val="13"/>
                <w:color w:val="auto"/>
              </w:rPr>
            </w:pPr>
          </w:p>
        </w:tc>
        <w:tc>
          <w:tcPr>
            <w:tcW w:w="580" w:type="dxa"/>
            <w:vAlign w:val="bottom"/>
            <w:gridSpan w:val="2"/>
            <w:shd w:val="clear" w:color="auto" w:fill="CCEEFF"/>
          </w:tcPr>
          <w:p>
            <w:pPr>
              <w:ind w:left="360"/>
              <w:spacing w:after="0"/>
              <w:rPr>
                <w:sz w:val="20"/>
                <w:szCs w:val="20"/>
                <w:color w:val="auto"/>
              </w:rPr>
            </w:pPr>
            <w:r>
              <w:rPr>
                <w:rFonts w:ascii="Times New Roman" w:cs="Times New Roman" w:eastAsia="Times New Roman" w:hAnsi="Times New Roman"/>
                <w:sz w:val="13"/>
                <w:szCs w:val="13"/>
                <w:color w:val="auto"/>
              </w:rPr>
              <w:t>—</w:t>
            </w:r>
          </w:p>
        </w:tc>
        <w:tc>
          <w:tcPr>
            <w:tcW w:w="0" w:type="dxa"/>
            <w:vAlign w:val="bottom"/>
          </w:tcPr>
          <w:p>
            <w:pPr>
              <w:spacing w:after="0"/>
              <w:rPr>
                <w:sz w:val="1"/>
                <w:szCs w:val="1"/>
                <w:color w:val="auto"/>
              </w:rPr>
            </w:pPr>
          </w:p>
        </w:tc>
      </w:tr>
      <w:tr>
        <w:trPr>
          <w:trHeight w:val="152"/>
        </w:trPr>
        <w:tc>
          <w:tcPr>
            <w:tcW w:w="3260" w:type="dxa"/>
            <w:vAlign w:val="bottom"/>
          </w:tcPr>
          <w:p>
            <w:pPr>
              <w:spacing w:after="0"/>
              <w:rPr>
                <w:sz w:val="20"/>
                <w:szCs w:val="20"/>
                <w:color w:val="auto"/>
              </w:rPr>
            </w:pPr>
            <w:r>
              <w:rPr>
                <w:rFonts w:ascii="Times New Roman" w:cs="Times New Roman" w:eastAsia="Times New Roman" w:hAnsi="Times New Roman"/>
                <w:sz w:val="13"/>
                <w:szCs w:val="13"/>
                <w:color w:val="auto"/>
              </w:rPr>
              <w:t>Cancelled</w:t>
            </w:r>
          </w:p>
        </w:tc>
        <w:tc>
          <w:tcPr>
            <w:tcW w:w="7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380" w:type="dxa"/>
            <w:vAlign w:val="bottom"/>
          </w:tcPr>
          <w:p>
            <w:pPr>
              <w:spacing w:after="0"/>
              <w:rPr>
                <w:sz w:val="13"/>
                <w:szCs w:val="13"/>
                <w:color w:val="auto"/>
              </w:rPr>
            </w:pPr>
          </w:p>
        </w:tc>
        <w:tc>
          <w:tcPr>
            <w:tcW w:w="740" w:type="dxa"/>
            <w:vAlign w:val="bottom"/>
            <w:tcBorders>
              <w:bottom w:val="single" w:sz="8" w:color="auto"/>
            </w:tcBorders>
          </w:tcPr>
          <w:p>
            <w:pPr>
              <w:ind w:left="540"/>
              <w:spacing w:after="0"/>
              <w:rPr>
                <w:sz w:val="20"/>
                <w:szCs w:val="20"/>
                <w:color w:val="auto"/>
              </w:rPr>
            </w:pPr>
            <w:r>
              <w:rPr>
                <w:rFonts w:ascii="Times New Roman" w:cs="Times New Roman" w:eastAsia="Times New Roman" w:hAnsi="Times New Roman"/>
                <w:sz w:val="13"/>
                <w:szCs w:val="13"/>
                <w:color w:val="auto"/>
              </w:rPr>
              <w:t>—</w:t>
            </w:r>
          </w:p>
        </w:tc>
        <w:tc>
          <w:tcPr>
            <w:tcW w:w="380" w:type="dxa"/>
            <w:vAlign w:val="bottom"/>
          </w:tcPr>
          <w:p>
            <w:pPr>
              <w:spacing w:after="0"/>
              <w:rPr>
                <w:sz w:val="13"/>
                <w:szCs w:val="13"/>
                <w:color w:val="auto"/>
              </w:rPr>
            </w:pPr>
          </w:p>
        </w:tc>
        <w:tc>
          <w:tcPr>
            <w:tcW w:w="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3"/>
                <w:szCs w:val="13"/>
                <w:color w:val="auto"/>
              </w:rPr>
              <w:t>—</w:t>
            </w:r>
          </w:p>
        </w:tc>
        <w:tc>
          <w:tcPr>
            <w:tcW w:w="380" w:type="dxa"/>
            <w:vAlign w:val="bottom"/>
          </w:tcPr>
          <w:p>
            <w:pPr>
              <w:spacing w:after="0"/>
              <w:rPr>
                <w:sz w:val="13"/>
                <w:szCs w:val="13"/>
                <w:color w:val="auto"/>
              </w:rPr>
            </w:pPr>
          </w:p>
        </w:tc>
        <w:tc>
          <w:tcPr>
            <w:tcW w:w="580" w:type="dxa"/>
            <w:vAlign w:val="bottom"/>
            <w:gridSpan w:val="2"/>
          </w:tcPr>
          <w:p>
            <w:pPr>
              <w:ind w:left="360"/>
              <w:spacing w:after="0"/>
              <w:rPr>
                <w:sz w:val="20"/>
                <w:szCs w:val="20"/>
                <w:color w:val="auto"/>
              </w:rPr>
            </w:pPr>
            <w:r>
              <w:rPr>
                <w:rFonts w:ascii="Times New Roman" w:cs="Times New Roman" w:eastAsia="Times New Roman" w:hAnsi="Times New Roman"/>
                <w:sz w:val="13"/>
                <w:szCs w:val="13"/>
                <w:color w:val="auto"/>
              </w:rPr>
              <w:t>—</w:t>
            </w:r>
          </w:p>
        </w:tc>
        <w:tc>
          <w:tcPr>
            <w:tcW w:w="0" w:type="dxa"/>
            <w:vAlign w:val="bottom"/>
          </w:tcPr>
          <w:p>
            <w:pPr>
              <w:spacing w:after="0"/>
              <w:rPr>
                <w:sz w:val="1"/>
                <w:szCs w:val="1"/>
                <w:color w:val="auto"/>
              </w:rPr>
            </w:pPr>
          </w:p>
        </w:tc>
      </w:tr>
      <w:tr>
        <w:trPr>
          <w:trHeight w:val="151"/>
        </w:trPr>
        <w:tc>
          <w:tcPr>
            <w:tcW w:w="326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Outstanding as of September 30, 2022</w:t>
            </w:r>
          </w:p>
        </w:tc>
        <w:tc>
          <w:tcPr>
            <w:tcW w:w="1100" w:type="dxa"/>
            <w:vAlign w:val="bottom"/>
            <w:gridSpan w:val="2"/>
            <w:shd w:val="clear" w:color="auto" w:fill="CCEEFF"/>
          </w:tcPr>
          <w:p>
            <w:pPr>
              <w:jc w:val="right"/>
              <w:ind w:right="380"/>
              <w:spacing w:after="0"/>
              <w:rPr>
                <w:sz w:val="20"/>
                <w:szCs w:val="20"/>
                <w:color w:val="auto"/>
              </w:rPr>
            </w:pPr>
            <w:r>
              <w:rPr>
                <w:rFonts w:ascii="Times New Roman" w:cs="Times New Roman" w:eastAsia="Times New Roman" w:hAnsi="Times New Roman"/>
                <w:sz w:val="13"/>
                <w:szCs w:val="13"/>
                <w:b w:val="1"/>
                <w:bCs w:val="1"/>
                <w:color w:val="auto"/>
              </w:rPr>
              <w:t>858,821</w:t>
            </w:r>
          </w:p>
        </w:tc>
        <w:tc>
          <w:tcPr>
            <w:tcW w:w="1120" w:type="dxa"/>
            <w:vAlign w:val="bottom"/>
            <w:gridSpan w:val="2"/>
            <w:shd w:val="clear" w:color="auto" w:fill="CCEEFF"/>
          </w:tcPr>
          <w:p>
            <w:pPr>
              <w:jc w:val="right"/>
              <w:ind w:right="380"/>
              <w:spacing w:after="0"/>
              <w:rPr>
                <w:sz w:val="20"/>
                <w:szCs w:val="20"/>
                <w:color w:val="auto"/>
              </w:rPr>
            </w:pPr>
            <w:r>
              <w:rPr>
                <w:rFonts w:ascii="Times New Roman" w:cs="Times New Roman" w:eastAsia="Times New Roman" w:hAnsi="Times New Roman"/>
                <w:sz w:val="13"/>
                <w:szCs w:val="13"/>
                <w:b w:val="1"/>
                <w:bCs w:val="1"/>
                <w:color w:val="auto"/>
              </w:rPr>
              <w:t>629,303</w:t>
            </w:r>
          </w:p>
        </w:tc>
        <w:tc>
          <w:tcPr>
            <w:tcW w:w="6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334,990</w:t>
            </w:r>
          </w:p>
        </w:tc>
        <w:tc>
          <w:tcPr>
            <w:tcW w:w="960" w:type="dxa"/>
            <w:vAlign w:val="bottom"/>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3"/>
                <w:szCs w:val="13"/>
                <w:b w:val="1"/>
                <w:bCs w:val="1"/>
                <w:color w:val="auto"/>
              </w:rPr>
              <w:t>1,823,114</w:t>
            </w:r>
          </w:p>
        </w:tc>
        <w:tc>
          <w:tcPr>
            <w:tcW w:w="0" w:type="dxa"/>
            <w:vAlign w:val="bottom"/>
          </w:tcPr>
          <w:p>
            <w:pPr>
              <w:spacing w:after="0"/>
              <w:rPr>
                <w:sz w:val="1"/>
                <w:szCs w:val="1"/>
                <w:color w:val="auto"/>
              </w:rPr>
            </w:pPr>
          </w:p>
        </w:tc>
      </w:tr>
      <w:tr>
        <w:trPr>
          <w:trHeight w:val="255"/>
        </w:trPr>
        <w:tc>
          <w:tcPr>
            <w:tcW w:w="3260" w:type="dxa"/>
            <w:vAlign w:val="bottom"/>
          </w:tcPr>
          <w:p>
            <w:pPr>
              <w:spacing w:after="0"/>
              <w:rPr>
                <w:sz w:val="22"/>
                <w:szCs w:val="22"/>
                <w:color w:val="auto"/>
              </w:rPr>
            </w:pPr>
          </w:p>
        </w:tc>
        <w:tc>
          <w:tcPr>
            <w:tcW w:w="720" w:type="dxa"/>
            <w:vAlign w:val="bottom"/>
            <w:tcBorders>
              <w:top w:val="single" w:sz="8" w:color="auto"/>
            </w:tcBorders>
          </w:tcPr>
          <w:p>
            <w:pPr>
              <w:jc w:val="right"/>
              <w:ind w:right="319"/>
              <w:spacing w:after="0"/>
              <w:rPr>
                <w:sz w:val="20"/>
                <w:szCs w:val="20"/>
                <w:color w:val="auto"/>
              </w:rPr>
            </w:pPr>
            <w:r>
              <w:rPr>
                <w:rFonts w:ascii="Times New Roman" w:cs="Times New Roman" w:eastAsia="Times New Roman" w:hAnsi="Times New Roman"/>
                <w:sz w:val="13"/>
                <w:szCs w:val="13"/>
                <w:color w:val="auto"/>
              </w:rPr>
              <w:t>38</w:t>
            </w:r>
          </w:p>
        </w:tc>
        <w:tc>
          <w:tcPr>
            <w:tcW w:w="380" w:type="dxa"/>
            <w:vAlign w:val="bottom"/>
          </w:tcPr>
          <w:p>
            <w:pPr>
              <w:spacing w:after="0"/>
              <w:rPr>
                <w:sz w:val="22"/>
                <w:szCs w:val="22"/>
                <w:color w:val="auto"/>
              </w:rPr>
            </w:pPr>
          </w:p>
        </w:tc>
        <w:tc>
          <w:tcPr>
            <w:tcW w:w="740" w:type="dxa"/>
            <w:vAlign w:val="bottom"/>
            <w:tcBorders>
              <w:top w:val="single" w:sz="8" w:color="auto"/>
            </w:tcBorders>
          </w:tcPr>
          <w:p>
            <w:pPr>
              <w:spacing w:after="0"/>
              <w:rPr>
                <w:sz w:val="22"/>
                <w:szCs w:val="22"/>
                <w:color w:val="auto"/>
              </w:rPr>
            </w:pPr>
          </w:p>
        </w:tc>
        <w:tc>
          <w:tcPr>
            <w:tcW w:w="380" w:type="dxa"/>
            <w:vAlign w:val="bottom"/>
          </w:tcPr>
          <w:p>
            <w:pPr>
              <w:spacing w:after="0"/>
              <w:rPr>
                <w:sz w:val="22"/>
                <w:szCs w:val="22"/>
                <w:color w:val="auto"/>
              </w:rPr>
            </w:pPr>
          </w:p>
        </w:tc>
        <w:tc>
          <w:tcPr>
            <w:tcW w:w="660" w:type="dxa"/>
            <w:vAlign w:val="bottom"/>
            <w:tcBorders>
              <w:top w:val="single" w:sz="8" w:color="auto"/>
            </w:tcBorders>
          </w:tcPr>
          <w:p>
            <w:pPr>
              <w:spacing w:after="0"/>
              <w:rPr>
                <w:sz w:val="22"/>
                <w:szCs w:val="22"/>
                <w:color w:val="auto"/>
              </w:rPr>
            </w:pPr>
          </w:p>
        </w:tc>
        <w:tc>
          <w:tcPr>
            <w:tcW w:w="380" w:type="dxa"/>
            <w:vAlign w:val="bottom"/>
          </w:tcPr>
          <w:p>
            <w:pPr>
              <w:spacing w:after="0"/>
              <w:rPr>
                <w:sz w:val="22"/>
                <w:szCs w:val="22"/>
                <w:color w:val="auto"/>
              </w:rPr>
            </w:pPr>
          </w:p>
        </w:tc>
        <w:tc>
          <w:tcPr>
            <w:tcW w:w="540" w:type="dxa"/>
            <w:vAlign w:val="bottom"/>
            <w:tcBorders>
              <w:top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31" w:right="1440" w:bottom="1440" w:gutter="0" w:footer="0" w:header="0"/>
        </w:sectPr>
      </w:pPr>
    </w:p>
    <w:bookmarkStart w:id="95" w:name="page96"/>
    <w:bookmarkEnd w:id="95"/>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1"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At-listing plan</w:t>
      </w:r>
    </w:p>
    <w:p>
      <w:pPr>
        <w:spacing w:after="0" w:line="80" w:lineRule="exact"/>
        <w:rPr>
          <w:sz w:val="20"/>
          <w:szCs w:val="20"/>
          <w:color w:val="auto"/>
        </w:rPr>
      </w:pPr>
    </w:p>
    <w:p>
      <w:pPr>
        <w:ind w:left="640" w:right="879"/>
        <w:spacing w:after="0" w:line="251" w:lineRule="auto"/>
        <w:rPr>
          <w:sz w:val="20"/>
          <w:szCs w:val="20"/>
          <w:color w:val="auto"/>
        </w:rPr>
      </w:pPr>
      <w:r>
        <w:rPr>
          <w:rFonts w:ascii="Times New Roman" w:cs="Times New Roman" w:eastAsia="Times New Roman" w:hAnsi="Times New Roman"/>
          <w:sz w:val="13"/>
          <w:szCs w:val="13"/>
          <w:color w:val="auto"/>
        </w:rPr>
        <w:t>All executives and other key management members are eligible to receive RSUs under this plan. RSUs were granted on September 9, 2022 with the vestment commencement date of June 24, 2022; 33% of the RSUs vested on October 3, 2022 and the remaining RSU’s will vest in two installments, with 33% of the awards vesting on June 24, 2023, and the remaining 34% of awards vesting on June 24, 2024. In order for the RSUs to vest, the employee must remain employed with Polestar at each vesting date.</w:t>
      </w:r>
    </w:p>
    <w:p>
      <w:pPr>
        <w:spacing w:after="0" w:line="133" w:lineRule="exact"/>
        <w:rPr>
          <w:sz w:val="20"/>
          <w:szCs w:val="20"/>
          <w:color w:val="auto"/>
        </w:rPr>
      </w:pPr>
    </w:p>
    <w:p>
      <w:pPr>
        <w:ind w:left="640" w:right="719"/>
        <w:spacing w:after="0" w:line="267" w:lineRule="auto"/>
        <w:rPr>
          <w:sz w:val="20"/>
          <w:szCs w:val="20"/>
          <w:color w:val="auto"/>
        </w:rPr>
      </w:pPr>
      <w:r>
        <w:rPr>
          <w:rFonts w:ascii="Times New Roman" w:cs="Times New Roman" w:eastAsia="Times New Roman" w:hAnsi="Times New Roman"/>
          <w:sz w:val="13"/>
          <w:szCs w:val="13"/>
          <w:color w:val="auto"/>
        </w:rPr>
        <w:t>The total number of RSUs granted was 517,220, with a fair value of $3,476 as of the grant date. There were no changes to the number of shares granted during the period due to leavers or any vesting/non-vesting conditions.</w:t>
      </w:r>
    </w:p>
    <w:p>
      <w:pPr>
        <w:spacing w:after="0" w:line="196"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Post-listing plan</w:t>
      </w:r>
    </w:p>
    <w:p>
      <w:pPr>
        <w:spacing w:after="0" w:line="80" w:lineRule="exact"/>
        <w:rPr>
          <w:sz w:val="20"/>
          <w:szCs w:val="20"/>
          <w:color w:val="auto"/>
        </w:rPr>
      </w:pPr>
    </w:p>
    <w:p>
      <w:pPr>
        <w:ind w:left="640" w:right="679"/>
        <w:spacing w:after="0" w:line="248" w:lineRule="auto"/>
        <w:rPr>
          <w:sz w:val="20"/>
          <w:szCs w:val="20"/>
          <w:color w:val="auto"/>
        </w:rPr>
      </w:pPr>
      <w:r>
        <w:rPr>
          <w:rFonts w:ascii="Times New Roman" w:cs="Times New Roman" w:eastAsia="Times New Roman" w:hAnsi="Times New Roman"/>
          <w:sz w:val="13"/>
          <w:szCs w:val="13"/>
          <w:color w:val="auto"/>
        </w:rPr>
        <w:t>Under this plan, the Chief Executive Officer (“CEO”), Chief Financial Officer (“CFO”), and Chief Operating Officer (“COO”), collectively referred to as the Executive Management Team is eligible to receive PSUs and other key management members are eligible to receive RSUs and PSUs. Awards were granted on September 9, 2022. The Post-listing plan has a three-year cliff vesting period, where the first vesting date is October 3, 2022 with a final vesting date of June 24, 2025. The vesting commencement date for the Post-listing plan is June 24, 2022. In order for the participants to receive the awards, they must remain employees at Polestar throughout the three year vesting period, and achieve certain market and non-market performance-based targets:</w:t>
      </w:r>
    </w:p>
    <w:p>
      <w:pPr>
        <w:spacing w:after="0" w:line="20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Market condition</w:t>
      </w:r>
    </w:p>
    <w:p>
      <w:pPr>
        <w:spacing w:after="0" w:line="80" w:lineRule="exact"/>
        <w:rPr>
          <w:sz w:val="20"/>
          <w:szCs w:val="20"/>
          <w:color w:val="auto"/>
        </w:rPr>
      </w:pPr>
    </w:p>
    <w:p>
      <w:pPr>
        <w:ind w:left="640" w:right="739" w:hanging="3"/>
        <w:spacing w:after="0" w:line="255" w:lineRule="auto"/>
        <w:tabs>
          <w:tab w:leader="none" w:pos="770" w:val="left"/>
        </w:tabs>
        <w:numPr>
          <w:ilvl w:val="0"/>
          <w:numId w:val="22"/>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25% Value Creation – The target is equal to positive relative market value development compared to a specified peer group. This is measured by Relative Total Shareholder Return (“rTSR”) which captures share price change (of a single share) and dividend reinvestment. Relative rTSR is a metric that will be externally measured.</w:t>
      </w:r>
    </w:p>
    <w:p>
      <w:pPr>
        <w:spacing w:after="0" w:line="20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i w:val="1"/>
          <w:iCs w:val="1"/>
          <w:color w:val="auto"/>
        </w:rPr>
        <w:t>Non-market conditions</w:t>
      </w:r>
    </w:p>
    <w:p>
      <w:pPr>
        <w:spacing w:after="0" w:line="80" w:lineRule="exact"/>
        <w:rPr>
          <w:sz w:val="20"/>
          <w:szCs w:val="20"/>
          <w:color w:val="auto"/>
        </w:rPr>
      </w:pPr>
    </w:p>
    <w:p>
      <w:pPr>
        <w:ind w:left="760" w:hanging="123"/>
        <w:spacing w:after="0"/>
        <w:tabs>
          <w:tab w:leader="none" w:pos="760" w:val="left"/>
        </w:tabs>
        <w:numPr>
          <w:ilvl w:val="0"/>
          <w:numId w:val="23"/>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25% Cash flow – The target is equal to unleveraged free cash flow forecast accumulated from 2022 – 2024.</w:t>
      </w:r>
    </w:p>
    <w:p>
      <w:pPr>
        <w:spacing w:after="0" w:line="153" w:lineRule="exact"/>
        <w:rPr>
          <w:rFonts w:ascii="Times New Roman" w:cs="Times New Roman" w:eastAsia="Times New Roman" w:hAnsi="Times New Roman"/>
          <w:sz w:val="13"/>
          <w:szCs w:val="13"/>
          <w:color w:val="auto"/>
        </w:rPr>
      </w:pPr>
    </w:p>
    <w:p>
      <w:pPr>
        <w:ind w:left="640" w:right="879" w:hanging="3"/>
        <w:spacing w:after="0" w:line="255" w:lineRule="auto"/>
        <w:tabs>
          <w:tab w:leader="none" w:pos="777" w:val="left"/>
        </w:tabs>
        <w:numPr>
          <w:ilvl w:val="0"/>
          <w:numId w:val="23"/>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20% ESG – The target is equal to Polestar’s total yearly greenhouse gas emissions divided by the number of cars sold for the applicable year. The greenhouse gas emissions are calculated every year according to Greenhouse gas protocol reporting standards. Polestar includes Scope 1, 2 and 3 emissions. The results and methodology are reported in the annual sustainability report.</w:t>
      </w:r>
    </w:p>
    <w:p>
      <w:pPr>
        <w:spacing w:after="0" w:line="130" w:lineRule="exact"/>
        <w:rPr>
          <w:rFonts w:ascii="Times New Roman" w:cs="Times New Roman" w:eastAsia="Times New Roman" w:hAnsi="Times New Roman"/>
          <w:sz w:val="13"/>
          <w:szCs w:val="13"/>
          <w:color w:val="auto"/>
        </w:rPr>
      </w:pPr>
    </w:p>
    <w:p>
      <w:pPr>
        <w:ind w:left="760" w:hanging="123"/>
        <w:spacing w:after="0"/>
        <w:tabs>
          <w:tab w:leader="none" w:pos="760" w:val="left"/>
        </w:tabs>
        <w:numPr>
          <w:ilvl w:val="0"/>
          <w:numId w:val="23"/>
        </w:numPr>
        <w:rPr>
          <w:rFonts w:ascii="Times New Roman" w:cs="Times New Roman" w:eastAsia="Times New Roman" w:hAnsi="Times New Roman"/>
          <w:sz w:val="13"/>
          <w:szCs w:val="13"/>
          <w:color w:val="auto"/>
        </w:rPr>
      </w:pPr>
      <w:r>
        <w:rPr>
          <w:rFonts w:ascii="Times New Roman" w:cs="Times New Roman" w:eastAsia="Times New Roman" w:hAnsi="Times New Roman"/>
          <w:sz w:val="13"/>
          <w:szCs w:val="13"/>
          <w:color w:val="auto"/>
        </w:rPr>
        <w:t>30% Operational milestones – The target is the fulfillment of operational milestones driving growth and stand-alone capabilities.</w:t>
      </w:r>
    </w:p>
    <w:p>
      <w:pPr>
        <w:spacing w:after="0" w:line="154" w:lineRule="exact"/>
        <w:rPr>
          <w:sz w:val="20"/>
          <w:szCs w:val="20"/>
          <w:color w:val="auto"/>
        </w:rPr>
      </w:pPr>
    </w:p>
    <w:p>
      <w:pPr>
        <w:ind w:left="640" w:right="839"/>
        <w:spacing w:after="0" w:line="255" w:lineRule="auto"/>
        <w:rPr>
          <w:sz w:val="20"/>
          <w:szCs w:val="20"/>
          <w:color w:val="auto"/>
        </w:rPr>
      </w:pPr>
      <w:r>
        <w:rPr>
          <w:rFonts w:ascii="Times New Roman" w:cs="Times New Roman" w:eastAsia="Times New Roman" w:hAnsi="Times New Roman"/>
          <w:sz w:val="13"/>
          <w:szCs w:val="13"/>
          <w:color w:val="auto"/>
        </w:rPr>
        <w:t>The total number of RSUs granted was 112,083, with a fair value of $753 as of the grant date. The total number of PSUs granted was 858,821, with a fair value of $6,031 as of the grant date. There were no changes to the number of shares granted during the period due to leavers or any vesting/non-vesting conditions.</w:t>
      </w:r>
    </w:p>
    <w:p>
      <w:pPr>
        <w:spacing w:after="0" w:line="8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39</w:t>
      </w:r>
    </w:p>
    <w:p>
      <w:pPr>
        <w:sectPr>
          <w:pgSz w:w="11900" w:h="16838" w:orient="portrait"/>
          <w:cols w:equalWidth="0" w:num="1">
            <w:col w:w="9019"/>
          </w:cols>
          <w:pgMar w:left="1440" w:top="231" w:right="1440" w:bottom="1440" w:gutter="0" w:footer="0" w:header="0"/>
        </w:sectPr>
      </w:pPr>
    </w:p>
    <w:bookmarkStart w:id="96" w:name="page97"/>
    <w:bookmarkEnd w:id="96"/>
    <w:p>
      <w:pPr>
        <w:jc w:val="center"/>
        <w:ind w:right="19"/>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1"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Free share plan</w:t>
      </w:r>
    </w:p>
    <w:p>
      <w:pPr>
        <w:spacing w:after="0" w:line="80" w:lineRule="exact"/>
        <w:rPr>
          <w:sz w:val="20"/>
          <w:szCs w:val="20"/>
          <w:color w:val="auto"/>
        </w:rPr>
      </w:pPr>
    </w:p>
    <w:p>
      <w:pPr>
        <w:ind w:left="640" w:right="719"/>
        <w:spacing w:after="0" w:line="255" w:lineRule="auto"/>
        <w:rPr>
          <w:sz w:val="20"/>
          <w:szCs w:val="20"/>
          <w:color w:val="auto"/>
        </w:rPr>
      </w:pPr>
      <w:r>
        <w:rPr>
          <w:rFonts w:ascii="Times New Roman" w:cs="Times New Roman" w:eastAsia="Times New Roman" w:hAnsi="Times New Roman"/>
          <w:sz w:val="13"/>
          <w:szCs w:val="13"/>
          <w:color w:val="auto"/>
        </w:rPr>
        <w:t>All permanent employees hired no later than December 31, 2021 who remained employed were granted free shares on September 30, 2022. The awards vested on October 3, 2022 and are subject to a one-year holding period. The total number of Free Shares granted was 334,990, with a fair value of $1,715 as of the grant date. The fair value was determined using the market value of the shares listed on the NASDAQ.</w:t>
      </w:r>
    </w:p>
    <w:p>
      <w:pPr>
        <w:spacing w:after="0" w:line="20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Marketing consulting services agreement</w:t>
      </w:r>
    </w:p>
    <w:p>
      <w:pPr>
        <w:spacing w:after="0" w:line="80" w:lineRule="exact"/>
        <w:rPr>
          <w:sz w:val="20"/>
          <w:szCs w:val="20"/>
          <w:color w:val="auto"/>
        </w:rPr>
      </w:pPr>
    </w:p>
    <w:p>
      <w:pPr>
        <w:ind w:left="640" w:right="819"/>
        <w:spacing w:after="0" w:line="251" w:lineRule="auto"/>
        <w:rPr>
          <w:sz w:val="20"/>
          <w:szCs w:val="20"/>
          <w:color w:val="auto"/>
        </w:rPr>
      </w:pPr>
      <w:r>
        <w:rPr>
          <w:rFonts w:ascii="Times New Roman" w:cs="Times New Roman" w:eastAsia="Times New Roman" w:hAnsi="Times New Roman"/>
          <w:sz w:val="13"/>
          <w:szCs w:val="13"/>
          <w:color w:val="auto"/>
        </w:rPr>
        <w:t>On March 24, 2022, Polestar granted an equity settled share-based payment in exchange for marketing services through November 1, 2023. Per the terms of the agreement, 250,000 shares vested on the date the Registration Statement became effective. The remaining 250,000 shares vest in eight, equal, quarterly installments with a final vesting date of November 1, 2023. For the period ended September 30, 2022, 343,750 Class A Shares with a fair value of $4,693 vested under the marketing consulting services agreement.</w:t>
      </w:r>
    </w:p>
    <w:p>
      <w:pPr>
        <w:spacing w:after="0" w:line="133"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color w:val="auto"/>
        </w:rPr>
        <w:t>Total share-based compensation expense for three and nine months ended September 30, 2022 and 2021 is as follows:</w:t>
      </w:r>
    </w:p>
    <w:p>
      <w:pPr>
        <w:spacing w:after="0" w:line="158" w:lineRule="exact"/>
        <w:rPr>
          <w:sz w:val="20"/>
          <w:szCs w:val="20"/>
          <w:color w:val="auto"/>
        </w:rPr>
      </w:pPr>
    </w:p>
    <w:tbl>
      <w:tblPr>
        <w:tblLayout w:type="fixed"/>
        <w:tblInd w:w="960" w:type="dxa"/>
        <w:tblCellMar>
          <w:top w:w="0" w:type="dxa"/>
          <w:left w:w="0" w:type="dxa"/>
          <w:bottom w:w="0" w:type="dxa"/>
          <w:right w:w="0" w:type="dxa"/>
        </w:tblCellMar>
      </w:tblPr>
      <w:tr>
        <w:trPr>
          <w:trHeight w:val="115"/>
        </w:trPr>
        <w:tc>
          <w:tcPr>
            <w:tcW w:w="4020" w:type="dxa"/>
            <w:vAlign w:val="bottom"/>
          </w:tcPr>
          <w:p>
            <w:pPr>
              <w:spacing w:after="0"/>
              <w:rPr>
                <w:sz w:val="10"/>
                <w:szCs w:val="10"/>
                <w:color w:val="auto"/>
              </w:rPr>
            </w:pPr>
          </w:p>
        </w:tc>
        <w:tc>
          <w:tcPr>
            <w:tcW w:w="1320" w:type="dxa"/>
            <w:vAlign w:val="bottom"/>
            <w:gridSpan w:val="4"/>
          </w:tcPr>
          <w:p>
            <w:pPr>
              <w:jc w:val="center"/>
              <w:ind w:left="23"/>
              <w:spacing w:after="0"/>
              <w:rPr>
                <w:sz w:val="20"/>
                <w:szCs w:val="20"/>
                <w:color w:val="auto"/>
              </w:rPr>
            </w:pPr>
            <w:r>
              <w:rPr>
                <w:rFonts w:ascii="Times New Roman" w:cs="Times New Roman" w:eastAsia="Times New Roman" w:hAnsi="Times New Roman"/>
                <w:sz w:val="10"/>
                <w:szCs w:val="10"/>
                <w:b w:val="1"/>
                <w:bCs w:val="1"/>
                <w:color w:val="auto"/>
              </w:rPr>
              <w:t>For the three months ended</w:t>
            </w:r>
          </w:p>
        </w:tc>
        <w:tc>
          <w:tcPr>
            <w:tcW w:w="6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380" w:type="dxa"/>
            <w:vAlign w:val="bottom"/>
            <w:gridSpan w:val="5"/>
          </w:tcPr>
          <w:p>
            <w:pPr>
              <w:jc w:val="center"/>
              <w:ind w:right="40"/>
              <w:spacing w:after="0"/>
              <w:rPr>
                <w:sz w:val="20"/>
                <w:szCs w:val="20"/>
                <w:color w:val="auto"/>
              </w:rPr>
            </w:pPr>
            <w:r>
              <w:rPr>
                <w:rFonts w:ascii="Times New Roman" w:cs="Times New Roman" w:eastAsia="Times New Roman" w:hAnsi="Times New Roman"/>
                <w:sz w:val="10"/>
                <w:szCs w:val="10"/>
                <w:b w:val="1"/>
                <w:bCs w:val="1"/>
                <w:color w:val="auto"/>
                <w:w w:val="99"/>
              </w:rPr>
              <w:t>For the nine months ended</w:t>
            </w:r>
          </w:p>
        </w:tc>
        <w:tc>
          <w:tcPr>
            <w:tcW w:w="0" w:type="dxa"/>
            <w:vAlign w:val="bottom"/>
          </w:tcPr>
          <w:p>
            <w:pPr>
              <w:spacing w:after="0"/>
              <w:rPr>
                <w:sz w:val="1"/>
                <w:szCs w:val="1"/>
                <w:color w:val="auto"/>
              </w:rPr>
            </w:pPr>
          </w:p>
        </w:tc>
      </w:tr>
      <w:tr>
        <w:trPr>
          <w:trHeight w:val="104"/>
        </w:trPr>
        <w:tc>
          <w:tcPr>
            <w:tcW w:w="4020" w:type="dxa"/>
            <w:vAlign w:val="bottom"/>
          </w:tcPr>
          <w:p>
            <w:pPr>
              <w:spacing w:after="0"/>
              <w:rPr>
                <w:sz w:val="9"/>
                <w:szCs w:val="9"/>
                <w:color w:val="auto"/>
              </w:rPr>
            </w:pPr>
          </w:p>
        </w:tc>
        <w:tc>
          <w:tcPr>
            <w:tcW w:w="1040" w:type="dxa"/>
            <w:vAlign w:val="bottom"/>
            <w:gridSpan w:val="3"/>
          </w:tcPr>
          <w:p>
            <w:pPr>
              <w:jc w:val="center"/>
              <w:ind w:left="283"/>
              <w:spacing w:after="0" w:line="104" w:lineRule="exact"/>
              <w:rPr>
                <w:sz w:val="20"/>
                <w:szCs w:val="20"/>
                <w:color w:val="auto"/>
              </w:rPr>
            </w:pPr>
            <w:r>
              <w:rPr>
                <w:rFonts w:ascii="Times New Roman" w:cs="Times New Roman" w:eastAsia="Times New Roman" w:hAnsi="Times New Roman"/>
                <w:sz w:val="10"/>
                <w:szCs w:val="10"/>
                <w:b w:val="1"/>
                <w:bCs w:val="1"/>
                <w:color w:val="auto"/>
              </w:rPr>
              <w:t>September 30,</w:t>
            </w:r>
          </w:p>
        </w:tc>
        <w:tc>
          <w:tcPr>
            <w:tcW w:w="280" w:type="dxa"/>
            <w:vAlign w:val="bottom"/>
            <w:vMerge w:val="restart"/>
          </w:tcPr>
          <w:p>
            <w:pPr>
              <w:jc w:val="right"/>
              <w:ind w:right="3"/>
              <w:spacing w:after="0"/>
              <w:rPr>
                <w:sz w:val="20"/>
                <w:szCs w:val="20"/>
                <w:color w:val="auto"/>
              </w:rPr>
            </w:pPr>
            <w:r>
              <w:rPr>
                <w:rFonts w:ascii="Times New Roman" w:cs="Times New Roman" w:eastAsia="Times New Roman" w:hAnsi="Times New Roman"/>
                <w:sz w:val="10"/>
                <w:szCs w:val="10"/>
                <w:b w:val="1"/>
                <w:bCs w:val="1"/>
                <w:color w:val="auto"/>
                <w:w w:val="99"/>
              </w:rPr>
              <w:t>2021</w:t>
            </w:r>
          </w:p>
        </w:tc>
        <w:tc>
          <w:tcPr>
            <w:tcW w:w="60" w:type="dxa"/>
            <w:vAlign w:val="bottom"/>
          </w:tcPr>
          <w:p>
            <w:pPr>
              <w:spacing w:after="0"/>
              <w:rPr>
                <w:sz w:val="9"/>
                <w:szCs w:val="9"/>
                <w:color w:val="auto"/>
              </w:rPr>
            </w:pPr>
          </w:p>
        </w:tc>
        <w:tc>
          <w:tcPr>
            <w:tcW w:w="320" w:type="dxa"/>
            <w:vAlign w:val="bottom"/>
          </w:tcPr>
          <w:p>
            <w:pPr>
              <w:spacing w:after="0"/>
              <w:rPr>
                <w:sz w:val="9"/>
                <w:szCs w:val="9"/>
                <w:color w:val="auto"/>
              </w:rPr>
            </w:pPr>
          </w:p>
        </w:tc>
        <w:tc>
          <w:tcPr>
            <w:tcW w:w="1000" w:type="dxa"/>
            <w:vAlign w:val="bottom"/>
            <w:gridSpan w:val="3"/>
          </w:tcPr>
          <w:p>
            <w:pPr>
              <w:jc w:val="center"/>
              <w:ind w:left="283"/>
              <w:spacing w:after="0" w:line="104" w:lineRule="exact"/>
              <w:rPr>
                <w:sz w:val="20"/>
                <w:szCs w:val="20"/>
                <w:color w:val="auto"/>
              </w:rPr>
            </w:pPr>
            <w:r>
              <w:rPr>
                <w:rFonts w:ascii="Times New Roman" w:cs="Times New Roman" w:eastAsia="Times New Roman" w:hAnsi="Times New Roman"/>
                <w:sz w:val="10"/>
                <w:szCs w:val="10"/>
                <w:b w:val="1"/>
                <w:bCs w:val="1"/>
                <w:color w:val="auto"/>
              </w:rPr>
              <w:t>September 30,</w:t>
            </w:r>
          </w:p>
        </w:tc>
        <w:tc>
          <w:tcPr>
            <w:tcW w:w="340" w:type="dxa"/>
            <w:vAlign w:val="bottom"/>
            <w:vMerge w:val="restart"/>
          </w:tcPr>
          <w:p>
            <w:pPr>
              <w:jc w:val="right"/>
              <w:ind w:right="40"/>
              <w:spacing w:after="0"/>
              <w:rPr>
                <w:sz w:val="20"/>
                <w:szCs w:val="20"/>
                <w:color w:val="auto"/>
              </w:rPr>
            </w:pPr>
            <w:r>
              <w:rPr>
                <w:rFonts w:ascii="Times New Roman" w:cs="Times New Roman" w:eastAsia="Times New Roman" w:hAnsi="Times New Roman"/>
                <w:sz w:val="10"/>
                <w:szCs w:val="10"/>
                <w:b w:val="1"/>
                <w:bCs w:val="1"/>
                <w:color w:val="auto"/>
              </w:rPr>
              <w:t>2021</w:t>
            </w: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1"/>
        </w:trPr>
        <w:tc>
          <w:tcPr>
            <w:tcW w:w="4020" w:type="dxa"/>
            <w:vAlign w:val="bottom"/>
            <w:tcBorders>
              <w:bottom w:val="single" w:sz="8" w:color="CCEEFF"/>
            </w:tcBorders>
          </w:tcPr>
          <w:p>
            <w:pPr>
              <w:spacing w:after="0"/>
              <w:rPr>
                <w:sz w:val="10"/>
                <w:szCs w:val="10"/>
                <w:color w:val="auto"/>
              </w:rPr>
            </w:pPr>
          </w:p>
        </w:tc>
        <w:tc>
          <w:tcPr>
            <w:tcW w:w="580" w:type="dxa"/>
            <w:vAlign w:val="bottom"/>
            <w:tcBorders>
              <w:bottom w:val="single" w:sz="8" w:color="auto"/>
            </w:tcBorders>
          </w:tcPr>
          <w:p>
            <w:pPr>
              <w:jc w:val="right"/>
              <w:ind w:right="123"/>
              <w:spacing w:after="0"/>
              <w:rPr>
                <w:sz w:val="20"/>
                <w:szCs w:val="20"/>
                <w:color w:val="auto"/>
              </w:rPr>
            </w:pPr>
            <w:r>
              <w:rPr>
                <w:rFonts w:ascii="Times New Roman" w:cs="Times New Roman" w:eastAsia="Times New Roman" w:hAnsi="Times New Roman"/>
                <w:sz w:val="10"/>
                <w:szCs w:val="10"/>
                <w:b w:val="1"/>
                <w:bCs w:val="1"/>
                <w:color w:val="auto"/>
              </w:rPr>
              <w:t>2022</w:t>
            </w:r>
          </w:p>
        </w:tc>
        <w:tc>
          <w:tcPr>
            <w:tcW w:w="380" w:type="dxa"/>
            <w:vAlign w:val="bottom"/>
            <w:tcBorders>
              <w:bottom w:val="single" w:sz="8" w:color="CCEEFF"/>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vMerge w:val="continue"/>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320" w:type="dxa"/>
            <w:vAlign w:val="bottom"/>
            <w:tcBorders>
              <w:bottom w:val="single" w:sz="8" w:color="CCEEFF"/>
            </w:tcBorders>
          </w:tcPr>
          <w:p>
            <w:pPr>
              <w:spacing w:after="0"/>
              <w:rPr>
                <w:sz w:val="10"/>
                <w:szCs w:val="10"/>
                <w:color w:val="auto"/>
              </w:rPr>
            </w:pPr>
          </w:p>
        </w:tc>
        <w:tc>
          <w:tcPr>
            <w:tcW w:w="580" w:type="dxa"/>
            <w:vAlign w:val="bottom"/>
            <w:tcBorders>
              <w:bottom w:val="single" w:sz="8" w:color="auto"/>
            </w:tcBorders>
          </w:tcPr>
          <w:p>
            <w:pPr>
              <w:jc w:val="right"/>
              <w:ind w:right="143"/>
              <w:spacing w:after="0"/>
              <w:rPr>
                <w:sz w:val="20"/>
                <w:szCs w:val="20"/>
                <w:color w:val="auto"/>
              </w:rPr>
            </w:pPr>
            <w:r>
              <w:rPr>
                <w:rFonts w:ascii="Times New Roman" w:cs="Times New Roman" w:eastAsia="Times New Roman" w:hAnsi="Times New Roman"/>
                <w:sz w:val="10"/>
                <w:szCs w:val="10"/>
                <w:b w:val="1"/>
                <w:bCs w:val="1"/>
                <w:color w:val="auto"/>
              </w:rPr>
              <w:t>2022</w:t>
            </w:r>
          </w:p>
        </w:tc>
        <w:tc>
          <w:tcPr>
            <w:tcW w:w="360" w:type="dxa"/>
            <w:vAlign w:val="bottom"/>
            <w:tcBorders>
              <w:bottom w:val="single" w:sz="8" w:color="CCEEFF"/>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vMerge w:val="continue"/>
          </w:tcPr>
          <w:p>
            <w:pPr>
              <w:spacing w:after="0"/>
              <w:rPr>
                <w:sz w:val="10"/>
                <w:szCs w:val="10"/>
                <w:color w:val="auto"/>
              </w:rPr>
            </w:pPr>
          </w:p>
        </w:tc>
        <w:tc>
          <w:tcPr>
            <w:tcW w:w="40" w:type="dxa"/>
            <w:vAlign w:val="bottom"/>
            <w:tcBorders>
              <w:bottom w:val="single" w:sz="8" w:color="CCEEFF"/>
            </w:tcBorders>
          </w:tcPr>
          <w:p>
            <w:pPr>
              <w:spacing w:after="0"/>
              <w:rPr>
                <w:sz w:val="10"/>
                <w:szCs w:val="10"/>
                <w:color w:val="auto"/>
              </w:rPr>
            </w:pPr>
          </w:p>
        </w:tc>
        <w:tc>
          <w:tcPr>
            <w:tcW w:w="0" w:type="dxa"/>
            <w:vAlign w:val="bottom"/>
          </w:tcPr>
          <w:p>
            <w:pPr>
              <w:spacing w:after="0"/>
              <w:rPr>
                <w:sz w:val="1"/>
                <w:szCs w:val="1"/>
                <w:color w:val="auto"/>
              </w:rPr>
            </w:pPr>
          </w:p>
        </w:tc>
      </w:tr>
      <w:tr>
        <w:trPr>
          <w:trHeight w:val="141"/>
        </w:trPr>
        <w:tc>
          <w:tcPr>
            <w:tcW w:w="4020" w:type="dxa"/>
            <w:vAlign w:val="bottom"/>
            <w:shd w:val="clear" w:color="auto" w:fill="CCEEFF"/>
          </w:tcPr>
          <w:p>
            <w:pPr>
              <w:spacing w:after="0" w:line="141" w:lineRule="exact"/>
              <w:rPr>
                <w:sz w:val="20"/>
                <w:szCs w:val="20"/>
                <w:color w:val="auto"/>
              </w:rPr>
            </w:pPr>
            <w:r>
              <w:rPr>
                <w:rFonts w:ascii="Times New Roman" w:cs="Times New Roman" w:eastAsia="Times New Roman" w:hAnsi="Times New Roman"/>
                <w:sz w:val="13"/>
                <w:szCs w:val="13"/>
                <w:color w:val="auto"/>
              </w:rPr>
              <w:t>Selling, general and administrative expense</w:t>
            </w:r>
          </w:p>
        </w:tc>
        <w:tc>
          <w:tcPr>
            <w:tcW w:w="5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2,434</w:t>
            </w: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1"/>
                <w:szCs w:val="11"/>
                <w:color w:val="auto"/>
                <w:w w:val="71"/>
              </w:rPr>
              <w:t>0</w:t>
            </w:r>
          </w:p>
        </w:tc>
        <w:tc>
          <w:tcPr>
            <w:tcW w:w="32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6,776</w:t>
            </w:r>
          </w:p>
        </w:tc>
        <w:tc>
          <w:tcPr>
            <w:tcW w:w="3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40" w:type="dxa"/>
            <w:vAlign w:val="bottom"/>
            <w:shd w:val="clear" w:color="auto" w:fill="CCEEFF"/>
          </w:tcPr>
          <w:p>
            <w:pPr>
              <w:jc w:val="right"/>
              <w:spacing w:after="0" w:line="141" w:lineRule="exact"/>
              <w:rPr>
                <w:sz w:val="20"/>
                <w:szCs w:val="20"/>
                <w:color w:val="auto"/>
              </w:rPr>
            </w:pPr>
            <w:r>
              <w:rPr>
                <w:rFonts w:ascii="Times New Roman" w:cs="Times New Roman" w:eastAsia="Times New Roman" w:hAnsi="Times New Roman"/>
                <w:sz w:val="13"/>
                <w:szCs w:val="13"/>
                <w:color w:val="auto"/>
              </w:rPr>
              <w:t>0</w:t>
            </w: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2"/>
        </w:trPr>
        <w:tc>
          <w:tcPr>
            <w:tcW w:w="4020" w:type="dxa"/>
            <w:vAlign w:val="bottom"/>
          </w:tcPr>
          <w:p>
            <w:pPr>
              <w:spacing w:after="0"/>
              <w:rPr>
                <w:sz w:val="20"/>
                <w:szCs w:val="20"/>
                <w:color w:val="auto"/>
              </w:rPr>
            </w:pPr>
            <w:r>
              <w:rPr>
                <w:rFonts w:ascii="Times New Roman" w:cs="Times New Roman" w:eastAsia="Times New Roman" w:hAnsi="Times New Roman"/>
                <w:sz w:val="13"/>
                <w:szCs w:val="13"/>
                <w:color w:val="auto"/>
              </w:rPr>
              <w:t>Research and development expense</w:t>
            </w:r>
          </w:p>
        </w:tc>
        <w:tc>
          <w:tcPr>
            <w:tcW w:w="580" w:type="dxa"/>
            <w:vAlign w:val="bottom"/>
          </w:tcPr>
          <w:p>
            <w:pPr>
              <w:jc w:val="right"/>
              <w:spacing w:after="0"/>
              <w:rPr>
                <w:sz w:val="20"/>
                <w:szCs w:val="20"/>
                <w:color w:val="auto"/>
              </w:rPr>
            </w:pPr>
            <w:r>
              <w:rPr>
                <w:rFonts w:ascii="Times New Roman" w:cs="Times New Roman" w:eastAsia="Times New Roman" w:hAnsi="Times New Roman"/>
                <w:sz w:val="13"/>
                <w:szCs w:val="13"/>
                <w:color w:val="auto"/>
              </w:rPr>
              <w:t>122</w:t>
            </w:r>
          </w:p>
        </w:tc>
        <w:tc>
          <w:tcPr>
            <w:tcW w:w="3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380" w:type="dxa"/>
            <w:vAlign w:val="bottom"/>
            <w:gridSpan w:val="2"/>
          </w:tcPr>
          <w:p>
            <w:pPr>
              <w:jc w:val="right"/>
              <w:ind w:right="320"/>
              <w:spacing w:after="0"/>
              <w:rPr>
                <w:sz w:val="20"/>
                <w:szCs w:val="20"/>
                <w:color w:val="auto"/>
              </w:rPr>
            </w:pPr>
            <w:r>
              <w:rPr>
                <w:rFonts w:ascii="Times New Roman" w:cs="Times New Roman" w:eastAsia="Times New Roman" w:hAnsi="Times New Roman"/>
                <w:sz w:val="11"/>
                <w:szCs w:val="11"/>
                <w:color w:val="auto"/>
                <w:w w:val="71"/>
              </w:rPr>
              <w:t>0</w:t>
            </w:r>
          </w:p>
        </w:tc>
        <w:tc>
          <w:tcPr>
            <w:tcW w:w="940" w:type="dxa"/>
            <w:vAlign w:val="bottom"/>
            <w:gridSpan w:val="2"/>
          </w:tcPr>
          <w:p>
            <w:pPr>
              <w:jc w:val="right"/>
              <w:ind w:right="360"/>
              <w:spacing w:after="0"/>
              <w:rPr>
                <w:sz w:val="20"/>
                <w:szCs w:val="20"/>
                <w:color w:val="auto"/>
              </w:rPr>
            </w:pPr>
            <w:r>
              <w:rPr>
                <w:rFonts w:ascii="Times New Roman" w:cs="Times New Roman" w:eastAsia="Times New Roman" w:hAnsi="Times New Roman"/>
                <w:sz w:val="13"/>
                <w:szCs w:val="13"/>
                <w:color w:val="auto"/>
              </w:rPr>
              <w:t>122</w:t>
            </w:r>
          </w:p>
        </w:tc>
        <w:tc>
          <w:tcPr>
            <w:tcW w:w="60" w:type="dxa"/>
            <w:vAlign w:val="bottom"/>
          </w:tcPr>
          <w:p>
            <w:pPr>
              <w:spacing w:after="0"/>
              <w:rPr>
                <w:sz w:val="13"/>
                <w:szCs w:val="13"/>
                <w:color w:val="auto"/>
              </w:rPr>
            </w:pPr>
          </w:p>
        </w:tc>
        <w:tc>
          <w:tcPr>
            <w:tcW w:w="380" w:type="dxa"/>
            <w:vAlign w:val="bottom"/>
            <w:gridSpan w:val="2"/>
          </w:tcPr>
          <w:p>
            <w:pPr>
              <w:jc w:val="right"/>
              <w:ind w:right="40"/>
              <w:spacing w:after="0"/>
              <w:rPr>
                <w:sz w:val="20"/>
                <w:szCs w:val="20"/>
                <w:color w:val="auto"/>
              </w:rPr>
            </w:pPr>
            <w:r>
              <w:rPr>
                <w:rFonts w:ascii="Times New Roman" w:cs="Times New Roman" w:eastAsia="Times New Roman" w:hAnsi="Times New Roman"/>
                <w:sz w:val="13"/>
                <w:szCs w:val="13"/>
                <w:color w:val="auto"/>
              </w:rPr>
              <w:t>0</w:t>
            </w:r>
          </w:p>
        </w:tc>
        <w:tc>
          <w:tcPr>
            <w:tcW w:w="0" w:type="dxa"/>
            <w:vAlign w:val="bottom"/>
          </w:tcPr>
          <w:p>
            <w:pPr>
              <w:spacing w:after="0"/>
              <w:rPr>
                <w:sz w:val="1"/>
                <w:szCs w:val="1"/>
                <w:color w:val="auto"/>
              </w:rPr>
            </w:pPr>
          </w:p>
        </w:tc>
      </w:tr>
      <w:tr>
        <w:trPr>
          <w:trHeight w:val="151"/>
        </w:trPr>
        <w:tc>
          <w:tcPr>
            <w:tcW w:w="4020" w:type="dxa"/>
            <w:vAlign w:val="bottom"/>
            <w:shd w:val="clear" w:color="auto" w:fill="CCEEFF"/>
          </w:tcPr>
          <w:p>
            <w:pPr>
              <w:spacing w:after="0"/>
              <w:rPr>
                <w:sz w:val="20"/>
                <w:szCs w:val="20"/>
                <w:color w:val="auto"/>
              </w:rPr>
            </w:pPr>
            <w:r>
              <w:rPr>
                <w:rFonts w:ascii="Times New Roman" w:cs="Times New Roman" w:eastAsia="Times New Roman" w:hAnsi="Times New Roman"/>
                <w:sz w:val="13"/>
                <w:szCs w:val="13"/>
                <w:b w:val="1"/>
                <w:bCs w:val="1"/>
                <w:color w:val="auto"/>
              </w:rPr>
              <w:t>Total</w:t>
            </w:r>
          </w:p>
        </w:tc>
        <w:tc>
          <w:tcPr>
            <w:tcW w:w="5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2,556</w:t>
            </w:r>
          </w:p>
        </w:tc>
        <w:tc>
          <w:tcPr>
            <w:tcW w:w="380" w:type="dxa"/>
            <w:vAlign w:val="bottom"/>
            <w:shd w:val="clear" w:color="auto" w:fill="CCEEFF"/>
          </w:tcPr>
          <w:p>
            <w:pPr>
              <w:spacing w:after="0"/>
              <w:rPr>
                <w:sz w:val="13"/>
                <w:szCs w:val="13"/>
                <w:color w:val="auto"/>
              </w:rPr>
            </w:pPr>
          </w:p>
        </w:tc>
        <w:tc>
          <w:tcPr>
            <w:tcW w:w="80" w:type="dxa"/>
            <w:vAlign w:val="bottom"/>
            <w:tcBorders>
              <w:top w:val="single" w:sz="8" w:color="auto"/>
              <w:bottom w:val="single" w:sz="8" w:color="auto"/>
            </w:tcBorders>
            <w:shd w:val="clear" w:color="auto" w:fill="CCEEFF"/>
          </w:tcPr>
          <w:p>
            <w:pPr>
              <w:spacing w:after="0"/>
              <w:rPr>
                <w:sz w:val="13"/>
                <w:szCs w:val="13"/>
                <w:color w:val="auto"/>
              </w:rPr>
            </w:pPr>
          </w:p>
        </w:tc>
        <w:tc>
          <w:tcPr>
            <w:tcW w:w="2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w:t>
            </w:r>
          </w:p>
        </w:tc>
        <w:tc>
          <w:tcPr>
            <w:tcW w:w="60" w:type="dxa"/>
            <w:vAlign w:val="bottom"/>
            <w:tcBorders>
              <w:top w:val="single" w:sz="8" w:color="auto"/>
              <w:bottom w:val="single" w:sz="8" w:color="auto"/>
            </w:tcBorders>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5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6,898</w:t>
            </w:r>
          </w:p>
        </w:tc>
        <w:tc>
          <w:tcPr>
            <w:tcW w:w="360" w:type="dxa"/>
            <w:vAlign w:val="bottom"/>
            <w:shd w:val="clear" w:color="auto" w:fill="CCEEFF"/>
          </w:tcPr>
          <w:p>
            <w:pPr>
              <w:spacing w:after="0"/>
              <w:rPr>
                <w:sz w:val="13"/>
                <w:szCs w:val="13"/>
                <w:color w:val="auto"/>
              </w:rPr>
            </w:pPr>
          </w:p>
        </w:tc>
        <w:tc>
          <w:tcPr>
            <w:tcW w:w="60" w:type="dxa"/>
            <w:vAlign w:val="bottom"/>
            <w:tcBorders>
              <w:top w:val="single" w:sz="8" w:color="auto"/>
              <w:bottom w:val="single" w:sz="8" w:color="auto"/>
            </w:tcBorders>
            <w:shd w:val="clear" w:color="auto" w:fill="CCEEFF"/>
          </w:tcPr>
          <w:p>
            <w:pPr>
              <w:spacing w:after="0"/>
              <w:rPr>
                <w:sz w:val="13"/>
                <w:szCs w:val="13"/>
                <w:color w:val="auto"/>
              </w:rPr>
            </w:pPr>
          </w:p>
        </w:tc>
        <w:tc>
          <w:tcPr>
            <w:tcW w:w="3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3"/>
                <w:szCs w:val="13"/>
                <w:b w:val="1"/>
                <w:bCs w:val="1"/>
                <w:color w:val="auto"/>
              </w:rPr>
              <w:t>—</w:t>
            </w:r>
          </w:p>
        </w:tc>
        <w:tc>
          <w:tcPr>
            <w:tcW w:w="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bl>
    <w:p>
      <w:pPr>
        <w:spacing w:after="0" w:line="146"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Note 12 - Commitments and contingencies</w:t>
      </w:r>
    </w:p>
    <w:p>
      <w:pPr>
        <w:spacing w:after="0" w:line="78"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Commitments</w:t>
      </w:r>
    </w:p>
    <w:p>
      <w:pPr>
        <w:spacing w:after="0" w:line="80" w:lineRule="exact"/>
        <w:rPr>
          <w:sz w:val="20"/>
          <w:szCs w:val="20"/>
          <w:color w:val="auto"/>
        </w:rPr>
      </w:pPr>
    </w:p>
    <w:p>
      <w:pPr>
        <w:ind w:left="640" w:right="759"/>
        <w:spacing w:after="0" w:line="251" w:lineRule="auto"/>
        <w:rPr>
          <w:sz w:val="20"/>
          <w:szCs w:val="20"/>
          <w:color w:val="auto"/>
        </w:rPr>
      </w:pPr>
      <w:r>
        <w:rPr>
          <w:rFonts w:ascii="Times New Roman" w:cs="Times New Roman" w:eastAsia="Times New Roman" w:hAnsi="Times New Roman"/>
          <w:sz w:val="13"/>
          <w:szCs w:val="13"/>
          <w:color w:val="auto"/>
        </w:rPr>
        <w:t>As of September 30, 2022, commitments to acquire PPE and intangible assets were $192,238 and $323,704, respectively. As of December 31, 2021, commitments to acquire PPE and intangible assets were $235,573 and $501,207, respectively. These commitments are contractual obligations to invest in PPE and intangible assets for the production of upcoming vehicle models PS3 and PS4. For the production of PS5, agreements are yet to be signed that define the upcoming investment commitments in Geely’s Chongqing plant.</w:t>
      </w:r>
    </w:p>
    <w:p>
      <w:pPr>
        <w:spacing w:after="0" w:line="207"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Contingencies</w:t>
      </w:r>
    </w:p>
    <w:p>
      <w:pPr>
        <w:spacing w:after="0" w:line="80" w:lineRule="exact"/>
        <w:rPr>
          <w:sz w:val="20"/>
          <w:szCs w:val="20"/>
          <w:color w:val="auto"/>
        </w:rPr>
      </w:pPr>
    </w:p>
    <w:p>
      <w:pPr>
        <w:ind w:left="640" w:right="739"/>
        <w:spacing w:after="0" w:line="255" w:lineRule="auto"/>
        <w:rPr>
          <w:sz w:val="20"/>
          <w:szCs w:val="20"/>
          <w:color w:val="auto"/>
        </w:rPr>
      </w:pPr>
      <w:r>
        <w:rPr>
          <w:rFonts w:ascii="Times New Roman" w:cs="Times New Roman" w:eastAsia="Times New Roman" w:hAnsi="Times New Roman"/>
          <w:sz w:val="13"/>
          <w:szCs w:val="13"/>
          <w:color w:val="auto"/>
        </w:rPr>
        <w:t>In the normal course of business, the Group is subject to contingencies related to legal proceedings and claims and assessments that cover a wide range of matters. Liabilities for such contingencies are recorded to the extent that it is probable the liability is incurred, and the amount is reasonably estimable. Associated legal costs related to such contingencies are expensed as incurred.</w:t>
      </w:r>
    </w:p>
    <w:p>
      <w:pPr>
        <w:spacing w:after="0" w:line="8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3"/>
          <w:szCs w:val="13"/>
          <w:color w:val="auto"/>
        </w:rPr>
        <w:t>40</w:t>
      </w:r>
    </w:p>
    <w:p>
      <w:pPr>
        <w:sectPr>
          <w:pgSz w:w="11900" w:h="16838" w:orient="portrait"/>
          <w:cols w:equalWidth="0" w:num="1">
            <w:col w:w="9019"/>
          </w:cols>
          <w:pgMar w:left="1440" w:top="231" w:right="1440" w:bottom="1440" w:gutter="0" w:footer="0" w:header="0"/>
        </w:sectPr>
      </w:pPr>
    </w:p>
    <w:bookmarkStart w:id="97" w:name="page98"/>
    <w:bookmarkEnd w:id="97"/>
    <w:p>
      <w:pPr>
        <w:jc w:val="center"/>
        <w:spacing w:after="0"/>
        <w:rPr>
          <w:sz w:val="20"/>
          <w:szCs w:val="20"/>
          <w:color w:val="auto"/>
        </w:rPr>
      </w:pPr>
      <w:r>
        <w:rPr>
          <w:rFonts w:ascii="Times New Roman" w:cs="Times New Roman" w:eastAsia="Times New Roman" w:hAnsi="Times New Roman"/>
          <w:sz w:val="13"/>
          <w:szCs w:val="13"/>
          <w:color w:val="auto"/>
        </w:rPr>
        <w:drawing>
          <wp:anchor simplePos="0" relativeHeight="251657728" behindDoc="1" locked="0" layoutInCell="0" allowOverlap="1">
            <wp:simplePos x="0" y="0"/>
            <wp:positionH relativeFrom="page">
              <wp:posOffset>175260</wp:posOffset>
            </wp:positionH>
            <wp:positionV relativeFrom="page">
              <wp:posOffset>88900</wp:posOffset>
            </wp:positionV>
            <wp:extent cx="7210425" cy="3048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210425" cy="30480"/>
                    </a:xfrm>
                    <a:prstGeom prst="rect">
                      <a:avLst/>
                    </a:prstGeom>
                    <a:noFill/>
                  </pic:spPr>
                </pic:pic>
              </a:graphicData>
            </a:graphic>
          </wp:anchor>
        </w:drawing>
        <w:t>Notes to the Unaudited Condensed Consolidated Financial Statements</w:t>
      </w:r>
    </w:p>
    <w:p>
      <w:pPr>
        <w:spacing w:after="0" w:line="1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(in thousands of U.S. dollars unless otherwise stated)</w:t>
      </w:r>
    </w:p>
    <w:p>
      <w:pPr>
        <w:spacing w:after="0" w:line="91"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3"/>
          <w:szCs w:val="13"/>
          <w:b w:val="1"/>
          <w:bCs w:val="1"/>
          <w:color w:val="auto"/>
        </w:rPr>
        <w:t>Note 13 - Subsequent events</w:t>
      </w:r>
    </w:p>
    <w:p>
      <w:pPr>
        <w:spacing w:after="0" w:line="80" w:lineRule="exact"/>
        <w:rPr>
          <w:sz w:val="20"/>
          <w:szCs w:val="20"/>
          <w:color w:val="auto"/>
        </w:rPr>
      </w:pPr>
    </w:p>
    <w:p>
      <w:pPr>
        <w:ind w:left="640" w:right="719"/>
        <w:spacing w:after="0" w:line="251" w:lineRule="auto"/>
        <w:rPr>
          <w:sz w:val="20"/>
          <w:szCs w:val="20"/>
          <w:color w:val="auto"/>
        </w:rPr>
      </w:pPr>
      <w:r>
        <w:rPr>
          <w:rFonts w:ascii="Times New Roman" w:cs="Times New Roman" w:eastAsia="Times New Roman" w:hAnsi="Times New Roman"/>
          <w:sz w:val="13"/>
          <w:szCs w:val="13"/>
          <w:color w:val="auto"/>
        </w:rPr>
        <w:t>Management has evaluated events subsequent to September 30, 2022 and through November 11, 2022, the date these Unaudited Condensed Consolidated Financial Statements were authorized for issuance by the Board of Directors. The following events which occurred subsequent to September 30, 2022 merited disclosure in these Unaudited Condensed Consolidated Financial Statements. Management determined that no adjustments were required to the figures presented as a result of these events.</w:t>
      </w:r>
    </w:p>
    <w:p>
      <w:pPr>
        <w:spacing w:after="0" w:line="133" w:lineRule="exact"/>
        <w:rPr>
          <w:sz w:val="20"/>
          <w:szCs w:val="20"/>
          <w:color w:val="auto"/>
        </w:rPr>
      </w:pPr>
    </w:p>
    <w:p>
      <w:pPr>
        <w:ind w:left="640" w:right="679"/>
        <w:spacing w:after="0" w:line="249" w:lineRule="auto"/>
        <w:rPr>
          <w:sz w:val="20"/>
          <w:szCs w:val="20"/>
          <w:color w:val="auto"/>
        </w:rPr>
      </w:pPr>
      <w:r>
        <w:rPr>
          <w:rFonts w:ascii="Times New Roman" w:cs="Times New Roman" w:eastAsia="Times New Roman" w:hAnsi="Times New Roman"/>
          <w:sz w:val="13"/>
          <w:szCs w:val="13"/>
          <w:color w:val="auto"/>
        </w:rPr>
        <w:t>On October 12, 2022, Polestar officially revealed its first SUV, Polestar 3, at a launch even in Copenhagen, Denmark. Interested customers in all initial launch markets, North America, Europe and China, were able to place online orders from October 12, 2022. Production of the vehicle is expected to begin from mid-2023, with first deliveries expected in the fourth quarter of 2023. Production is planned to begin in Volvo Cars’ facility in Chengdu, China. Additional manufacturing at Volvo Cars’ Charlston facility, South Carolina, United States, is expected to follow towards the middle of 2024. The contract manufacturing agreements for the Polestar 3 are yet to be signed with Volvo Cars.</w:t>
      </w:r>
    </w:p>
    <w:p>
      <w:pPr>
        <w:spacing w:after="0" w:line="134" w:lineRule="exact"/>
        <w:rPr>
          <w:sz w:val="20"/>
          <w:szCs w:val="20"/>
          <w:color w:val="auto"/>
        </w:rPr>
      </w:pPr>
    </w:p>
    <w:p>
      <w:pPr>
        <w:ind w:left="640" w:right="759"/>
        <w:spacing w:after="0" w:line="255" w:lineRule="auto"/>
        <w:rPr>
          <w:sz w:val="20"/>
          <w:szCs w:val="20"/>
          <w:color w:val="auto"/>
        </w:rPr>
      </w:pPr>
      <w:r>
        <w:rPr>
          <w:rFonts w:ascii="Times New Roman" w:cs="Times New Roman" w:eastAsia="Times New Roman" w:hAnsi="Times New Roman"/>
          <w:sz w:val="13"/>
          <w:szCs w:val="13"/>
          <w:color w:val="auto"/>
        </w:rPr>
        <w:t>On November 3, 2022, Polestar entered into an 18-month credit facility with one of its major shareholders, Volvo Cars, allowing multiple drawings for up to an aggregated principal amount of $800,000. Under this agreement, Volvo Cars maintains an equity conversion option that is contingent upon a future equity raise by Polestar.</w:t>
      </w:r>
    </w:p>
    <w:p>
      <w:pPr>
        <w:spacing w:after="0" w:line="8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3"/>
          <w:szCs w:val="13"/>
          <w:color w:val="auto"/>
        </w:rPr>
        <w:t>41</w:t>
      </w:r>
    </w:p>
    <w:sectPr>
      <w:pgSz w:w="11900" w:h="16838" w:orient="portrait"/>
      <w:cols w:equalWidth="0" w:num="1">
        <w:col w:w="9019"/>
      </w:cols>
      <w:pgMar w:left="1440" w:top="231"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66EF438D"/>
    <w:multiLevelType w:val="hybridMultilevel"/>
    <w:lvl w:ilvl="0">
      <w:lvlJc w:val="left"/>
      <w:lvlText w:val="1"/>
      <w:numFmt w:val="bullet"/>
      <w:start w:val="1"/>
    </w:lvl>
  </w:abstractNum>
  <w:abstractNum w:abstractNumId="1">
    <w:nsid w:val="140E0F76"/>
    <w:multiLevelType w:val="hybridMultilevel"/>
    <w:lvl w:ilvl="0">
      <w:lvlJc w:val="left"/>
      <w:lvlText w:val="2"/>
      <w:numFmt w:val="bullet"/>
      <w:start w:val="1"/>
    </w:lvl>
  </w:abstractNum>
  <w:abstractNum w:abstractNumId="2">
    <w:nsid w:val="3352255A"/>
    <w:multiLevelType w:val="hybridMultilevel"/>
    <w:lvl w:ilvl="0">
      <w:lvlJc w:val="left"/>
      <w:lvlText w:val="3"/>
      <w:numFmt w:val="bullet"/>
      <w:start w:val="1"/>
    </w:lvl>
  </w:abstractNum>
  <w:abstractNum w:abstractNumId="3">
    <w:nsid w:val="109CF92E"/>
    <w:multiLevelType w:val="hybridMultilevel"/>
    <w:lvl w:ilvl="0">
      <w:lvlJc w:val="left"/>
      <w:lvlText w:val="4"/>
      <w:numFmt w:val="bullet"/>
      <w:start w:val="1"/>
    </w:lvl>
  </w:abstractNum>
  <w:abstractNum w:abstractNumId="4">
    <w:nsid w:val="DED7263"/>
    <w:multiLevelType w:val="hybridMultilevel"/>
    <w:lvl w:ilvl="0">
      <w:lvlJc w:val="left"/>
      <w:lvlText w:val="5"/>
      <w:numFmt w:val="bullet"/>
      <w:start w:val="1"/>
    </w:lvl>
  </w:abstractNum>
  <w:abstractNum w:abstractNumId="5">
    <w:nsid w:val="7FDCC233"/>
    <w:multiLevelType w:val="hybridMultilevel"/>
    <w:lvl w:ilvl="0">
      <w:lvlJc w:val="left"/>
      <w:lvlText w:val="6"/>
      <w:numFmt w:val="bullet"/>
      <w:start w:val="1"/>
    </w:lvl>
  </w:abstractNum>
  <w:abstractNum w:abstractNumId="6">
    <w:nsid w:val="1BEFD79F"/>
    <w:multiLevelType w:val="hybridMultilevel"/>
    <w:lvl w:ilvl="0">
      <w:lvlJc w:val="left"/>
      <w:lvlText w:val="7"/>
      <w:numFmt w:val="bullet"/>
      <w:start w:val="1"/>
    </w:lvl>
  </w:abstractNum>
  <w:abstractNum w:abstractNumId="7">
    <w:nsid w:val="41A7C4C9"/>
    <w:multiLevelType w:val="hybridMultilevel"/>
    <w:lvl w:ilvl="0">
      <w:lvlJc w:val="left"/>
      <w:lvlText w:val="•"/>
      <w:numFmt w:val="bullet"/>
      <w:start w:val="1"/>
    </w:lvl>
  </w:abstractNum>
  <w:abstractNum w:abstractNumId="8">
    <w:nsid w:val="6B68079A"/>
    <w:multiLevelType w:val="hybridMultilevel"/>
    <w:lvl w:ilvl="0">
      <w:lvlJc w:val="left"/>
      <w:lvlText w:val="•"/>
      <w:numFmt w:val="bullet"/>
      <w:start w:val="1"/>
    </w:lvl>
  </w:abstractNum>
  <w:abstractNum w:abstractNumId="9">
    <w:nsid w:val="4E6AFB66"/>
    <w:multiLevelType w:val="hybridMultilevel"/>
    <w:lvl w:ilvl="0">
      <w:lvlJc w:val="left"/>
      <w:lvlText w:val="•"/>
      <w:numFmt w:val="bullet"/>
      <w:start w:val="1"/>
    </w:lvl>
  </w:abstractNum>
  <w:abstractNum w:abstractNumId="10">
    <w:nsid w:val="25E45D32"/>
    <w:multiLevelType w:val="hybridMultilevel"/>
    <w:lvl w:ilvl="0">
      <w:lvlJc w:val="left"/>
      <w:lvlText w:val="1"/>
      <w:numFmt w:val="bullet"/>
      <w:start w:val="1"/>
    </w:lvl>
  </w:abstractNum>
  <w:abstractNum w:abstractNumId="11">
    <w:nsid w:val="519B500D"/>
    <w:multiLevelType w:val="hybridMultilevel"/>
    <w:lvl w:ilvl="0">
      <w:lvlJc w:val="left"/>
      <w:lvlText w:val="%1)"/>
      <w:numFmt w:val="lowerLetter"/>
      <w:start w:val="1"/>
    </w:lvl>
  </w:abstractNum>
  <w:abstractNum w:abstractNumId="12">
    <w:nsid w:val="431BD7B7"/>
    <w:multiLevelType w:val="hybridMultilevel"/>
    <w:lvl w:ilvl="0">
      <w:lvlJc w:val="left"/>
      <w:lvlText w:val="1"/>
      <w:numFmt w:val="bullet"/>
      <w:start w:val="1"/>
    </w:lvl>
  </w:abstractNum>
  <w:abstractNum w:abstractNumId="13">
    <w:nsid w:val="3F2DBA31"/>
    <w:multiLevelType w:val="hybridMultilevel"/>
    <w:lvl w:ilvl="0">
      <w:lvlJc w:val="left"/>
      <w:lvlText w:val="•"/>
      <w:numFmt w:val="bullet"/>
      <w:start w:val="1"/>
    </w:lvl>
  </w:abstractNum>
  <w:abstractNum w:abstractNumId="14">
    <w:nsid w:val="7C83E458"/>
    <w:multiLevelType w:val="hybridMultilevel"/>
    <w:lvl w:ilvl="0">
      <w:lvlJc w:val="left"/>
      <w:lvlText w:val="2"/>
      <w:numFmt w:val="bullet"/>
      <w:start w:val="1"/>
    </w:lvl>
  </w:abstractNum>
  <w:abstractNum w:abstractNumId="15">
    <w:nsid w:val="257130A3"/>
    <w:multiLevelType w:val="hybridMultilevel"/>
    <w:lvl w:ilvl="0">
      <w:lvlJc w:val="left"/>
      <w:lvlText w:val="•"/>
      <w:numFmt w:val="bullet"/>
      <w:start w:val="1"/>
    </w:lvl>
  </w:abstractNum>
  <w:abstractNum w:abstractNumId="16">
    <w:nsid w:val="62BBD95A"/>
    <w:multiLevelType w:val="hybridMultilevel"/>
    <w:lvl w:ilvl="0">
      <w:lvlJc w:val="left"/>
      <w:lvlText w:val="*"/>
      <w:numFmt w:val="bullet"/>
      <w:start w:val="1"/>
    </w:lvl>
  </w:abstractNum>
  <w:abstractNum w:abstractNumId="17">
    <w:nsid w:val="436C6125"/>
    <w:multiLevelType w:val="hybridMultilevel"/>
    <w:lvl w:ilvl="0">
      <w:lvlJc w:val="left"/>
      <w:lvlText w:val="•"/>
      <w:numFmt w:val="bullet"/>
      <w:start w:val="1"/>
    </w:lvl>
    <w:lvl w:ilvl="1">
      <w:lvlJc w:val="left"/>
      <w:lvlText w:val="•"/>
      <w:numFmt w:val="bullet"/>
      <w:start w:val="1"/>
    </w:lvl>
  </w:abstractNum>
  <w:abstractNum w:abstractNumId="18">
    <w:nsid w:val="628C895D"/>
    <w:multiLevelType w:val="hybridMultilevel"/>
    <w:lvl w:ilvl="0">
      <w:lvlJc w:val="left"/>
      <w:lvlText w:val="•"/>
      <w:numFmt w:val="bullet"/>
      <w:start w:val="1"/>
    </w:lvl>
  </w:abstractNum>
  <w:abstractNum w:abstractNumId="19">
    <w:nsid w:val="333AB105"/>
    <w:multiLevelType w:val="hybridMultilevel"/>
    <w:lvl w:ilvl="0">
      <w:lvlJc w:val="left"/>
      <w:lvlText w:val="•"/>
      <w:numFmt w:val="bullet"/>
      <w:start w:val="1"/>
    </w:lvl>
  </w:abstractNum>
  <w:abstractNum w:abstractNumId="20">
    <w:nsid w:val="721DA317"/>
    <w:multiLevelType w:val="hybridMultilevel"/>
    <w:lvl w:ilvl="0">
      <w:lvlJc w:val="left"/>
      <w:lvlText w:val="•"/>
      <w:numFmt w:val="bullet"/>
      <w:start w:val="1"/>
    </w:lvl>
  </w:abstractNum>
  <w:abstractNum w:abstractNumId="21">
    <w:nsid w:val="2443A858"/>
    <w:multiLevelType w:val="hybridMultilevel"/>
    <w:lvl w:ilvl="0">
      <w:lvlJc w:val="left"/>
      <w:lvlText w:val="%1)"/>
      <w:numFmt w:val="lowerLetter"/>
      <w:start w:val="1"/>
    </w:lvl>
  </w:abstractNum>
  <w:abstractNum w:abstractNumId="22">
    <w:nsid w:val="2D1D5AE9"/>
    <w:multiLevelType w:val="hybridMultilevel"/>
    <w:lvl w:ilvl="0">
      <w:lvlJc w:val="left"/>
      <w:lvlText w:val="%1)"/>
      <w:numFmt w:val="lowerLetter"/>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2022-11-14T10:21:24Z</dcterms:created>
  <dcterms:modified xsi:type="dcterms:W3CDTF">2022-11-14T10:21:24Z</dcterms:modified>
</cp:coreProperties>
</file>