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162560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169545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REPORT OF FOREIGN PRIVATE ISSUER</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RULE 13a-16 OR 15d-16</w:t>
      </w:r>
    </w:p>
    <w:p>
      <w:pPr>
        <w:jc w:val="center"/>
        <w:ind w:right="19"/>
        <w:spacing w:after="0"/>
        <w:rPr>
          <w:sz w:val="20"/>
          <w:szCs w:val="20"/>
          <w:color w:val="auto"/>
        </w:rPr>
      </w:pPr>
      <w:r>
        <w:rPr>
          <w:rFonts w:ascii="Arial" w:cs="Arial" w:eastAsia="Arial" w:hAnsi="Arial"/>
          <w:sz w:val="15"/>
          <w:szCs w:val="15"/>
          <w:b w:val="1"/>
          <w:bCs w:val="1"/>
          <w:color w:val="auto"/>
        </w:rPr>
        <w:t>UNDER THE SECURITIES EXCHANGE ACT OF 1934</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 the month of November 2023</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165735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191770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left="3820"/>
        <w:spacing w:after="0"/>
        <w:rPr>
          <w:sz w:val="20"/>
          <w:szCs w:val="20"/>
          <w:color w:val="auto"/>
        </w:rPr>
      </w:pPr>
      <w:r>
        <w:rPr>
          <w:rFonts w:ascii="Arial" w:cs="Arial" w:eastAsia="Arial" w:hAnsi="Arial"/>
          <w:sz w:val="13"/>
          <w:szCs w:val="13"/>
          <w:b w:val="1"/>
          <w:bCs w:val="1"/>
          <w:color w:val="auto"/>
        </w:rPr>
        <w:t>Assar Gabrielssons Väg 9</w:t>
      </w:r>
    </w:p>
    <w:p>
      <w:pPr>
        <w:spacing w:after="0" w:line="12" w:lineRule="exact"/>
        <w:rPr>
          <w:sz w:val="24"/>
          <w:szCs w:val="24"/>
          <w:color w:val="auto"/>
        </w:rPr>
      </w:pPr>
    </w:p>
    <w:p>
      <w:pPr>
        <w:ind w:left="3820"/>
        <w:spacing w:after="0"/>
        <w:rPr>
          <w:sz w:val="20"/>
          <w:szCs w:val="20"/>
          <w:color w:val="auto"/>
        </w:rPr>
      </w:pPr>
      <w:r>
        <w:rPr>
          <w:rFonts w:ascii="Arial" w:cs="Arial" w:eastAsia="Arial" w:hAnsi="Arial"/>
          <w:sz w:val="13"/>
          <w:szCs w:val="13"/>
          <w:b w:val="1"/>
          <w:bCs w:val="1"/>
          <w:color w:val="auto"/>
        </w:rPr>
        <w:t>405 31 Göteborg, Sweden</w:t>
      </w:r>
    </w:p>
    <w:p>
      <w:pPr>
        <w:jc w:val="center"/>
        <w:ind w:right="19"/>
        <w:spacing w:after="0"/>
        <w:rPr>
          <w:sz w:val="20"/>
          <w:szCs w:val="20"/>
          <w:color w:val="auto"/>
        </w:rPr>
      </w:pPr>
      <w:r>
        <w:rPr>
          <w:rFonts w:ascii="Arial" w:cs="Arial" w:eastAsia="Arial" w:hAnsi="Arial"/>
          <w:sz w:val="10"/>
          <w:szCs w:val="10"/>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3" w:lineRule="exact"/>
        <w:rPr>
          <w:sz w:val="24"/>
          <w:szCs w:val="24"/>
          <w:color w:val="auto"/>
        </w:rPr>
      </w:pPr>
    </w:p>
    <w:p>
      <w:pPr>
        <w:ind w:left="640"/>
        <w:spacing w:after="0"/>
        <w:rPr>
          <w:sz w:val="20"/>
          <w:szCs w:val="20"/>
          <w:color w:val="auto"/>
        </w:rPr>
      </w:pPr>
      <w:r>
        <w:rPr>
          <w:rFonts w:ascii="Arial" w:cs="Arial" w:eastAsia="Arial" w:hAnsi="Arial"/>
          <w:sz w:val="12"/>
          <w:szCs w:val="12"/>
          <w:color w:val="auto"/>
        </w:rPr>
        <w:t>Indicate by check mark whether the registrant files or will file annual reports under cover of Form 20-F or Form 40-F.</w:t>
      </w:r>
    </w:p>
    <w:p>
      <w:pPr>
        <w:spacing w:after="0" w:line="133" w:lineRule="exact"/>
        <w:rPr>
          <w:sz w:val="24"/>
          <w:szCs w:val="24"/>
          <w:color w:val="auto"/>
        </w:rPr>
      </w:pPr>
    </w:p>
    <w:p>
      <w:pPr>
        <w:jc w:val="center"/>
        <w:spacing w:after="0" w:line="150" w:lineRule="exact"/>
        <w:tabs>
          <w:tab w:leader="none" w:pos="360" w:val="left"/>
        </w:tabs>
        <w:rPr>
          <w:sz w:val="20"/>
          <w:szCs w:val="20"/>
          <w:color w:val="auto"/>
        </w:rPr>
      </w:pPr>
      <w:r>
        <w:rPr>
          <w:rFonts w:ascii="Arial" w:cs="Arial" w:eastAsia="Arial" w:hAnsi="Arial"/>
          <w:sz w:val="13"/>
          <w:szCs w:val="13"/>
          <w:color w:val="auto"/>
        </w:rPr>
        <w:t xml:space="preserve">Form 20-F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Form 40-F </w:t>
      </w:r>
      <w:r>
        <w:rPr>
          <w:rFonts w:ascii="MS PGothic" w:cs="MS PGothic" w:eastAsia="MS PGothic" w:hAnsi="MS PGothic"/>
          <w:sz w:val="12"/>
          <w:szCs w:val="12"/>
          <w:color w:val="auto"/>
        </w:rPr>
        <w:t>☐</w:t>
      </w:r>
    </w:p>
    <w:p>
      <w:pPr>
        <w:spacing w:after="0" w:line="154" w:lineRule="exact"/>
        <w:rPr>
          <w:sz w:val="24"/>
          <w:szCs w:val="24"/>
          <w:color w:val="auto"/>
        </w:rPr>
      </w:pPr>
    </w:p>
    <w:p>
      <w:pPr>
        <w:ind w:left="640"/>
        <w:spacing w:after="0" w:line="127" w:lineRule="exact"/>
        <w:rPr>
          <w:sz w:val="20"/>
          <w:szCs w:val="20"/>
          <w:color w:val="auto"/>
        </w:rPr>
      </w:pPr>
      <w:r>
        <w:rPr>
          <w:rFonts w:ascii="Arial" w:cs="Arial" w:eastAsia="Arial" w:hAnsi="Arial"/>
          <w:sz w:val="11"/>
          <w:szCs w:val="11"/>
          <w:color w:val="auto"/>
        </w:rPr>
        <w:t xml:space="preserve">Indicate by check mark if the registrant is submitting the Form 6-K in paper as permitted by Regulation S-T Rule 101(b)(1): </w:t>
      </w:r>
      <w:r>
        <w:rPr>
          <w:rFonts w:ascii="MS PGothic" w:cs="MS PGothic" w:eastAsia="MS PGothic" w:hAnsi="MS PGothic"/>
          <w:sz w:val="11"/>
          <w:szCs w:val="11"/>
          <w:color w:val="auto"/>
        </w:rPr>
        <w:t>☐</w:t>
      </w:r>
    </w:p>
    <w:p>
      <w:pPr>
        <w:spacing w:after="0" w:line="177" w:lineRule="exact"/>
        <w:rPr>
          <w:sz w:val="24"/>
          <w:szCs w:val="24"/>
          <w:color w:val="auto"/>
        </w:rPr>
      </w:pPr>
    </w:p>
    <w:p>
      <w:pPr>
        <w:ind w:left="640"/>
        <w:spacing w:after="0" w:line="127" w:lineRule="exact"/>
        <w:rPr>
          <w:sz w:val="20"/>
          <w:szCs w:val="20"/>
          <w:color w:val="auto"/>
        </w:rPr>
      </w:pPr>
      <w:r>
        <w:rPr>
          <w:rFonts w:ascii="Arial" w:cs="Arial" w:eastAsia="Arial" w:hAnsi="Arial"/>
          <w:sz w:val="11"/>
          <w:szCs w:val="11"/>
          <w:color w:val="auto"/>
        </w:rPr>
        <w:t xml:space="preserve">Indicate by check mark if the registrant is submitting the Form 6-K in paper as permitted by Regulation S-T Rule 101(b)(7):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144780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174625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INFORMATION CONTAINED IN THIS REPORT ON FORM 6-K</w:t>
      </w:r>
    </w:p>
    <w:p>
      <w:pPr>
        <w:spacing w:after="0" w:line="158" w:lineRule="exact"/>
        <w:rPr>
          <w:sz w:val="20"/>
          <w:szCs w:val="20"/>
          <w:color w:val="auto"/>
        </w:rPr>
      </w:pPr>
    </w:p>
    <w:p>
      <w:pPr>
        <w:ind w:left="640" w:right="679" w:firstLine="309"/>
        <w:spacing w:after="0" w:line="298" w:lineRule="auto"/>
        <w:rPr>
          <w:sz w:val="20"/>
          <w:szCs w:val="20"/>
          <w:color w:val="auto"/>
        </w:rPr>
      </w:pPr>
      <w:r>
        <w:rPr>
          <w:rFonts w:ascii="Arial" w:cs="Arial" w:eastAsia="Arial" w:hAnsi="Arial"/>
          <w:sz w:val="11"/>
          <w:szCs w:val="11"/>
          <w:color w:val="auto"/>
        </w:rPr>
        <w:t>A copy of the investor update presentation that was posted by Polestar Automotive Holding UK PLC (“Polestar”) on its investor relations website on November 8, 2023 in connection with the announcement of Polestar’s preliminary financial results for the third quarter ended September 30, 2023 is attached hereto as Exhibit 99.1. The unaudited financial and operational information published in the presentation is preliminary and subject to potential adjustments. Potential adjustments to operational and consolidated financial information may be identified from further work performed during Polestar’s quarter-end review. This could result in differences from the unaudited operational and financial information published in the presentation. For the avoidance of doubt, the preliminary unaudited operational and financial information published in the presentation should not be considered a substitute for the further financial information to be filed with the SEC for the quarter ended September 30, 2023 on or before November 17, 2023.</w:t>
      </w:r>
    </w:p>
    <w:p>
      <w:pPr>
        <w:spacing w:after="0" w:line="114" w:lineRule="exact"/>
        <w:rPr>
          <w:sz w:val="20"/>
          <w:szCs w:val="20"/>
          <w:color w:val="auto"/>
        </w:rPr>
      </w:pPr>
    </w:p>
    <w:p>
      <w:pPr>
        <w:ind w:left="640" w:right="719" w:firstLine="309"/>
        <w:spacing w:after="0" w:line="252" w:lineRule="auto"/>
        <w:rPr>
          <w:sz w:val="20"/>
          <w:szCs w:val="20"/>
          <w:color w:val="auto"/>
        </w:rPr>
      </w:pPr>
      <w:r>
        <w:rPr>
          <w:rFonts w:ascii="Arial" w:cs="Arial" w:eastAsia="Arial" w:hAnsi="Arial"/>
          <w:sz w:val="13"/>
          <w:szCs w:val="13"/>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23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INDEX</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128"/>
        </w:trPr>
        <w:tc>
          <w:tcPr>
            <w:tcW w:w="1020" w:type="dxa"/>
            <w:vAlign w:val="bottom"/>
            <w:gridSpan w:val="2"/>
          </w:tcPr>
          <w:p>
            <w:pPr>
              <w:spacing w:after="0"/>
              <w:rPr>
                <w:sz w:val="20"/>
                <w:szCs w:val="20"/>
                <w:color w:val="auto"/>
              </w:rPr>
            </w:pPr>
            <w:r>
              <w:rPr>
                <w:rFonts w:ascii="Arial" w:cs="Arial" w:eastAsia="Arial" w:hAnsi="Arial"/>
                <w:sz w:val="10"/>
                <w:szCs w:val="10"/>
                <w:b w:val="1"/>
                <w:bCs w:val="1"/>
                <w:color w:val="auto"/>
              </w:rPr>
              <w:t>Exhibit No.</w:t>
            </w:r>
          </w:p>
        </w:tc>
        <w:tc>
          <w:tcPr>
            <w:tcW w:w="6720" w:type="dxa"/>
            <w:vAlign w:val="bottom"/>
            <w:gridSpan w:val="2"/>
          </w:tcPr>
          <w:p>
            <w:pPr>
              <w:spacing w:after="0"/>
              <w:rPr>
                <w:sz w:val="20"/>
                <w:szCs w:val="20"/>
                <w:color w:val="auto"/>
              </w:rPr>
            </w:pPr>
            <w:r>
              <w:rPr>
                <w:rFonts w:ascii="Arial" w:cs="Arial" w:eastAsia="Arial" w:hAnsi="Arial"/>
                <w:sz w:val="10"/>
                <w:szCs w:val="10"/>
                <w:b w:val="1"/>
                <w:bCs w:val="1"/>
                <w:color w:val="auto"/>
              </w:rPr>
              <w:t>Description of Exhibit</w:t>
            </w:r>
          </w:p>
        </w:tc>
      </w:tr>
      <w:tr>
        <w:trPr>
          <w:trHeight w:val="179"/>
        </w:trPr>
        <w:tc>
          <w:tcPr>
            <w:tcW w:w="5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99.1</w:t>
            </w:r>
          </w:p>
        </w:tc>
        <w:tc>
          <w:tcPr>
            <w:tcW w:w="520" w:type="dxa"/>
            <w:vAlign w:val="bottom"/>
          </w:tcPr>
          <w:p>
            <w:pPr>
              <w:spacing w:after="0"/>
              <w:rPr>
                <w:sz w:val="15"/>
                <w:szCs w:val="15"/>
                <w:color w:val="auto"/>
              </w:rPr>
            </w:pPr>
          </w:p>
        </w:tc>
        <w:tc>
          <w:tcPr>
            <w:tcW w:w="2160" w:type="dxa"/>
            <w:vAlign w:val="bottom"/>
            <w:tcBorders>
              <w:top w:val="single" w:sz="8" w:color="auto"/>
              <w:bottom w:val="single" w:sz="8" w:color="0000EE"/>
            </w:tcBorders>
          </w:tcPr>
          <w:p>
            <w:pPr>
              <w:spacing w:after="0"/>
              <w:rPr>
                <w:sz w:val="20"/>
                <w:szCs w:val="20"/>
                <w:color w:val="auto"/>
              </w:rPr>
            </w:pPr>
            <w:r>
              <w:rPr>
                <w:rFonts w:ascii="Arial" w:cs="Arial" w:eastAsia="Arial" w:hAnsi="Arial"/>
                <w:sz w:val="13"/>
                <w:szCs w:val="13"/>
                <w:color w:val="0000EE"/>
                <w:w w:val="87"/>
              </w:rPr>
              <w:t>Investor Update, dated November 8, 2023.</w:t>
            </w:r>
          </w:p>
        </w:tc>
        <w:tc>
          <w:tcPr>
            <w:tcW w:w="4560" w:type="dxa"/>
            <w:vAlign w:val="bottom"/>
            <w:tcBorders>
              <w:top w:val="single" w:sz="8" w:color="auto"/>
            </w:tcBorders>
          </w:tcPr>
          <w:p>
            <w:pPr>
              <w:spacing w:after="0"/>
              <w:rPr>
                <w:sz w:val="15"/>
                <w:szCs w:val="15"/>
                <w:color w:val="auto"/>
              </w:rPr>
            </w:pPr>
          </w:p>
        </w:tc>
      </w:tr>
    </w:tbl>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019"/>
          </w:cols>
          <w:pgMar w:left="1440" w:top="23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58" w:lineRule="exact"/>
        <w:rPr>
          <w:sz w:val="20"/>
          <w:szCs w:val="20"/>
          <w:color w:val="auto"/>
        </w:rPr>
      </w:pPr>
    </w:p>
    <w:p>
      <w:pPr>
        <w:ind w:left="640" w:right="117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540" w:type="dxa"/>
            <w:vAlign w:val="bottom"/>
          </w:tcPr>
          <w:p>
            <w:pPr>
              <w:spacing w:after="0"/>
              <w:rPr>
                <w:sz w:val="14"/>
                <w:szCs w:val="14"/>
                <w:color w:val="auto"/>
              </w:rPr>
            </w:pPr>
          </w:p>
        </w:tc>
        <w:tc>
          <w:tcPr>
            <w:tcW w:w="5200" w:type="dxa"/>
            <w:vAlign w:val="bottom"/>
            <w:gridSpan w:val="2"/>
          </w:tcPr>
          <w:p>
            <w:pPr>
              <w:ind w:left="1340"/>
              <w:spacing w:after="0"/>
              <w:rPr>
                <w:sz w:val="20"/>
                <w:szCs w:val="20"/>
                <w:color w:val="auto"/>
              </w:rPr>
            </w:pPr>
            <w:r>
              <w:rPr>
                <w:rFonts w:ascii="Arial" w:cs="Arial" w:eastAsia="Arial" w:hAnsi="Arial"/>
                <w:sz w:val="13"/>
                <w:szCs w:val="13"/>
                <w:b w:val="1"/>
                <w:bCs w:val="1"/>
                <w:color w:val="auto"/>
              </w:rPr>
              <w:t>POLESTAR AUTOMOTIVE HOLDING UK PLC</w:t>
            </w:r>
          </w:p>
        </w:tc>
      </w:tr>
      <w:tr>
        <w:trPr>
          <w:trHeight w:val="303"/>
        </w:trPr>
        <w:tc>
          <w:tcPr>
            <w:tcW w:w="2540" w:type="dxa"/>
            <w:vAlign w:val="bottom"/>
          </w:tcPr>
          <w:p>
            <w:pPr>
              <w:spacing w:after="0"/>
              <w:rPr>
                <w:sz w:val="20"/>
                <w:szCs w:val="20"/>
                <w:color w:val="auto"/>
              </w:rPr>
            </w:pPr>
            <w:r>
              <w:rPr>
                <w:rFonts w:ascii="Arial" w:cs="Arial" w:eastAsia="Arial" w:hAnsi="Arial"/>
                <w:sz w:val="13"/>
                <w:szCs w:val="13"/>
                <w:color w:val="auto"/>
              </w:rPr>
              <w:t>Date: November 8, 2023</w:t>
            </w:r>
          </w:p>
        </w:tc>
        <w:tc>
          <w:tcPr>
            <w:tcW w:w="1780" w:type="dxa"/>
            <w:vAlign w:val="bottom"/>
          </w:tcPr>
          <w:p>
            <w:pPr>
              <w:ind w:left="1340"/>
              <w:spacing w:after="0"/>
              <w:rPr>
                <w:sz w:val="20"/>
                <w:szCs w:val="20"/>
                <w:color w:val="auto"/>
              </w:rPr>
            </w:pPr>
            <w:r>
              <w:rPr>
                <w:rFonts w:ascii="Arial" w:cs="Arial" w:eastAsia="Arial" w:hAnsi="Arial"/>
                <w:sz w:val="13"/>
                <w:szCs w:val="13"/>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Thomas Ingenlath</w:t>
            </w:r>
          </w:p>
        </w:tc>
      </w:tr>
      <w:tr>
        <w:trPr>
          <w:trHeight w:val="142"/>
        </w:trPr>
        <w:tc>
          <w:tcPr>
            <w:tcW w:w="2540" w:type="dxa"/>
            <w:vAlign w:val="bottom"/>
          </w:tcPr>
          <w:p>
            <w:pPr>
              <w:spacing w:after="0"/>
              <w:rPr>
                <w:sz w:val="12"/>
                <w:szCs w:val="12"/>
                <w:color w:val="auto"/>
              </w:rPr>
            </w:pPr>
          </w:p>
        </w:tc>
        <w:tc>
          <w:tcPr>
            <w:tcW w:w="1780" w:type="dxa"/>
            <w:vAlign w:val="bottom"/>
          </w:tcPr>
          <w:p>
            <w:pPr>
              <w:ind w:left="1340"/>
              <w:spacing w:after="0" w:line="142" w:lineRule="exact"/>
              <w:rPr>
                <w:sz w:val="20"/>
                <w:szCs w:val="20"/>
                <w:color w:val="auto"/>
              </w:rPr>
            </w:pPr>
            <w:r>
              <w:rPr>
                <w:rFonts w:ascii="Arial" w:cs="Arial" w:eastAsia="Arial" w:hAnsi="Arial"/>
                <w:sz w:val="13"/>
                <w:szCs w:val="13"/>
                <w:color w:val="auto"/>
              </w:rPr>
              <w:t>Name:</w:t>
            </w:r>
          </w:p>
        </w:tc>
        <w:tc>
          <w:tcPr>
            <w:tcW w:w="3420" w:type="dxa"/>
            <w:vAlign w:val="bottom"/>
          </w:tcPr>
          <w:p>
            <w:pPr>
              <w:spacing w:after="0" w:line="142" w:lineRule="exact"/>
              <w:rPr>
                <w:sz w:val="20"/>
                <w:szCs w:val="20"/>
                <w:color w:val="auto"/>
              </w:rPr>
            </w:pPr>
            <w:r>
              <w:rPr>
                <w:rFonts w:ascii="Arial" w:cs="Arial" w:eastAsia="Arial" w:hAnsi="Arial"/>
                <w:sz w:val="13"/>
                <w:szCs w:val="13"/>
                <w:color w:val="auto"/>
              </w:rPr>
              <w:t>Thomas Ingenlath</w:t>
            </w:r>
          </w:p>
        </w:tc>
      </w:tr>
      <w:tr>
        <w:trPr>
          <w:trHeight w:val="161"/>
        </w:trPr>
        <w:tc>
          <w:tcPr>
            <w:tcW w:w="2540" w:type="dxa"/>
            <w:vAlign w:val="bottom"/>
          </w:tcPr>
          <w:p>
            <w:pPr>
              <w:spacing w:after="0"/>
              <w:rPr>
                <w:sz w:val="13"/>
                <w:szCs w:val="13"/>
                <w:color w:val="auto"/>
              </w:rPr>
            </w:pPr>
          </w:p>
        </w:tc>
        <w:tc>
          <w:tcPr>
            <w:tcW w:w="1780" w:type="dxa"/>
            <w:vAlign w:val="bottom"/>
          </w:tcPr>
          <w:p>
            <w:pPr>
              <w:ind w:left="1340"/>
              <w:spacing w:after="0"/>
              <w:rPr>
                <w:sz w:val="20"/>
                <w:szCs w:val="20"/>
                <w:color w:val="auto"/>
              </w:rPr>
            </w:pPr>
            <w:r>
              <w:rPr>
                <w:rFonts w:ascii="Arial" w:cs="Arial" w:eastAsia="Arial" w:hAnsi="Arial"/>
                <w:sz w:val="13"/>
                <w:szCs w:val="13"/>
                <w:color w:val="auto"/>
              </w:rPr>
              <w:t>Title:</w:t>
            </w:r>
          </w:p>
        </w:tc>
        <w:tc>
          <w:tcPr>
            <w:tcW w:w="3420" w:type="dxa"/>
            <w:vAlign w:val="bottom"/>
          </w:tcPr>
          <w:p>
            <w:pPr>
              <w:spacing w:after="0"/>
              <w:rPr>
                <w:sz w:val="20"/>
                <w:szCs w:val="20"/>
                <w:color w:val="auto"/>
              </w:rPr>
            </w:pPr>
            <w:r>
              <w:rPr>
                <w:rFonts w:ascii="Arial" w:cs="Arial" w:eastAsia="Arial" w:hAnsi="Arial"/>
                <w:sz w:val="13"/>
                <w:szCs w:val="13"/>
                <w:color w:val="auto"/>
              </w:rPr>
              <w:t>Chief Executive Officer</w:t>
            </w:r>
          </w:p>
        </w:tc>
      </w:tr>
      <w:tr>
        <w:trPr>
          <w:trHeight w:val="303"/>
        </w:trPr>
        <w:tc>
          <w:tcPr>
            <w:tcW w:w="2540" w:type="dxa"/>
            <w:vAlign w:val="bottom"/>
          </w:tcPr>
          <w:p>
            <w:pPr>
              <w:spacing w:after="0"/>
              <w:rPr>
                <w:sz w:val="24"/>
                <w:szCs w:val="24"/>
                <w:color w:val="auto"/>
              </w:rPr>
            </w:pPr>
          </w:p>
        </w:tc>
        <w:tc>
          <w:tcPr>
            <w:tcW w:w="1780" w:type="dxa"/>
            <w:vAlign w:val="bottom"/>
          </w:tcPr>
          <w:p>
            <w:pPr>
              <w:ind w:left="1340"/>
              <w:spacing w:after="0"/>
              <w:rPr>
                <w:sz w:val="20"/>
                <w:szCs w:val="20"/>
                <w:color w:val="auto"/>
              </w:rPr>
            </w:pPr>
            <w:r>
              <w:rPr>
                <w:rFonts w:ascii="Arial" w:cs="Arial" w:eastAsia="Arial" w:hAnsi="Arial"/>
                <w:sz w:val="13"/>
                <w:szCs w:val="13"/>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Johan Malmqvist</w:t>
            </w:r>
          </w:p>
        </w:tc>
      </w:tr>
      <w:tr>
        <w:trPr>
          <w:trHeight w:val="142"/>
        </w:trPr>
        <w:tc>
          <w:tcPr>
            <w:tcW w:w="2540" w:type="dxa"/>
            <w:vAlign w:val="bottom"/>
          </w:tcPr>
          <w:p>
            <w:pPr>
              <w:spacing w:after="0"/>
              <w:rPr>
                <w:sz w:val="12"/>
                <w:szCs w:val="12"/>
                <w:color w:val="auto"/>
              </w:rPr>
            </w:pPr>
          </w:p>
        </w:tc>
        <w:tc>
          <w:tcPr>
            <w:tcW w:w="1780" w:type="dxa"/>
            <w:vAlign w:val="bottom"/>
          </w:tcPr>
          <w:p>
            <w:pPr>
              <w:ind w:left="1340"/>
              <w:spacing w:after="0" w:line="142" w:lineRule="exact"/>
              <w:rPr>
                <w:sz w:val="20"/>
                <w:szCs w:val="20"/>
                <w:color w:val="auto"/>
              </w:rPr>
            </w:pPr>
            <w:r>
              <w:rPr>
                <w:rFonts w:ascii="Arial" w:cs="Arial" w:eastAsia="Arial" w:hAnsi="Arial"/>
                <w:sz w:val="13"/>
                <w:szCs w:val="13"/>
                <w:color w:val="auto"/>
              </w:rPr>
              <w:t>Name:</w:t>
            </w:r>
          </w:p>
        </w:tc>
        <w:tc>
          <w:tcPr>
            <w:tcW w:w="3420" w:type="dxa"/>
            <w:vAlign w:val="bottom"/>
          </w:tcPr>
          <w:p>
            <w:pPr>
              <w:spacing w:after="0" w:line="142" w:lineRule="exact"/>
              <w:rPr>
                <w:sz w:val="20"/>
                <w:szCs w:val="20"/>
                <w:color w:val="auto"/>
              </w:rPr>
            </w:pPr>
            <w:r>
              <w:rPr>
                <w:rFonts w:ascii="Arial" w:cs="Arial" w:eastAsia="Arial" w:hAnsi="Arial"/>
                <w:sz w:val="13"/>
                <w:szCs w:val="13"/>
                <w:color w:val="auto"/>
              </w:rPr>
              <w:t>Johan Malmqvist</w:t>
            </w:r>
          </w:p>
        </w:tc>
      </w:tr>
      <w:tr>
        <w:trPr>
          <w:trHeight w:val="161"/>
        </w:trPr>
        <w:tc>
          <w:tcPr>
            <w:tcW w:w="2540" w:type="dxa"/>
            <w:vAlign w:val="bottom"/>
          </w:tcPr>
          <w:p>
            <w:pPr>
              <w:spacing w:after="0"/>
              <w:rPr>
                <w:sz w:val="13"/>
                <w:szCs w:val="13"/>
                <w:color w:val="auto"/>
              </w:rPr>
            </w:pPr>
          </w:p>
        </w:tc>
        <w:tc>
          <w:tcPr>
            <w:tcW w:w="1780" w:type="dxa"/>
            <w:vAlign w:val="bottom"/>
          </w:tcPr>
          <w:p>
            <w:pPr>
              <w:ind w:left="1340"/>
              <w:spacing w:after="0"/>
              <w:rPr>
                <w:sz w:val="20"/>
                <w:szCs w:val="20"/>
                <w:color w:val="auto"/>
              </w:rPr>
            </w:pPr>
            <w:r>
              <w:rPr>
                <w:rFonts w:ascii="Arial" w:cs="Arial" w:eastAsia="Arial" w:hAnsi="Arial"/>
                <w:sz w:val="13"/>
                <w:szCs w:val="13"/>
                <w:color w:val="auto"/>
              </w:rPr>
              <w:t>Title:</w:t>
            </w:r>
          </w:p>
        </w:tc>
        <w:tc>
          <w:tcPr>
            <w:tcW w:w="3420" w:type="dxa"/>
            <w:vAlign w:val="bottom"/>
          </w:tcPr>
          <w:p>
            <w:pPr>
              <w:spacing w:after="0"/>
              <w:rPr>
                <w:sz w:val="20"/>
                <w:szCs w:val="20"/>
                <w:color w:val="auto"/>
              </w:rPr>
            </w:pPr>
            <w:r>
              <w:rPr>
                <w:rFonts w:ascii="Arial" w:cs="Arial" w:eastAsia="Arial" w:hAnsi="Arial"/>
                <w:sz w:val="13"/>
                <w:szCs w:val="13"/>
                <w:color w:val="auto"/>
              </w:rPr>
              <w:t>Chief Financial Officer</w:t>
            </w:r>
          </w:p>
        </w:tc>
      </w:tr>
      <w:tr>
        <w:trPr>
          <w:trHeight w:val="256"/>
        </w:trPr>
        <w:tc>
          <w:tcPr>
            <w:tcW w:w="2540" w:type="dxa"/>
            <w:vAlign w:val="bottom"/>
          </w:tcPr>
          <w:p>
            <w:pPr>
              <w:spacing w:after="0"/>
              <w:rPr>
                <w:sz w:val="22"/>
                <w:szCs w:val="22"/>
                <w:color w:val="auto"/>
              </w:rPr>
            </w:pPr>
          </w:p>
        </w:tc>
        <w:tc>
          <w:tcPr>
            <w:tcW w:w="1780" w:type="dxa"/>
            <w:vAlign w:val="bottom"/>
          </w:tcPr>
          <w:p>
            <w:pPr>
              <w:ind w:left="1300"/>
              <w:spacing w:after="0"/>
              <w:rPr>
                <w:sz w:val="20"/>
                <w:szCs w:val="20"/>
                <w:color w:val="auto"/>
              </w:rPr>
            </w:pPr>
            <w:r>
              <w:rPr>
                <w:rFonts w:ascii="Arial" w:cs="Arial" w:eastAsia="Arial" w:hAnsi="Arial"/>
                <w:sz w:val="13"/>
                <w:szCs w:val="13"/>
                <w:color w:val="auto"/>
              </w:rPr>
              <w:t>4</w:t>
            </w:r>
          </w:p>
        </w:tc>
        <w:tc>
          <w:tcPr>
            <w:tcW w:w="3420" w:type="dxa"/>
            <w:vAlign w:val="bottom"/>
          </w:tcPr>
          <w:p>
            <w:pPr>
              <w:spacing w:after="0"/>
              <w:rPr>
                <w:sz w:val="22"/>
                <w:szCs w:val="22"/>
                <w:color w:val="auto"/>
              </w:rPr>
            </w:pPr>
          </w:p>
        </w:tc>
      </w:tr>
    </w:tbl>
    <w:p>
      <w:pPr>
        <w:sectPr>
          <w:pgSz w:w="11900" w:h="16838" w:orient="portrait"/>
          <w:cols w:equalWidth="0" w:num="1">
            <w:col w:w="9019"/>
          </w:cols>
          <w:pgMar w:left="1440" w:top="231"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2023-11-09T09:23:01Z</dcterms:created>
  <dcterms:modified xsi:type="dcterms:W3CDTF">2023-11-09T09:23:01Z</dcterms:modified>
</cp:coreProperties>
</file>