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15, 2022, Polestar published a promotional video on its website and different social media channels.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Below is a transcript of the video:</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Polestar started with a vision.</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vision of a new electric car company</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dedicated to design and sustainability.</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 brand that brings passion and joy to driving an EV.</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Today we have over 2,200 employees</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across the globe realising that vision,</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pushing to improve the society we live in by</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accelerating the shift towards sustainable mobility.</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 pure-play EV start-up.</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 company that combines the best of both worlds:</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an unconventional innovative young</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company with speed and agility.</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backed by experienced manufacturing</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partners and a global sales infrastructure.</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brand combines Scandinavian, high-tech minimalism</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avant-garde design and tech innovation.</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a credible and trusted car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not looking for investment to build a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looking to accelerate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55,000 cars on the road today,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 that have captured imaginations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been recognised with over 100 awards around the globe.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order intake with over 32,000 orders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290% increase year to date versus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this international success.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up and running in 25 markets, with over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retail locations and 800 service points.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continue this rapid expansion to be present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30 markets, with an even bigger retail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service footprint by the end of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expanding our product range with three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electric models, including two SUVs,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joining our portfolio by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of those new models, the Polestar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 performance SUV,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set a new standard in this high margin premium segment.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the SUV for the electric 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is expanding to the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we are planning for Europe too.</w:t>
      </w:r>
    </w:p>
    <w:p>
      <w:pPr>
        <w:sectPr>
          <w:pgSz w:w="11900" w:h="16838" w:orient="portrait"/>
          <w:cols w:equalWidth="0" w:num="1">
            <w:col w:w="9579"/>
          </w:cols>
          <w:pgMar w:left="880" w:top="270" w:right="1440"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R&amp;D teams in Sweden and the UK are delivering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technological innovations such as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aluminium bonded chassis that will underpin Polestar 5.</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want to build electric vehicles that push</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boundaries of sustainability,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design and technology, all with our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performance DNA at the core.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includes our industry-leading ambition to produce a</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truly climate-neutral car by 2030.</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cars are on roads, not on powerpoint slides,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revenues are real, not a financial forecast, and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next vehicles are designed, and being engineered, they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are well advanced in their development.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products address the fastest growing and highest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margin vehicle segments across the globe.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end of emissions is coming.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Polestar is what comes next.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0860"/>
          </w:cols>
          <w:pgMar w:left="440" w:top="270" w:right="599" w:bottom="1440" w:gutter="0" w:footer="0" w:header="0"/>
        </w:sectPr>
      </w:pPr>
    </w:p>
    <w:bookmarkStart w:id="3" w:name="page4"/>
    <w:bookmarkEnd w:id="3"/>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2022-06-15T08:06:12Z</dcterms:created>
  <dcterms:modified xsi:type="dcterms:W3CDTF">2022-06-15T08:06:12Z</dcterms:modified>
</cp:coreProperties>
</file>