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U.S. Securities and Exchange Commission October 10,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F-3</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Polestar Automotive Holding UK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91"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jc w:val="center"/>
        <w:ind w:right="2240"/>
        <w:spacing w:after="0"/>
        <w:rPr>
          <w:sz w:val="20"/>
          <w:szCs w:val="20"/>
          <w:color w:val="auto"/>
        </w:rPr>
      </w:pPr>
      <w:r>
        <w:rPr>
          <w:rFonts w:ascii="Arial" w:cs="Arial" w:eastAsia="Arial" w:hAnsi="Arial"/>
          <w:sz w:val="14"/>
          <w:szCs w:val="14"/>
          <w:b w:val="1"/>
          <w:bCs w:val="1"/>
          <w:color w:val="auto"/>
        </w:rPr>
        <w:t>3711</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Not Applicable</w:t>
      </w:r>
    </w:p>
    <w:p>
      <w:pPr>
        <w:spacing w:after="0" w:line="36" w:lineRule="exact"/>
        <w:rPr>
          <w:sz w:val="24"/>
          <w:szCs w:val="24"/>
          <w:color w:val="auto"/>
        </w:rPr>
      </w:pPr>
    </w:p>
    <w:p>
      <w:pPr>
        <w:sectPr>
          <w:pgSz w:w="11900" w:h="16838" w:orient="portrait"/>
          <w:cols w:equalWidth="0" w:num="3">
            <w:col w:w="4860" w:space="720"/>
            <w:col w:w="2560" w:space="720"/>
            <w:col w:w="2280"/>
          </w:cols>
          <w:pgMar w:left="320" w:top="230" w:right="439" w:bottom="1440" w:gutter="0" w:footer="0" w:header="0"/>
          <w:type w:val="continuous"/>
        </w:sectPr>
      </w:pPr>
    </w:p>
    <w:p>
      <w:pPr>
        <w:spacing w:after="0" w:line="12" w:lineRule="exact"/>
        <w:rPr>
          <w:sz w:val="24"/>
          <w:szCs w:val="24"/>
          <w:color w:val="auto"/>
        </w:rPr>
      </w:pPr>
    </w:p>
    <w:p>
      <w:pPr>
        <w:ind w:left="1080"/>
        <w:spacing w:after="0"/>
        <w:rPr>
          <w:sz w:val="20"/>
          <w:szCs w:val="20"/>
          <w:color w:val="auto"/>
        </w:rPr>
      </w:pPr>
      <w:r>
        <w:rPr>
          <w:rFonts w:ascii="Arial" w:cs="Arial" w:eastAsia="Arial" w:hAnsi="Arial"/>
          <w:sz w:val="13"/>
          <w:szCs w:val="13"/>
          <w:b w:val="1"/>
          <w:bCs w:val="1"/>
          <w:color w:val="auto"/>
        </w:rPr>
        <w:t>(State or other jurisdiction of</w:t>
      </w:r>
    </w:p>
    <w:p>
      <w:pPr>
        <w:ind w:left="1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w:t>
      </w:r>
    </w:p>
    <w:p>
      <w:pPr>
        <w:ind w:left="2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 w:lineRule="exact"/>
        <w:rPr>
          <w:sz w:val="24"/>
          <w:szCs w:val="24"/>
          <w:color w:val="auto"/>
        </w:rPr>
      </w:pPr>
    </w:p>
    <w:p>
      <w:pPr>
        <w:sectPr>
          <w:pgSz w:w="11900" w:h="16838" w:orient="portrait"/>
          <w:cols w:equalWidth="0" w:num="3">
            <w:col w:w="4100" w:space="720"/>
            <w:col w:w="3120" w:space="720"/>
            <w:col w:w="2480"/>
          </w:cols>
          <w:pgMar w:left="320" w:top="230"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Thomas Ingenlath</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Assar Gabrielssons Väg 9</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405 31 Göteborg, Sweden</w:t>
      </w:r>
    </w:p>
    <w:p>
      <w:pPr>
        <w:sectPr>
          <w:pgSz w:w="11900" w:h="16838" w:orient="portrait"/>
          <w:cols w:equalWidth="0" w:num="1">
            <w:col w:w="11140"/>
          </w:cols>
          <w:pgMar w:left="320" w:top="230" w:right="439" w:bottom="1440" w:gutter="0" w:footer="0" w:header="0"/>
          <w:type w:val="continuous"/>
        </w:sectPr>
      </w:pP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Polestar Automotive Holding USA Inc.</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777 MacArthur Blvd.</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Mahwah, NY 07430</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(949) 735-1834</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Please send copies of all communications to:</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David A. Brown</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Bhanu Mathur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Alston &amp; Bird LLP</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950 F St. NW 20004</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Tel. No.: (202) 239-3300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109855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3"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6"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85" w:lineRule="exact"/>
        <w:rPr>
          <w:sz w:val="24"/>
          <w:szCs w:val="24"/>
          <w:color w:val="auto"/>
        </w:rPr>
      </w:pPr>
    </w:p>
    <w:p>
      <w:pPr>
        <w:ind w:left="120" w:right="100"/>
        <w:spacing w:after="0" w:line="216" w:lineRule="exact"/>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reinvestments plans, check the following box </w:t>
      </w:r>
      <w:r>
        <w:rPr>
          <w:rFonts w:ascii="MS PGothic" w:cs="MS PGothic" w:eastAsia="MS PGothic" w:hAnsi="MS PGothic"/>
          <w:sz w:val="16"/>
          <w:szCs w:val="16"/>
          <w:color w:val="auto"/>
        </w:rPr>
        <w:t>☒</w:t>
      </w:r>
    </w:p>
    <w:p>
      <w:pPr>
        <w:spacing w:after="0" w:line="12" w:lineRule="exact"/>
        <w:rPr>
          <w:sz w:val="24"/>
          <w:szCs w:val="24"/>
          <w:color w:val="auto"/>
        </w:rPr>
      </w:pPr>
    </w:p>
    <w:p>
      <w:pPr>
        <w:ind w:left="120" w:right="40"/>
        <w:spacing w:after="0" w:line="217" w:lineRule="exact"/>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2" w:lineRule="exact"/>
        <w:rPr>
          <w:sz w:val="24"/>
          <w:szCs w:val="24"/>
          <w:color w:val="auto"/>
        </w:rPr>
      </w:pPr>
    </w:p>
    <w:p>
      <w:pPr>
        <w:ind w:left="120" w:right="620"/>
        <w:spacing w:after="0" w:line="217" w:lineRule="exact"/>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120" w:right="600"/>
        <w:spacing w:after="0" w:line="216" w:lineRule="exact"/>
        <w:rPr>
          <w:sz w:val="20"/>
          <w:szCs w:val="20"/>
          <w:color w:val="auto"/>
        </w:rPr>
      </w:pPr>
      <w:r>
        <w:rPr>
          <w:rFonts w:ascii="Arial" w:cs="Arial" w:eastAsia="Arial" w:hAnsi="Arial"/>
          <w:sz w:val="16"/>
          <w:szCs w:val="16"/>
          <w:color w:val="auto"/>
        </w:rPr>
        <w:t>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2" w:lineRule="exact"/>
        <w:rPr>
          <w:sz w:val="24"/>
          <w:szCs w:val="24"/>
          <w:color w:val="auto"/>
        </w:rPr>
      </w:pPr>
    </w:p>
    <w:p>
      <w:pPr>
        <w:ind w:left="120" w:right="140"/>
        <w:spacing w:after="0" w:line="217" w:lineRule="exact"/>
        <w:rPr>
          <w:sz w:val="20"/>
          <w:szCs w:val="20"/>
          <w:color w:val="auto"/>
        </w:rPr>
      </w:pPr>
      <w:r>
        <w:rPr>
          <w:rFonts w:ascii="Arial" w:cs="Arial" w:eastAsia="Arial" w:hAnsi="Arial"/>
          <w:sz w:val="16"/>
          <w:szCs w:val="16"/>
          <w:color w:val="auto"/>
        </w:rPr>
        <w:t>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2"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w:t>
      </w:r>
    </w:p>
    <w:p>
      <w:pPr>
        <w:spacing w:after="0" w:line="22"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Emerging growth company 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200"/>
        <w:spacing w:after="0" w:line="218" w:lineRule="exact"/>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1" w:lineRule="exact"/>
        <w:rPr>
          <w:sz w:val="24"/>
          <w:szCs w:val="24"/>
          <w:color w:val="auto"/>
        </w:rPr>
      </w:pPr>
    </w:p>
    <w:p>
      <w:pPr>
        <w:ind w:left="540" w:right="260" w:hanging="424"/>
        <w:spacing w:after="0" w:line="293"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72390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4" w:lineRule="exact"/>
        <w:rPr>
          <w:sz w:val="24"/>
          <w:szCs w:val="24"/>
          <w:color w:val="auto"/>
        </w:rPr>
      </w:pPr>
    </w:p>
    <w:p>
      <w:pPr>
        <w:ind w:left="120" w:right="100"/>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61"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U.S. SECURITIES AND EXCHANGE COMMISSION IS EFFECTIVE. THIS PROSPECTUS IS NOT AN OFFER TO SELL THESE SECURITIES AND IS NOT SOLICITING AN OFFER TO BUY THESE SECURITIES IN ANY STATE WHERE THE OFFER OR SALE IS NOT PERMITTED.</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OCTOBER 10, 2023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107124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2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00"/>
        <w:spacing w:after="0"/>
        <w:rPr>
          <w:sz w:val="20"/>
          <w:szCs w:val="20"/>
          <w:color w:val="auto"/>
        </w:rPr>
      </w:pPr>
      <w:r>
        <w:rPr>
          <w:rFonts w:ascii="Arial" w:cs="Arial" w:eastAsia="Arial" w:hAnsi="Arial"/>
          <w:sz w:val="23"/>
          <w:szCs w:val="23"/>
          <w:b w:val="1"/>
          <w:bCs w:val="1"/>
          <w:color w:val="auto"/>
        </w:rPr>
        <w:t>$1,000,000,000</w:t>
      </w:r>
    </w:p>
    <w:p>
      <w:pPr>
        <w:spacing w:after="0" w:line="154" w:lineRule="exact"/>
        <w:rPr>
          <w:sz w:val="20"/>
          <w:szCs w:val="20"/>
          <w:color w:val="auto"/>
        </w:rPr>
      </w:pPr>
    </w:p>
    <w:p>
      <w:pPr>
        <w:ind w:left="4780"/>
        <w:spacing w:after="0"/>
        <w:rPr>
          <w:sz w:val="20"/>
          <w:szCs w:val="20"/>
          <w:color w:val="auto"/>
        </w:rPr>
      </w:pPr>
      <w:r>
        <w:rPr>
          <w:rFonts w:ascii="Arial" w:cs="Arial" w:eastAsia="Arial" w:hAnsi="Arial"/>
          <w:sz w:val="23"/>
          <w:szCs w:val="23"/>
          <w:b w:val="1"/>
          <w:bCs w:val="1"/>
          <w:color w:val="auto"/>
        </w:rPr>
        <w:t>Ordinary Shares</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23"/>
          <w:szCs w:val="23"/>
          <w:b w:val="1"/>
          <w:bCs w:val="1"/>
          <w:color w:val="auto"/>
        </w:rPr>
        <w:t>American Depositary Shares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23"/>
          <w:szCs w:val="23"/>
          <w:b w:val="1"/>
          <w:bCs w:val="1"/>
          <w:color w:val="auto"/>
        </w:rPr>
        <w:t>Preferred Stock</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23"/>
          <w:szCs w:val="23"/>
          <w:b w:val="1"/>
          <w:bCs w:val="1"/>
          <w:color w:val="auto"/>
        </w:rPr>
        <w:t>Warrants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23"/>
          <w:szCs w:val="23"/>
          <w:b w:val="1"/>
          <w:bCs w:val="1"/>
          <w:color w:val="auto"/>
        </w:rPr>
        <w:t>Rights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23"/>
          <w:szCs w:val="23"/>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170180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0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This prospectus will allow us to offer and sell from time to time at prices and on terms to be determined at or prior to the time of one or more offerings, up to</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$1,000,000,000 of any combination, together or separately, of Class A Shares, Class A ADSs, Class C-1 Shares, Class C-1 ADSs, preferred stock, warrants, units, or any</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combination thereof as described in this prospectus. Any ADS will represent a specified number of ordinary shares. The warrants may be convertible into or exercisable</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exchangeable for ordinary shares.</w:t>
      </w:r>
    </w:p>
    <w:p>
      <w:pPr>
        <w:spacing w:after="0" w:line="15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6"/>
          <w:szCs w:val="16"/>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carefully read this prospectus, any amendment, any prospectus supplement, and any free writing prospectus, as well as any documents incorporated in any of the foregoing by reference, before you invest in our securities. This prospectus may not be used to sell our securities unless accompanied by a prospectus supplement.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Our Class A ADSs are listed on the Nasdaq, under the trading symbol “PSNY”. On October 9, 2023, the closing price for our Class A ADSs on Nasdaq was</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$2.69. Our Class C-1 ADSs are listed on Nasdaq, under the trading symbol “PSNYW”. On October 9, 2023, the closing price for our Class C-1 ADSs on Nasdaq was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$0.4018. We also have issued and outstanding Class C-2 ADSs representing Class C-2 Shares, which are not traded on a securities exchange.</w:t>
      </w:r>
    </w:p>
    <w:p>
      <w:pPr>
        <w:spacing w:after="0" w:line="163" w:lineRule="exact"/>
        <w:rPr>
          <w:sz w:val="20"/>
          <w:szCs w:val="20"/>
          <w:color w:val="auto"/>
        </w:rPr>
      </w:pPr>
    </w:p>
    <w:p>
      <w:pPr>
        <w:ind w:left="120" w:firstLine="440"/>
        <w:spacing w:after="0" w:line="273" w:lineRule="auto"/>
        <w:rPr>
          <w:sz w:val="20"/>
          <w:szCs w:val="20"/>
          <w:color w:val="auto"/>
        </w:rPr>
      </w:pPr>
      <w:r>
        <w:rPr>
          <w:rFonts w:ascii="Arial" w:cs="Arial" w:eastAsia="Arial" w:hAnsi="Arial"/>
          <w:sz w:val="16"/>
          <w:szCs w:val="16"/>
          <w:color w:val="auto"/>
        </w:rPr>
        <w:t>We may offer and sell our securities in one offering or in separate offerings,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8"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20"/>
          <w:szCs w:val="20"/>
          <w:b w:val="1"/>
          <w:bCs w:val="1"/>
          <w:color w:val="auto"/>
        </w:rPr>
        <w:t>INVESTING IN OUR SECURITIES INVOLVES A HIGH DEGREE OF RISK. YOU SHOULD REVIEW CAREFULLY THE RISKS AND UNCERTAINTIES REFERENCED UNDER THE HEADING “</w:t>
      </w:r>
      <w:r>
        <w:rPr>
          <w:rFonts w:ascii="Arial" w:cs="Arial" w:eastAsia="Arial" w:hAnsi="Arial"/>
          <w:sz w:val="20"/>
          <w:szCs w:val="20"/>
          <w:b w:val="1"/>
          <w:bCs w:val="1"/>
          <w:u w:val="single" w:color="auto"/>
          <w:color w:val="0000EE"/>
        </w:rPr>
        <w:t>RISK FACTORS</w:t>
      </w:r>
      <w:r>
        <w:rPr>
          <w:rFonts w:ascii="Arial" w:cs="Arial" w:eastAsia="Arial" w:hAnsi="Arial"/>
          <w:sz w:val="20"/>
          <w:szCs w:val="20"/>
          <w:b w:val="1"/>
          <w:bCs w:val="1"/>
          <w:color w:val="auto"/>
        </w:rPr>
        <w:t>" ON PAGE 6 OF THIS PROSPECTUS AS WELL AS THOSE CONTAINED IN THE APPLICABLE PROSPECTUS SUPPLEMENT AND ANY RELATED FREE WRITING PROSPECTUS, AND IN THE OTHER DOCUMENTS THAT ARE INCORPORATED BY REFERENCE INTO THIS PROSPECTUS OR THE APPLICABLE PROSPECTUS SUPPLEMENT.</w:t>
      </w:r>
    </w:p>
    <w:p>
      <w:pPr>
        <w:spacing w:after="0" w:line="117" w:lineRule="exact"/>
        <w:rPr>
          <w:sz w:val="20"/>
          <w:szCs w:val="20"/>
          <w:color w:val="auto"/>
        </w:rPr>
      </w:pPr>
    </w:p>
    <w:p>
      <w:pPr>
        <w:ind w:left="120" w:right="400" w:firstLine="440"/>
        <w:spacing w:after="0" w:line="335" w:lineRule="auto"/>
        <w:rPr>
          <w:sz w:val="20"/>
          <w:szCs w:val="20"/>
          <w:color w:val="auto"/>
        </w:rPr>
      </w:pPr>
      <w:r>
        <w:rPr>
          <w:rFonts w:ascii="Arial" w:cs="Arial" w:eastAsia="Arial" w:hAnsi="Arial"/>
          <w:sz w:val="14"/>
          <w:szCs w:val="14"/>
          <w:color w:val="auto"/>
        </w:rPr>
        <w:t>We are a “foreign private issuer” as defined under the U.S. federal securities laws and, as such, may elect to comply with certain reduced public company disclosure and reporting requirements. We are also a “controlled company” as defined under Nasdaq listing rules and, as such, may elect not to comply with certain corporate governance requirements. See “Prospectus Summary—Foreign Private Issuer” and “Prospectus Summary—Controlled Company.”</w:t>
      </w:r>
    </w:p>
    <w:p>
      <w:pPr>
        <w:spacing w:after="0" w:line="8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Neither the U.S.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140970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0" w:lineRule="exact"/>
        <w:rPr>
          <w:sz w:val="20"/>
          <w:szCs w:val="20"/>
          <w:color w:val="auto"/>
        </w:rPr>
      </w:pPr>
    </w:p>
    <w:tbl>
      <w:tblPr>
        <w:tblLayout w:type="fixed"/>
        <w:tblInd w:w="4400" w:type="dxa"/>
        <w:tblCellMar>
          <w:top w:w="0" w:type="dxa"/>
          <w:left w:w="0" w:type="dxa"/>
          <w:bottom w:w="0" w:type="dxa"/>
          <w:right w:w="0" w:type="dxa"/>
        </w:tblCellMar>
      </w:tblPr>
      <w:tr>
        <w:trPr>
          <w:trHeight w:val="210"/>
        </w:trPr>
        <w:tc>
          <w:tcPr>
            <w:tcW w:w="1620" w:type="dxa"/>
            <w:vAlign w:val="bottom"/>
          </w:tcPr>
          <w:p>
            <w:pPr>
              <w:spacing w:after="0"/>
              <w:rPr>
                <w:sz w:val="20"/>
                <w:szCs w:val="20"/>
                <w:color w:val="auto"/>
              </w:rPr>
            </w:pPr>
            <w:r>
              <w:rPr>
                <w:rFonts w:ascii="Arial" w:cs="Arial" w:eastAsia="Arial" w:hAnsi="Arial"/>
                <w:sz w:val="16"/>
                <w:szCs w:val="16"/>
                <w:b w:val="1"/>
                <w:bCs w:val="1"/>
                <w:color w:val="auto"/>
              </w:rPr>
              <w:t>Prospectus dated</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 2023</w:t>
            </w:r>
          </w:p>
        </w:tc>
      </w:tr>
    </w:tbl>
    <w:p>
      <w:pPr>
        <w:sectPr>
          <w:pgSz w:w="11900" w:h="16838" w:orient="portrait"/>
          <w:cols w:equalWidth="0" w:num="1">
            <w:col w:w="11120"/>
          </w:cols>
          <w:pgMar w:left="320" w:top="459" w:right="45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40" w:type="dxa"/>
            <w:vAlign w:val="bottom"/>
            <w:gridSpan w:val="25"/>
          </w:tcPr>
          <w:p>
            <w:pPr>
              <w:spacing w:after="0"/>
              <w:rPr>
                <w:sz w:val="20"/>
                <w:szCs w:val="20"/>
                <w:color w:val="auto"/>
              </w:rPr>
            </w:pPr>
            <w:r>
              <w:rPr>
                <w:rFonts w:ascii="Arial" w:cs="Arial" w:eastAsia="Arial" w:hAnsi="Arial"/>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4"/>
          </w:tcPr>
          <w:p>
            <w:pPr>
              <w:jc w:val="center"/>
              <w:ind w:right="2120"/>
              <w:spacing w:after="0"/>
              <w:rPr>
                <w:sz w:val="20"/>
                <w:szCs w:val="20"/>
                <w:color w:val="auto"/>
              </w:rPr>
            </w:pPr>
            <w:r>
              <w:rPr>
                <w:rFonts w:ascii="Arial" w:cs="Arial" w:eastAsia="Arial" w:hAnsi="Arial"/>
                <w:sz w:val="18"/>
                <w:szCs w:val="18"/>
                <w:b w:val="1"/>
                <w:bCs w:val="1"/>
                <w:color w:val="auto"/>
                <w:w w:val="98"/>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8"/>
                <w:szCs w:val="18"/>
                <w:color w:val="0000EE"/>
              </w:rPr>
              <w:t>ABOUT THIS PROSPECTUS</w:t>
            </w:r>
          </w:p>
        </w:tc>
        <w:tc>
          <w:tcPr>
            <w:tcW w:w="23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6"/>
              </w:rPr>
              <w:t>PRESENTATION OF FINANCIAL INFORMATION</w:t>
            </w:r>
          </w:p>
        </w:tc>
        <w:tc>
          <w:tcPr>
            <w:tcW w:w="474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304"/>
        </w:trPr>
        <w:tc>
          <w:tcPr>
            <w:tcW w:w="12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8"/>
                <w:szCs w:val="18"/>
                <w:color w:val="0000EE"/>
              </w:rPr>
              <w:t>TRADEMARKS, SERVICE MARKS AND TRADE NAMES</w:t>
            </w:r>
          </w:p>
        </w:tc>
        <w:tc>
          <w:tcPr>
            <w:tcW w:w="234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304"/>
        </w:trPr>
        <w:tc>
          <w:tcPr>
            <w:tcW w:w="120" w:type="dxa"/>
            <w:vAlign w:val="bottom"/>
          </w:tcPr>
          <w:p>
            <w:pPr>
              <w:spacing w:after="0"/>
              <w:rPr>
                <w:sz w:val="24"/>
                <w:szCs w:val="24"/>
                <w:color w:val="auto"/>
              </w:rPr>
            </w:pPr>
          </w:p>
        </w:tc>
        <w:tc>
          <w:tcPr>
            <w:tcW w:w="304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8"/>
                <w:szCs w:val="18"/>
                <w:color w:val="0000EE"/>
                <w:w w:val="95"/>
              </w:rPr>
              <w:t>CURRENCY AND EXCHANGE RATES</w:t>
            </w:r>
          </w:p>
        </w:tc>
        <w:tc>
          <w:tcPr>
            <w:tcW w:w="1460" w:type="dxa"/>
            <w:vAlign w:val="bottom"/>
            <w:tcBorders>
              <w:top w:val="single" w:sz="8" w:color="0000EE"/>
            </w:tcBorders>
            <w:gridSpan w:val="7"/>
          </w:tcPr>
          <w:p>
            <w:pPr>
              <w:spacing w:after="0"/>
              <w:rPr>
                <w:sz w:val="24"/>
                <w:szCs w:val="24"/>
                <w:color w:val="auto"/>
              </w:rPr>
            </w:pPr>
          </w:p>
        </w:tc>
        <w:tc>
          <w:tcPr>
            <w:tcW w:w="412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304"/>
        </w:trPr>
        <w:tc>
          <w:tcPr>
            <w:tcW w:w="12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8"/>
                <w:szCs w:val="18"/>
                <w:color w:val="0000EE"/>
              </w:rPr>
              <w:t>INDUSTRY AND MARKET DATA</w:t>
            </w:r>
          </w:p>
        </w:tc>
        <w:tc>
          <w:tcPr>
            <w:tcW w:w="234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304"/>
        </w:trPr>
        <w:tc>
          <w:tcPr>
            <w:tcW w:w="120" w:type="dxa"/>
            <w:vAlign w:val="bottom"/>
          </w:tcPr>
          <w:p>
            <w:pPr>
              <w:spacing w:after="0"/>
              <w:rPr>
                <w:sz w:val="24"/>
                <w:szCs w:val="24"/>
                <w:color w:val="auto"/>
              </w:rPr>
            </w:pPr>
          </w:p>
        </w:tc>
        <w:tc>
          <w:tcPr>
            <w:tcW w:w="26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CERTAIN DEFINED TERMS</w:t>
            </w:r>
          </w:p>
        </w:tc>
        <w:tc>
          <w:tcPr>
            <w:tcW w:w="5980" w:type="dxa"/>
            <w:vAlign w:val="bottom"/>
            <w:gridSpan w:val="1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iv</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1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5"/>
              </w:rPr>
              <w:t>INCORPORATION OF CERTAIN INFORMATION BY REFERENCE</w:t>
            </w:r>
          </w:p>
        </w:tc>
        <w:tc>
          <w:tcPr>
            <w:tcW w:w="3440" w:type="dxa"/>
            <w:vAlign w:val="bottom"/>
            <w:gridSpan w:val="3"/>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vi</w:t>
            </w:r>
          </w:p>
        </w:tc>
      </w:tr>
      <w:tr>
        <w:trPr>
          <w:trHeight w:val="304"/>
        </w:trPr>
        <w:tc>
          <w:tcPr>
            <w:tcW w:w="120" w:type="dxa"/>
            <w:vAlign w:val="bottom"/>
          </w:tcPr>
          <w:p>
            <w:pPr>
              <w:spacing w:after="0"/>
              <w:rPr>
                <w:sz w:val="24"/>
                <w:szCs w:val="24"/>
                <w:color w:val="auto"/>
              </w:rPr>
            </w:pPr>
          </w:p>
        </w:tc>
        <w:tc>
          <w:tcPr>
            <w:tcW w:w="57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6"/>
              </w:rPr>
              <w:t>CAUTIONARY NOTE REGARDING FORWARD-LOOKING STATEMENTS</w:t>
            </w:r>
          </w:p>
        </w:tc>
        <w:tc>
          <w:tcPr>
            <w:tcW w:w="284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vii</w:t>
            </w:r>
          </w:p>
        </w:tc>
      </w:tr>
      <w:tr>
        <w:trPr>
          <w:trHeight w:val="304"/>
        </w:trPr>
        <w:tc>
          <w:tcPr>
            <w:tcW w:w="12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8"/>
                <w:szCs w:val="18"/>
                <w:color w:val="0000EE"/>
              </w:rPr>
              <w:t>PROSPECTUS SUMMARY</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208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RISK FACTORS</w:t>
            </w:r>
          </w:p>
        </w:tc>
        <w:tc>
          <w:tcPr>
            <w:tcW w:w="6540" w:type="dxa"/>
            <w:vAlign w:val="bottom"/>
            <w:gridSpan w:val="1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USE OF PROCEEDS</w:t>
            </w:r>
          </w:p>
        </w:tc>
        <w:tc>
          <w:tcPr>
            <w:tcW w:w="7040" w:type="dxa"/>
            <w:vAlign w:val="bottom"/>
            <w:gridSpan w:val="19"/>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120" w:type="dxa"/>
            <w:vAlign w:val="bottom"/>
          </w:tcPr>
          <w:p>
            <w:pPr>
              <w:spacing w:after="0"/>
              <w:rPr>
                <w:sz w:val="24"/>
                <w:szCs w:val="24"/>
                <w:color w:val="auto"/>
              </w:rPr>
            </w:pPr>
          </w:p>
        </w:tc>
        <w:tc>
          <w:tcPr>
            <w:tcW w:w="570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5"/>
              </w:rPr>
              <w:t>DESCRIPTION OF SHARE CAPITAL AND ARTICLES OF ASSOCIATION</w:t>
            </w:r>
          </w:p>
        </w:tc>
        <w:tc>
          <w:tcPr>
            <w:tcW w:w="292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2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8"/>
                <w:szCs w:val="18"/>
                <w:color w:val="0000EE"/>
              </w:rPr>
              <w:t>DESCRIPTION OF AMERICAN DEPOSITARY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0" w:type="dxa"/>
            <w:vAlign w:val="bottom"/>
          </w:tcPr>
          <w:p>
            <w:pPr>
              <w:spacing w:after="0"/>
              <w:rPr>
                <w:sz w:val="24"/>
                <w:szCs w:val="24"/>
                <w:color w:val="auto"/>
              </w:rPr>
            </w:pPr>
          </w:p>
        </w:tc>
        <w:tc>
          <w:tcPr>
            <w:tcW w:w="248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4"/>
              </w:rPr>
              <w:t>DESCRIPTION OF WARRANTS</w:t>
            </w:r>
          </w:p>
        </w:tc>
        <w:tc>
          <w:tcPr>
            <w:tcW w:w="1840" w:type="dxa"/>
            <w:vAlign w:val="bottom"/>
            <w:tcBorders>
              <w:top w:val="single" w:sz="8" w:color="0000EE"/>
            </w:tcBorders>
            <w:gridSpan w:val="8"/>
          </w:tcPr>
          <w:p>
            <w:pPr>
              <w:spacing w:after="0"/>
              <w:rPr>
                <w:sz w:val="24"/>
                <w:szCs w:val="24"/>
                <w:color w:val="auto"/>
              </w:rPr>
            </w:pPr>
          </w:p>
        </w:tc>
        <w:tc>
          <w:tcPr>
            <w:tcW w:w="4300" w:type="dxa"/>
            <w:vAlign w:val="bottom"/>
            <w:gridSpan w:val="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8"/>
                <w:szCs w:val="18"/>
                <w:color w:val="0000EE"/>
              </w:rPr>
              <w:t>DESCRIPTION OF PREFERRED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0" w:type="dxa"/>
            <w:vAlign w:val="bottom"/>
          </w:tcPr>
          <w:p>
            <w:pPr>
              <w:spacing w:after="0"/>
              <w:rPr>
                <w:sz w:val="24"/>
                <w:szCs w:val="24"/>
                <w:color w:val="auto"/>
              </w:rPr>
            </w:pPr>
          </w:p>
        </w:tc>
        <w:tc>
          <w:tcPr>
            <w:tcW w:w="22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95"/>
              </w:rPr>
              <w:t>DESCRIPTION OF RIGHTS</w:t>
            </w:r>
          </w:p>
        </w:tc>
        <w:tc>
          <w:tcPr>
            <w:tcW w:w="1040" w:type="dxa"/>
            <w:vAlign w:val="bottom"/>
            <w:tcBorders>
              <w:top w:val="single" w:sz="8" w:color="0000EE"/>
            </w:tcBorders>
            <w:gridSpan w:val="4"/>
          </w:tcPr>
          <w:p>
            <w:pPr>
              <w:spacing w:after="0"/>
              <w:rPr>
                <w:sz w:val="24"/>
                <w:szCs w:val="24"/>
                <w:color w:val="auto"/>
              </w:rPr>
            </w:pPr>
          </w:p>
        </w:tc>
        <w:tc>
          <w:tcPr>
            <w:tcW w:w="5380" w:type="dxa"/>
            <w:vAlign w:val="bottom"/>
            <w:gridSpan w:val="10"/>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0" w:type="dxa"/>
            <w:vAlign w:val="bottom"/>
          </w:tcPr>
          <w:p>
            <w:pPr>
              <w:spacing w:after="0"/>
              <w:rPr>
                <w:sz w:val="24"/>
                <w:szCs w:val="24"/>
                <w:color w:val="auto"/>
              </w:rPr>
            </w:pPr>
          </w:p>
        </w:tc>
        <w:tc>
          <w:tcPr>
            <w:tcW w:w="20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4"/>
              </w:rPr>
              <w:t>DESCRIPTION OF UNITS</w:t>
            </w:r>
          </w:p>
        </w:tc>
        <w:tc>
          <w:tcPr>
            <w:tcW w:w="6600" w:type="dxa"/>
            <w:vAlign w:val="bottom"/>
            <w:gridSpan w:val="1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2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8"/>
                <w:szCs w:val="18"/>
                <w:color w:val="0000EE"/>
              </w:rPr>
              <w:t>PLAN OF DISTRIBUTION</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20" w:type="dxa"/>
            <w:vAlign w:val="bottom"/>
          </w:tcPr>
          <w:p>
            <w:pPr>
              <w:spacing w:after="0"/>
              <w:rPr>
                <w:sz w:val="24"/>
                <w:szCs w:val="24"/>
                <w:color w:val="auto"/>
              </w:rPr>
            </w:pPr>
          </w:p>
        </w:tc>
        <w:tc>
          <w:tcPr>
            <w:tcW w:w="9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7"/>
              </w:rPr>
              <w:t>TAXATION</w:t>
            </w:r>
          </w:p>
        </w:tc>
        <w:tc>
          <w:tcPr>
            <w:tcW w:w="1140" w:type="dxa"/>
            <w:vAlign w:val="bottom"/>
            <w:tcBorders>
              <w:top w:val="single" w:sz="8" w:color="0000EE"/>
            </w:tcBorders>
            <w:gridSpan w:val="6"/>
          </w:tcPr>
          <w:p>
            <w:pPr>
              <w:spacing w:after="0"/>
              <w:rPr>
                <w:sz w:val="24"/>
                <w:szCs w:val="24"/>
                <w:color w:val="auto"/>
              </w:rPr>
            </w:pPr>
          </w:p>
        </w:tc>
        <w:tc>
          <w:tcPr>
            <w:tcW w:w="6580" w:type="dxa"/>
            <w:vAlign w:val="bottom"/>
            <w:gridSpan w:val="16"/>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12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8"/>
                <w:szCs w:val="18"/>
                <w:color w:val="0000EE"/>
              </w:rPr>
              <w:t>ENFORCEABILITY OF CERTAIN CIVIL LIABILITIES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04"/>
        </w:trPr>
        <w:tc>
          <w:tcPr>
            <w:tcW w:w="12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3"/>
              </w:rPr>
              <w:t>EXPENSES RELATED TO THE OFFERING</w:t>
            </w:r>
          </w:p>
        </w:tc>
        <w:tc>
          <w:tcPr>
            <w:tcW w:w="860" w:type="dxa"/>
            <w:vAlign w:val="bottom"/>
            <w:tcBorders>
              <w:top w:val="single" w:sz="8" w:color="0000EE"/>
            </w:tcBorders>
            <w:gridSpan w:val="3"/>
          </w:tcPr>
          <w:p>
            <w:pPr>
              <w:spacing w:after="0"/>
              <w:rPr>
                <w:sz w:val="24"/>
                <w:szCs w:val="24"/>
                <w:color w:val="auto"/>
              </w:rPr>
            </w:pPr>
          </w:p>
        </w:tc>
        <w:tc>
          <w:tcPr>
            <w:tcW w:w="4420" w:type="dxa"/>
            <w:vAlign w:val="bottom"/>
            <w:gridSpan w:val="6"/>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12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8"/>
                <w:szCs w:val="18"/>
                <w:color w:val="0000EE"/>
              </w:rPr>
              <w:t>MATERIAL CHANGES</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6"/>
              </w:rPr>
              <w:t>LEGAL MATTERS</w:t>
            </w:r>
          </w:p>
        </w:tc>
        <w:tc>
          <w:tcPr>
            <w:tcW w:w="340" w:type="dxa"/>
            <w:vAlign w:val="bottom"/>
            <w:tcBorders>
              <w:top w:val="single" w:sz="8" w:color="0000EE"/>
            </w:tcBorders>
            <w:gridSpan w:val="2"/>
          </w:tcPr>
          <w:p>
            <w:pPr>
              <w:spacing w:after="0"/>
              <w:rPr>
                <w:sz w:val="24"/>
                <w:szCs w:val="24"/>
                <w:color w:val="auto"/>
              </w:rPr>
            </w:pPr>
          </w:p>
        </w:tc>
        <w:tc>
          <w:tcPr>
            <w:tcW w:w="6820" w:type="dxa"/>
            <w:vAlign w:val="bottom"/>
            <w:gridSpan w:val="18"/>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04"/>
        </w:trPr>
        <w:tc>
          <w:tcPr>
            <w:tcW w:w="12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8"/>
                <w:szCs w:val="18"/>
                <w:color w:val="0000EE"/>
              </w:rPr>
              <w:t>EXPERTS</w:t>
            </w:r>
          </w:p>
        </w:tc>
        <w:tc>
          <w:tcPr>
            <w:tcW w:w="2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5"/>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8"/>
                <w:szCs w:val="18"/>
                <w:color w:val="0000EE"/>
              </w:rPr>
              <w:t>WHERE YOU CAN FIND MORE INFORMATION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85"/>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gridSpan w:val="3"/>
          </w:tcPr>
          <w:p>
            <w:pPr>
              <w:jc w:val="center"/>
              <w:ind w:right="2800"/>
              <w:spacing w:after="0"/>
              <w:rPr>
                <w:sz w:val="20"/>
                <w:szCs w:val="20"/>
                <w:color w:val="auto"/>
              </w:rPr>
            </w:pPr>
            <w:r>
              <w:rPr>
                <w:rFonts w:ascii="Arial" w:cs="Arial" w:eastAsia="Arial" w:hAnsi="Arial"/>
                <w:sz w:val="18"/>
                <w:szCs w:val="18"/>
                <w:color w:val="auto"/>
                <w:w w:val="98"/>
              </w:rPr>
              <w:t>i</w:t>
            </w:r>
          </w:p>
        </w:tc>
        <w:tc>
          <w:tcPr>
            <w:tcW w:w="234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This prospectus is part of a registration statement on Form F-3 that we filed with the Securities and Exchange Commission, or the SEC, utilizing a “shelf” registration process. Under this shelf registration process, we may, from time to time, offer and sell separately or together in any combination the securities described in this prospectus in one or more offerings for an aggregate offering price of up to $1,000,000,000.</w:t>
      </w:r>
    </w:p>
    <w:p>
      <w:pPr>
        <w:spacing w:after="0" w:line="165"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If there is any inconsistency between the information in this prospectus and any applicable prospectus supplement, you should rely on the information contained in that particular prospectus supplement. This prospectus, and information incorporated by reference herein, includes important information about us, the securities being offered by us and other information you should know before investing. This prospectus does not contain all of the information provided in the registration statement that we filed with the SEC. Before purchasing any securities, you should read this prospectus and any prospectus supplement, together with the additional information described under the headings </w:t>
      </w:r>
      <w:r>
        <w:rPr>
          <w:rFonts w:ascii="Arial" w:cs="Arial" w:eastAsia="Arial" w:hAnsi="Arial"/>
          <w:sz w:val="17"/>
          <w:szCs w:val="17"/>
          <w:i w:val="1"/>
          <w:iCs w:val="1"/>
          <w:color w:val="auto"/>
        </w:rPr>
        <w:t>“Where You Can Find Additional Information”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“Information Incorporated by Reference.”</w:t>
      </w:r>
    </w:p>
    <w:p>
      <w:pPr>
        <w:spacing w:after="0" w:line="174"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and any applicable prospectus supplement. We have not authorized anyone to provide you with any information or to make any representations other than those contained in this prospectus, or in any applicable prospectus supplement prepared by or on behalf of us or to which we have referred you. You should assume that the information appearing in this prospectus or any prospectus supplement is accurate only as of the date on its respective cover page and that any information incorporated by reference into any of the foregoing is accurate only as of the date of such document incorporated by reference. Our business, financial condition, results of operations and prospects may have changed since those dates.</w:t>
      </w:r>
    </w:p>
    <w:p>
      <w:pPr>
        <w:spacing w:after="0" w:line="164"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are not making an offer to sell the securities covered by this prospectus in any jurisdiction where the offer or sale is not permitted. Except as otherwise set forth in this prospectus, we have not taken any action to permit a public offering of these securities outside the U.S. or to permit the possession or distribution of this prospectus outside the U.S. Any persons outside the U.S. who come into possession of this prospectus must inform themselves of and observe any restrictions relating to the offering of these securities and the distribution of this prospectus outside the U.S.</w:t>
      </w:r>
    </w:p>
    <w:p>
      <w:pPr>
        <w:spacing w:after="0" w:line="15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We may offer and sell the securities directly to purchasers, through agents, to or through underwriters or dealers or any other method permitted pursuant to applicable law. A prospectus supplement, if required, may describe the terms of the plan of distribution and set forth the names of any agents, underwriters (if applicable) or dealers involved in the sale of securities. See “</w:t>
      </w:r>
      <w:r>
        <w:rPr>
          <w:rFonts w:ascii="Arial" w:cs="Arial" w:eastAsia="Arial" w:hAnsi="Arial"/>
          <w:sz w:val="17"/>
          <w:szCs w:val="17"/>
          <w:i w:val="1"/>
          <w:iCs w:val="1"/>
          <w:color w:val="auto"/>
        </w:rPr>
        <w:t>Plan of Distribution</w:t>
      </w:r>
      <w:r>
        <w:rPr>
          <w:rFonts w:ascii="Arial" w:cs="Arial" w:eastAsia="Arial" w:hAnsi="Arial"/>
          <w:sz w:val="17"/>
          <w:szCs w:val="17"/>
          <w:color w:val="auto"/>
        </w:rPr>
        <w:t>.”</w:t>
      </w:r>
    </w:p>
    <w:p>
      <w:pPr>
        <w:spacing w:after="0" w:line="16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the terms “Polestar,” “the company,” “we,” “us” and “our” refer to Polestar Automotive Holding UK PLC and its subsidiaries.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financial statements of Polestar Automotive Holding UK PLC (formerly known as Polestar Automotive Holding UK Limited) incorporated in this prospectus by reference were prepared in accordance with International Financial Reporting Standards (“IFRS”) as issued by the International Accounting Standards Board (“IASB”) and are denominated in U.S. dollars.</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7"/>
          <w:szCs w:val="17"/>
          <w:color w:val="auto"/>
        </w:rPr>
        <w:t xml:space="preserve">This prospectus includes, and information incorporated by reference herein may include, trademarks, trade names and service marks, certain of which belong to Polestar or Polestar’s affiliates and others that are the property of other organizations. The Polestar logo and other trademarks or service marks of Polestar appearing or incorporated by reference in this prospectus are the property of Polestar. Solely for convenience, trademarks, trade names and service marks referred to in this prospectus, or that may be incorporated by reference herein,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TM and SM symbols, but the absence of those symbols is not intended to indicate, in any way, that Polestar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CURRENCY AND EXCHANGE RATES</w:t>
      </w:r>
    </w:p>
    <w:p>
      <w:pPr>
        <w:spacing w:after="0" w:line="22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this prospectus, unless otherwise specified, all monetary amounts are in U.S. dollars and all references to “$” mean U.S. dollars. Certain monetary amounts described herein have been expressed in U.S. dollars for convenience only and, when expressed in U.S. dollars in the future, such amounts may be different from those set forth herein due to intervening exchange rate fluctuations.</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Unless otherwise indicated, information contained or incorporated by reference in this prospectus concerning Polestar’s industry, including Polestar’s general expectations and market position, market opportunity and market share, is based on information obtained from various independent sources and reports, as well as management estimates. Polestar has not independently verified the accuracy or completeness of any third-party information. While Polestar believes that the market data, industry forecasts and similar information included or incorporated by reference in this prospectus are generally reliable, such information is inherently imprecise. Forecasts and other forward-looking information obtained from third parties are subject to the same qualifications and uncertainties as the other forward-looking statements in this prospectus or that are incorporated by reference herein. In addition, assumptions and estimates of Polestar’s future performance and growth objectives and the future performance of its industry and the markets in which it operates are necessarily subject to a high degree of uncertainty and risk due to a variety of factors, including those discussed under the headings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CERTAIN DEFINED TERMS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 Annual Report” means the Company’s Annual Report on Form 20-F for the year ended December 31,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“ADR Facility” means the Company’s facilities for the deposit of ADRs established with the depositary.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 means Class A ADSs and Class C ADSs.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 means Polestar’s merger with GGI.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means the three classes of directors designated as “Class I”, “Class II”, “Class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A ADS” means Class A American Depositary Shares representing Class A Ordinary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A Shares” means Class A ordinary shares of nominal value $0.01 each.</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B Shares” means Class B ordinary shares of nominal value $0.01 each.</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C ADS” means the Class C-1 ADS and Class C-2 ADS.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C-1 ADS” means Class C-1 American Depositary Shares representing Class C-1 Ordinary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C-2 ADS” means Class C-2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C Shares” means the Class C-1 Shares and Class C-2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C-1 Shares” means Class C-1 ordinary shares of nominal value $0.10 each.</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C-2 Shares” means Class C-2 ordinary shares of nominal value $0.10 each.</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“Closing” means the closing of the Business Combination.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“Companies Act” means the Companies Act of 2006.</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means Polestar Automotive Holding UK PLC.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Shares” means Deferred Shares of nominal value of $0.01 each.</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“DGCL” means the Delaware General Corporation Law.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“Exchange Act” means the Securities Exchange Act of 1934.</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“Former Parent” means Polestar Automotive Holding Limited, a Hong Kong incorporated company, which is in the process of completing its voluntary liquidation that commenced on October 19, 2022.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“GBP Redeemable Preferred Shares” means GBP Redeemable Preferred Shares of nominal value GBP 1.00 each.</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320" w:top="459"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“Geely” means Zhejiang Geely Holding Group Company Limited.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“GGI” means Gores Guggenheim,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“IASB” means International Accounting Standards Board.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“IFRS” means International Financial Reporting Standards.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“Initial Directors” means the initial nine directors of 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“IRS” means the U.S. Internal Revenue Service.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“Joint Venture” means the joint venture between a subsidiary of the Company and Hubei Xingji Meizu Group Co., Ltd.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means Nasdaq Stock Market LLC.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“Polestar Articles” means the Articles of Association of Polestar.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“Polestar Singapore” means Polestar Automotive (Singapore) Pte. Ltd., a private company limited by shares in Singapore.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“Polestar Sweden” means Polestar Holding AB, a private limited liability company incorporated under the laws of Sweden.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Act” means the Securities Act of 1933.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“Treasury Regulations” means existing and proposed Treasury regulations promulgated under the Code.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“Volvo Cars” means Volvo Car AB (publ) and its subsidiaries.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“Volvo Cars Preference Subscription Shares” means the mandatory convertible preference shares of the Company purchased by Volvo Cars pursuant to a subscription agreement, dated September 27, 2021, as amended.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40"/>
          </w:cols>
          <w:pgMar w:left="320" w:top="459"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SEC allows us to incorporate by reference the information we file with it, which means that:</w:t>
      </w:r>
    </w:p>
    <w:p>
      <w:pPr>
        <w:spacing w:after="0" w:line="131"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can disclose important information to you by referring to those documents; and</w:t>
      </w:r>
    </w:p>
    <w:p>
      <w:pPr>
        <w:spacing w:after="0" w:line="130"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that we file with the SEC in the future and incorporate by reference herein will automatically update and supersede information in this prospectus and information previously incorporated by reference herein.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that we incorporate by reference is an important part of this prospectus.</w:t>
      </w:r>
    </w:p>
    <w:p>
      <w:pPr>
        <w:spacing w:after="0" w:line="225"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Any statement contained in such incorporated documents shall be deemed to be modified or superseded for the purpose of this prospectus to the extent that a subsequent statement contained in another document we incorporate by reference at a later date modifies or supersedes that statement. Any such statement so modified or superseded shall not be deemed, except as so modified or superseded, to constitute a part of this prospectus.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incorporate herein by reference:</w:t>
      </w:r>
    </w:p>
    <w:p>
      <w:pPr>
        <w:spacing w:after="0" w:line="131"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w:t>
      </w:r>
      <w:hyperlink r:id="rId30">
        <w:r>
          <w:rPr>
            <w:rFonts w:ascii="Arial" w:cs="Arial" w:eastAsia="Arial" w:hAnsi="Arial"/>
            <w:sz w:val="18"/>
            <w:szCs w:val="18"/>
            <w:u w:val="single" w:color="auto"/>
            <w:color w:val="0000EE"/>
          </w:rPr>
          <w:t>2022 Annual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April 14, 2023</w:t>
      </w:r>
    </w:p>
    <w:p>
      <w:pPr>
        <w:spacing w:after="0" w:line="130" w:lineRule="exact"/>
        <w:rPr>
          <w:rFonts w:ascii="Arial" w:cs="Arial" w:eastAsia="Arial" w:hAnsi="Arial"/>
          <w:sz w:val="18"/>
          <w:szCs w:val="18"/>
          <w:color w:val="auto"/>
        </w:rPr>
      </w:pPr>
    </w:p>
    <w:p>
      <w:pPr>
        <w:ind w:left="1080" w:right="600" w:hanging="424"/>
        <w:spacing w:after="0" w:line="263" w:lineRule="auto"/>
        <w:tabs>
          <w:tab w:leader="none" w:pos="1080"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our Reports on Form 6-K (excluding any information and/or exhibits identified therein as not being deemed “filed” for purposes of Section 18 of the Exchange Act) filed with the SEC on </w:t>
      </w:r>
      <w:hyperlink r:id="rId31">
        <w:r>
          <w:rPr>
            <w:rFonts w:ascii="Arial" w:cs="Arial" w:eastAsia="Arial" w:hAnsi="Arial"/>
            <w:sz w:val="18"/>
            <w:szCs w:val="18"/>
            <w:u w:val="single" w:color="auto"/>
            <w:color w:val="0000EE"/>
          </w:rPr>
          <w:t>May 11, 2023</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June 20, 2023</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August 31, 2023 (financial results)</w:t>
        </w:r>
      </w:hyperlink>
      <w:r>
        <w:rPr>
          <w:rFonts w:ascii="Arial" w:cs="Arial" w:eastAsia="Arial" w:hAnsi="Arial"/>
          <w:sz w:val="18"/>
          <w:szCs w:val="18"/>
          <w:color w:val="auto"/>
        </w:rPr>
        <w:t xml:space="preserve">; and </w:t>
      </w:r>
      <w:hyperlink r:id="rId34">
        <w:r>
          <w:rPr>
            <w:rFonts w:ascii="Arial" w:cs="Arial" w:eastAsia="Arial" w:hAnsi="Arial"/>
            <w:sz w:val="18"/>
            <w:szCs w:val="18"/>
            <w:u w:val="single" w:color="auto"/>
            <w:color w:val="0000EE"/>
          </w:rPr>
          <w:t>September 14,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89" w:lineRule="exact"/>
        <w:rPr>
          <w:rFonts w:ascii="Arial" w:cs="Arial" w:eastAsia="Arial" w:hAnsi="Arial"/>
          <w:sz w:val="18"/>
          <w:szCs w:val="18"/>
          <w:color w:val="0000EE"/>
        </w:rPr>
      </w:pPr>
    </w:p>
    <w:p>
      <w:pPr>
        <w:ind w:left="1080" w:right="2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Company’s securities filed as </w:t>
      </w:r>
      <w:hyperlink r:id="rId35">
        <w:r>
          <w:rPr>
            <w:rFonts w:ascii="Arial" w:cs="Arial" w:eastAsia="Arial" w:hAnsi="Arial"/>
            <w:sz w:val="18"/>
            <w:szCs w:val="18"/>
            <w:u w:val="single" w:color="auto"/>
            <w:color w:val="0000EE"/>
          </w:rPr>
          <w:t>Exhibit 2.11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2022 Annual Report, and any amendment and report filed for the purpose of updating such description.</w:t>
      </w:r>
    </w:p>
    <w:p>
      <w:pPr>
        <w:spacing w:after="0" w:line="170" w:lineRule="exact"/>
        <w:rPr>
          <w:rFonts w:ascii="Arial" w:cs="Arial" w:eastAsia="Arial" w:hAnsi="Arial"/>
          <w:sz w:val="18"/>
          <w:szCs w:val="18"/>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also incorporate by reference into this prospectus any further filings we make with the SEC under Sections 13(a), 13(c), 14 or 15(d) of the Exchange Act (other than information “furnished” and not filed with the SEC). Therefore, all Annual Reports on Form 20-F that we file with the SEC following the 2022 Annual Report and prior to the completion or termination of this offering, shall be incorporated by reference. We may also incorporate by reference any Reports on Form 6-K that we “furnish” to the SEC and in which we specifically identify information as being incorporated by reference into this prospectus after the date hereof and prior to the completion or termination of the offering of securities under this prospectus.</w:t>
      </w:r>
    </w:p>
    <w:p>
      <w:pPr>
        <w:spacing w:after="0" w:line="161" w:lineRule="exact"/>
        <w:rPr>
          <w:rFonts w:ascii="Arial" w:cs="Arial" w:eastAsia="Arial" w:hAnsi="Arial"/>
          <w:sz w:val="18"/>
          <w:szCs w:val="18"/>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You can obtain any of the filings, documents or information incorporated by reference in this prospectus through us or from the SEC through the SEC’s website at www.sec.gov. Our filings with the SEC, including our Annual Reports on Form 20-F and Reports on Form 6-K and exhibits incorporated therein and amendments to those reports, are also available free of charge on our website (https://www.polestar.com/us/)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Polestar Automotive Holding UK PLC, Assar Gabrielssons Väg 9, 405 31 Gothenburg, Sweden, +1 (949) 735 1834.</w:t>
      </w:r>
    </w:p>
    <w:p>
      <w:pPr>
        <w:spacing w:after="0" w:line="178" w:lineRule="exact"/>
        <w:rPr>
          <w:rFonts w:ascii="Arial" w:cs="Arial" w:eastAsia="Arial" w:hAnsi="Arial"/>
          <w:sz w:val="18"/>
          <w:szCs w:val="18"/>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rely only on the information that we incorporate by reference or provide in this prospectus or any applicable prospectus supplement(s). We have not authorized anyone to provide you with different information. You should not assume that the information in this prospectus or any prospectus supplement is accurate as of any date other than the date on the front of those documents.</w:t>
      </w:r>
    </w:p>
    <w:p>
      <w:pPr>
        <w:spacing w:after="0" w:line="11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This prospectus on Form F-3 (including information incorporated by reference herein) includes statements that express Polestar’s opinions, expectations, beliefs, plans, objectives, assumptions or projections regarding future events or future results and therefore are, or may be deemed to be, “forward-looking statements” as defined in Section 27A of the Securities Act, and Section 21E of the Exchange Act, which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and include statements regarding Polestar’s intentions, beliefs or current expectations concerning, among other things: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w:t>
      </w:r>
    </w:p>
    <w:p>
      <w:pPr>
        <w:spacing w:after="0" w:line="16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w:t>
      </w:r>
    </w:p>
    <w:p>
      <w:pPr>
        <w:spacing w:after="0" w:line="89" w:lineRule="exact"/>
        <w:rPr>
          <w:sz w:val="20"/>
          <w:szCs w:val="20"/>
          <w:color w:val="auto"/>
        </w:rPr>
      </w:pPr>
    </w:p>
    <w:p>
      <w:pPr>
        <w:ind w:left="1080" w:right="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ability to maintain agreements or partnerships with its strategic partners, such as Volvo Cars, Geely or Xingji Meizu Group, and to develop new agreements or partnerships;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ability to maintain relationships with its existing suppliers, and source new suppliers for its critical components, and to complete building out its supply chain, while effectively managing the risks due to such relationships;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reliance on its partnerships with vehicle charging networks to provide charging solutions for its vehicles and its reliance on strategic partners for servicing its vehicles and their integrated software;</w:t>
      </w:r>
    </w:p>
    <w:p>
      <w:pPr>
        <w:spacing w:after="0" w:line="75" w:lineRule="exact"/>
        <w:rPr>
          <w:rFonts w:ascii="Arial" w:cs="Arial" w:eastAsia="Arial" w:hAnsi="Arial"/>
          <w:sz w:val="18"/>
          <w:szCs w:val="18"/>
          <w:color w:val="auto"/>
        </w:rPr>
      </w:pPr>
    </w:p>
    <w:p>
      <w:pPr>
        <w:jc w:val="both"/>
        <w:ind w:left="1080" w:right="300" w:hanging="424"/>
        <w:spacing w:after="0" w:line="31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Polestar’s reliance on its partners, some of which may have limited experience with electric vehicles, to manufacture vehicles at a high volume or develop devices, products, apps, or operating systems for Polestar, and on the allocation of sufficient production capacity or resources to Polestar by its partners in order for Polestar to be able to increase its vehicle production capacities and product offerings;</w:t>
      </w:r>
    </w:p>
    <w:p>
      <w:pPr>
        <w:spacing w:after="0" w:line="54"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the development, design, manufacture, launch and financing of Polestar’s vehicles and Polestar’s reliance on a limited number of vehicle models to generate revenues;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the ability of Polestar to grow and manage growth profitably, maintain relationships with customers and suppliers and retain its management and key employees;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estimates of expenses and profitability; increases in costs, disruption of supply or shortage of materials, in particular for lithium-ion cells or semiconductors;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product recalls, regulatory fines and/or an unexpectedly high volume of warranty claims;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Polestar may be adversely affected by other economic, business, and/or competitive factors;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 and the high barriers to entry in the automotive industry, and the pace and depth of electric vehicle adoption generally on Polestar’s future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080"/>
          </w:cols>
          <w:pgMar w:left="320" w:top="459"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GGI or Polestar;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meet stock exchange listing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changes in applicable laws or regulations and with Polestar’s international operations;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Polestar’s ability to establish its brand and capture additional market share, and the risks associated with negative press or reputational harm, including from lithium-ion battery cells catching fire or venting smoke;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Polestar’s reliance on the development of vehicle charging networks to provide charging solutions for its vehicles and its strategic partners for servicing its vehicles and their integrated software;</w:t>
      </w:r>
    </w:p>
    <w:p>
      <w:pPr>
        <w:spacing w:after="0" w:line="75" w:lineRule="exact"/>
        <w:rPr>
          <w:rFonts w:ascii="Arial" w:cs="Arial" w:eastAsia="Arial" w:hAnsi="Arial"/>
          <w:sz w:val="18"/>
          <w:szCs w:val="18"/>
          <w:color w:val="auto"/>
        </w:rPr>
      </w:pPr>
    </w:p>
    <w:p>
      <w:pPr>
        <w:ind w:left="1080" w:right="100" w:hanging="424"/>
        <w:spacing w:after="0" w:line="30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relating to the uncertainty of any projected financial information or operational results of Polestar, including underlying assumptions regarding expected development and launch timelines for Polestar’s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w:t>
      </w:r>
    </w:p>
    <w:p>
      <w:pPr>
        <w:spacing w:after="0" w:line="62"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the design, development, manufacture, launch and financing of Polestar’s vehicles and other product offerings, and Polestar’s reliance on a limited number of vehicle models to generate revenues;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Polestar’s ability to continuously and rapidly innovate, develop and market new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need to raise additional funds to support business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future market adoption of Polestar’s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Polestar’s distribution model;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Polestar’s securities’ potential liquidity and trading;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Nothing in this prospectus and the documents incorporated by reference herein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60" w:firstLine="426"/>
        <w:spacing w:after="0" w:line="296" w:lineRule="auto"/>
        <w:rPr>
          <w:sz w:val="20"/>
          <w:szCs w:val="20"/>
          <w:color w:val="auto"/>
        </w:rPr>
      </w:pPr>
      <w:r>
        <w:rPr>
          <w:rFonts w:ascii="Arial" w:cs="Arial" w:eastAsia="Arial" w:hAnsi="Arial"/>
          <w:sz w:val="16"/>
          <w:szCs w:val="16"/>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entitled “Risk Factors” in this prospectus, any related prospectus supplement and any related free writing prospectus in their entirety before making an investment decision.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Polestar is a pure play, premium electric performance car brand headquartered in Sweden, designing products engineered to excite consumers and drive change. Polestar is determined to improve society by accelerating the shift to sustainable mobility. Polestar believes that it defines market-leading standards in design, innovation, and sustainability.</w:t>
      </w:r>
    </w:p>
    <w:p>
      <w:pPr>
        <w:spacing w:after="0" w:line="184"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color w:val="auto"/>
        </w:rPr>
        <w:t>Polestar was established as a premium electric car brand by Volvo Cars and Geely in 2017. The Company was incorporated under the laws of England and Wales as a company limited by shares on September 15, 2021 and was re-registered as a public limited company under the laws of England and Wales on May 5, 2022 in connection with its merger with GGI, described below. Polestar benefits from the technological, engineering and manufacturing capabilities of these established global car manufacturers. Polestar has an asset-light, highly scalable business model with immediate operating leverage. The combination of deep automotive expertise, paired with cutting-edge technologies and an agile, entrepreneurial culture, underpins Polestar’s differentiation, potential for growth and success.</w:t>
      </w:r>
    </w:p>
    <w:p>
      <w:pPr>
        <w:spacing w:after="0" w:line="178" w:lineRule="exact"/>
        <w:rPr>
          <w:sz w:val="20"/>
          <w:szCs w:val="20"/>
          <w:color w:val="auto"/>
        </w:rPr>
      </w:pPr>
    </w:p>
    <w:p>
      <w:pPr>
        <w:ind w:left="300" w:right="160" w:firstLine="426"/>
        <w:spacing w:after="0" w:line="275" w:lineRule="auto"/>
        <w:rPr>
          <w:sz w:val="20"/>
          <w:szCs w:val="20"/>
          <w:color w:val="auto"/>
        </w:rPr>
      </w:pPr>
      <w:r>
        <w:rPr>
          <w:rFonts w:ascii="Arial" w:cs="Arial" w:eastAsia="Arial" w:hAnsi="Arial"/>
          <w:sz w:val="17"/>
          <w:szCs w:val="17"/>
          <w:color w:val="auto"/>
        </w:rPr>
        <w:t>On June 23, 2022, Polestar consummated the “Business Combination, pursuant to which GGI became a wholly owned subsidiary of the Company. At the Closing, the Company completed a reorganization, pursuant to which, among other things, Polestar Singapore, Polestar Sweden and their respective subsidiaries became wholly owned subsidiaries of the Company. Concurrently with the Closing, certain investors purchased Class A Shares in the form of Class A ADSs. A subsidiary of Volvo Cars purchased the Volvo Cars Preference Subscription Shares and certain warrants held by GGI were converted into the right to receive Class C ADSs.</w:t>
      </w:r>
    </w:p>
    <w:p>
      <w:pPr>
        <w:spacing w:after="0" w:line="176" w:lineRule="exact"/>
        <w:rPr>
          <w:sz w:val="20"/>
          <w:szCs w:val="20"/>
          <w:color w:val="auto"/>
        </w:rPr>
      </w:pPr>
    </w:p>
    <w:p>
      <w:pPr>
        <w:ind w:left="300" w:right="860" w:firstLine="426"/>
        <w:spacing w:after="0" w:line="277" w:lineRule="auto"/>
        <w:rPr>
          <w:sz w:val="20"/>
          <w:szCs w:val="20"/>
          <w:color w:val="auto"/>
        </w:rPr>
      </w:pPr>
      <w:r>
        <w:rPr>
          <w:rFonts w:ascii="Arial" w:cs="Arial" w:eastAsia="Arial" w:hAnsi="Arial"/>
          <w:sz w:val="18"/>
          <w:szCs w:val="18"/>
          <w:color w:val="auto"/>
        </w:rPr>
        <w:t>The Company’s Class A ADSs and Class C-1 ADSs are listed on the Nasdaq, under the trading symbols “PSNY” and “PSNYW,” respectively.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89" w:lineRule="exact"/>
        <w:rPr>
          <w:sz w:val="20"/>
          <w:szCs w:val="20"/>
          <w:color w:val="auto"/>
        </w:rPr>
      </w:pPr>
    </w:p>
    <w:p>
      <w:pPr>
        <w:ind w:left="1240" w:right="24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240" w:right="140" w:hanging="415"/>
        <w:spacing w:after="0" w:line="30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8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84" w:lineRule="exact"/>
        <w:rPr>
          <w:sz w:val="20"/>
          <w:szCs w:val="20"/>
          <w:color w:val="auto"/>
        </w:rPr>
      </w:pPr>
    </w:p>
    <w:p>
      <w:pPr>
        <w:ind w:left="300" w:right="400" w:firstLine="426"/>
        <w:spacing w:after="0" w:line="259" w:lineRule="auto"/>
        <w:rPr>
          <w:sz w:val="20"/>
          <w:szCs w:val="20"/>
          <w:color w:val="auto"/>
        </w:rPr>
      </w:pPr>
      <w:r>
        <w:rPr>
          <w:rFonts w:ascii="Arial" w:cs="Arial" w:eastAsia="Arial" w:hAnsi="Arial"/>
          <w:sz w:val="18"/>
          <w:szCs w:val="18"/>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w:t>
      </w:r>
    </w:p>
    <w:p>
      <w:pPr>
        <w:spacing w:after="0" w:line="187"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w:t>
      </w:r>
    </w:p>
    <w:p>
      <w:pPr>
        <w:spacing w:after="0" w:line="188"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Subject to requirements under the Polestar Articles and Shareholder Acknowledgment Agreement that the Board be comprised of a majority of independent directors for the three years following the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Controlled Company</w:t>
      </w:r>
    </w:p>
    <w:p>
      <w:pPr>
        <w:spacing w:after="0" w:line="121"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By virtue of being a controlled company under Nasdaq listing rules, the Company may elect not to comply with certain Nasdaq corporate governance requirements, including that:</w:t>
      </w:r>
    </w:p>
    <w:p>
      <w:pPr>
        <w:spacing w:after="0" w:line="76" w:lineRule="exact"/>
        <w:rPr>
          <w:sz w:val="20"/>
          <w:szCs w:val="20"/>
          <w:color w:val="auto"/>
        </w:rPr>
      </w:pPr>
    </w:p>
    <w:p>
      <w:pPr>
        <w:ind w:left="1240" w:right="28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9"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1240" w:right="60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300" w:right="220" w:firstLine="426"/>
        <w:spacing w:after="0" w:line="342" w:lineRule="auto"/>
        <w:rPr>
          <w:sz w:val="20"/>
          <w:szCs w:val="20"/>
          <w:color w:val="auto"/>
        </w:rPr>
      </w:pPr>
      <w:r>
        <w:rPr>
          <w:rFonts w:ascii="Arial" w:cs="Arial" w:eastAsia="Arial" w:hAnsi="Arial"/>
          <w:sz w:val="16"/>
          <w:szCs w:val="16"/>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An investment in securities of Polestar involves substantial risks and uncertainties that may adversely affect Polestar’s business, financial condition and results of operations and cash flows. Some of the more significant challenges and risks relating to an investment in Polestar include, among other things, the following:</w:t>
      </w:r>
    </w:p>
    <w:p>
      <w:pPr>
        <w:spacing w:after="0" w:line="89" w:lineRule="exact"/>
        <w:rPr>
          <w:sz w:val="20"/>
          <w:szCs w:val="20"/>
          <w:color w:val="auto"/>
        </w:rPr>
      </w:pPr>
    </w:p>
    <w:p>
      <w:pPr>
        <w:ind w:left="1240" w:right="16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Polestar’s operations rely heavily on a variety of agreements with its strategic partners, such as Volvo Cars, Geely and Xingji Meizu, including agreements related to research and development, intellectual</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spacing w:after="0" w:line="263" w:lineRule="auto"/>
        <w:rPr>
          <w:sz w:val="20"/>
          <w:szCs w:val="20"/>
          <w:color w:val="auto"/>
        </w:rPr>
      </w:pPr>
      <w:r>
        <w:rPr>
          <w:rFonts w:ascii="Arial" w:cs="Arial" w:eastAsia="Arial" w:hAnsi="Arial"/>
          <w:sz w:val="18"/>
          <w:szCs w:val="18"/>
          <w:color w:val="auto"/>
        </w:rPr>
        <w:t>property licensing, purchasing, manufacturing engineering and logistics, and Polestar may come to rely on other original equipment manufacturers, vendors, and technology providers. The interests of Polestar’s partners, providers or licensors may diverge from those of Polestar.</w:t>
      </w:r>
    </w:p>
    <w:p>
      <w:pPr>
        <w:spacing w:after="0" w:line="89" w:lineRule="exact"/>
        <w:rPr>
          <w:sz w:val="20"/>
          <w:szCs w:val="20"/>
          <w:color w:val="auto"/>
        </w:rPr>
      </w:pPr>
    </w:p>
    <w:p>
      <w:pPr>
        <w:ind w:left="1240" w:right="340" w:hanging="415"/>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Polestar’s ability to produce vehicles and its future growth also depend upon its ability to maintain relationships with its existing suppliers and strategic partners, to source new suppliers for its critical components, and to complete building out its supply chain, while effectively managing the risks due to such relationships.</w:t>
      </w:r>
    </w:p>
    <w:p>
      <w:pPr>
        <w:spacing w:after="0" w:line="89" w:lineRule="exact"/>
        <w:rPr>
          <w:rFonts w:ascii="Arial" w:cs="Arial" w:eastAsia="Arial" w:hAnsi="Arial"/>
          <w:sz w:val="18"/>
          <w:szCs w:val="18"/>
          <w:color w:val="auto"/>
        </w:rPr>
      </w:pPr>
    </w:p>
    <w:p>
      <w:pPr>
        <w:jc w:val="both"/>
        <w:ind w:left="1240" w:right="40" w:hanging="415"/>
        <w:spacing w:after="0" w:line="311"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Polestar is dependent on strategic partners and suppliers, some of which are single-source suppliers, and the inability of these partners and suppliers to deliver necessary components of Polestar’s products on schedule and at prices, quality levels and volumes acceptable to Polestar, or Polestar’s inability to efficiently manage these components, could have a material and adverse effect on Polestar.</w:t>
      </w:r>
    </w:p>
    <w:p>
      <w:pPr>
        <w:spacing w:after="0" w:line="54" w:lineRule="exact"/>
        <w:rPr>
          <w:rFonts w:ascii="Arial" w:cs="Arial" w:eastAsia="Arial" w:hAnsi="Arial"/>
          <w:sz w:val="16"/>
          <w:szCs w:val="16"/>
          <w:color w:val="auto"/>
        </w:rPr>
      </w:pPr>
    </w:p>
    <w:p>
      <w:pPr>
        <w:ind w:left="1240" w:right="22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may be unable to grow its global product sales, delivery capabilities and its servicing and vehicle charging partnerships, or Polestar may be unable to accurately project and effectively manage its growth.</w:t>
      </w:r>
    </w:p>
    <w:p>
      <w:pPr>
        <w:spacing w:after="0" w:line="75" w:lineRule="exact"/>
        <w:rPr>
          <w:rFonts w:ascii="Arial" w:cs="Arial" w:eastAsia="Arial" w:hAnsi="Arial"/>
          <w:sz w:val="18"/>
          <w:szCs w:val="18"/>
          <w:color w:val="auto"/>
        </w:rPr>
      </w:pPr>
    </w:p>
    <w:p>
      <w:pPr>
        <w:ind w:left="1240" w:right="260" w:hanging="415"/>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has experienced and may in the future experience significant delays in the design, development, manufacture, launch and financing of its vehicles and other product offerings, including devices, products, apps or operating systems developed by the Joint Venture, which could harm its business and prospects.</w:t>
      </w:r>
    </w:p>
    <w:p>
      <w:pPr>
        <w:spacing w:after="0" w:line="89"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 could harm Polestar’s business.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operates in an intensely competitive market, which is generally cyclical and volatile.</w:t>
      </w:r>
    </w:p>
    <w:p>
      <w:pPr>
        <w:spacing w:after="0" w:line="130"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has incurred net losses each year since its inception and expects to incur increasing expenses and substantial losses for the foreseeable future.</w:t>
      </w:r>
    </w:p>
    <w:p>
      <w:pPr>
        <w:spacing w:after="0" w:line="75" w:lineRule="exact"/>
        <w:rPr>
          <w:rFonts w:ascii="Arial" w:cs="Arial" w:eastAsia="Arial" w:hAnsi="Arial"/>
          <w:sz w:val="18"/>
          <w:szCs w:val="18"/>
          <w:color w:val="auto"/>
        </w:rPr>
      </w:pPr>
    </w:p>
    <w:p>
      <w:pPr>
        <w:ind w:left="1240" w:right="560" w:hanging="415"/>
        <w:spacing w:after="0" w:line="342"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Polestar’s independent registered public accounting firm has included an explanatory paragraph relating to Polestar’s ability to continue as a going concern in its report on Polestar’s financial statements incorporated by reference in this prospectus.</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Polestar depends on revenue generated from a limited number of models and expects this to continue in the foreseeable future.</w:t>
      </w:r>
    </w:p>
    <w:p>
      <w:pPr>
        <w:spacing w:after="0" w:line="142" w:lineRule="exact"/>
        <w:rPr>
          <w:rFonts w:ascii="Arial" w:cs="Arial" w:eastAsia="Arial" w:hAnsi="Arial"/>
          <w:sz w:val="17"/>
          <w:szCs w:val="17"/>
          <w:color w:val="auto"/>
        </w:rPr>
      </w:pPr>
    </w:p>
    <w:p>
      <w:pPr>
        <w:ind w:left="1240" w:right="520" w:hanging="415"/>
        <w:spacing w:after="0" w:line="342"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Delays in the timing of expected business milestones and commercial launches, including Polestar’s ability to mass produce its electric vehicles and/or complete and/or expand its manufacturing capabilities, could materially and adversely affect Polestar.</w:t>
      </w:r>
    </w:p>
    <w:p>
      <w:pPr>
        <w:spacing w:after="0" w:line="29" w:lineRule="exact"/>
        <w:rPr>
          <w:rFonts w:ascii="Arial" w:cs="Arial" w:eastAsia="Arial" w:hAnsi="Arial"/>
          <w:sz w:val="16"/>
          <w:szCs w:val="16"/>
          <w:color w:val="auto"/>
        </w:rPr>
      </w:pPr>
    </w:p>
    <w:p>
      <w:pPr>
        <w:ind w:left="1240" w:right="2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relies heavily on manufacturing facilities, partners, and suppliers, including single-source suppliers, based in China and its growth strategy will depend on growing its business in China, including by leveraging the Joint Venture.</w:t>
      </w:r>
    </w:p>
    <w:p>
      <w:pPr>
        <w:spacing w:after="0" w:line="75" w:lineRule="exact"/>
        <w:rPr>
          <w:rFonts w:ascii="Arial" w:cs="Arial" w:eastAsia="Arial" w:hAnsi="Arial"/>
          <w:sz w:val="18"/>
          <w:szCs w:val="18"/>
          <w:color w:val="auto"/>
        </w:rPr>
      </w:pPr>
    </w:p>
    <w:p>
      <w:pPr>
        <w:ind w:left="1240" w:right="260" w:hanging="415"/>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spacing w:after="0" w:line="89" w:lineRule="exact"/>
        <w:rPr>
          <w:rFonts w:ascii="Arial" w:cs="Arial" w:eastAsia="Arial" w:hAnsi="Arial"/>
          <w:sz w:val="18"/>
          <w:szCs w:val="18"/>
          <w:color w:val="auto"/>
        </w:rPr>
      </w:pPr>
    </w:p>
    <w:p>
      <w:pPr>
        <w:ind w:left="1240" w:hanging="415"/>
        <w:spacing w:after="0" w:line="342"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29" w:lineRule="exact"/>
        <w:rPr>
          <w:rFonts w:ascii="Arial" w:cs="Arial" w:eastAsia="Arial" w:hAnsi="Arial"/>
          <w:sz w:val="16"/>
          <w:szCs w:val="16"/>
          <w:color w:val="auto"/>
        </w:rPr>
      </w:pPr>
    </w:p>
    <w:p>
      <w:pPr>
        <w:ind w:left="1240" w:right="20" w:hanging="415"/>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and its subsidiaries (i) may not receive or maintain permissions or approvals from the Cyberspace Administration of China or other relevant authorities to operate in China, (ii) may inadvertently conclude that such permissions or approvals are not required or (iii) may be required to</w:t>
      </w:r>
    </w:p>
    <w:p>
      <w:pPr>
        <w:spacing w:after="0" w:line="2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obtain new permissions or approvals in the future due to changes in applicable laws, regulations or interpretations related thereto.</w:t>
      </w:r>
    </w:p>
    <w:p>
      <w:pPr>
        <w:spacing w:after="0" w:line="154" w:lineRule="exact"/>
        <w:rPr>
          <w:sz w:val="20"/>
          <w:szCs w:val="20"/>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Investors should not rely on outdated financial projections.</w:t>
      </w:r>
    </w:p>
    <w:p>
      <w:pPr>
        <w:spacing w:after="0" w:line="130"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Polestar’s main distribution approach is different from the currently predominant distribution model for automakers, and its long-term viability is unproven.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Polestar’s vehicles make use of lithium-ion battery cells, which have been observed to catch fire or vent smoke and flame.</w:t>
      </w:r>
    </w:p>
    <w:p>
      <w:pPr>
        <w:spacing w:after="0" w:line="142" w:lineRule="exact"/>
        <w:rPr>
          <w:rFonts w:ascii="Arial" w:cs="Arial" w:eastAsia="Arial" w:hAnsi="Arial"/>
          <w:sz w:val="17"/>
          <w:szCs w:val="17"/>
          <w:color w:val="auto"/>
        </w:rPr>
      </w:pPr>
    </w:p>
    <w:p>
      <w:pPr>
        <w:ind w:left="1240" w:right="2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Polestar’s ability to generate meaningful product revenue will depend on consumer adoption of electric vehicles. If the pace and depth of electric vehicle adoption develops more slowly than Polestar expects, its revenue may decline or fail to grow, and Polestar may be materially and adversely affected.</w:t>
      </w:r>
    </w:p>
    <w:p>
      <w:pPr>
        <w:spacing w:after="0" w:line="89" w:lineRule="exact"/>
        <w:rPr>
          <w:rFonts w:ascii="Arial" w:cs="Arial" w:eastAsia="Arial" w:hAnsi="Arial"/>
          <w:sz w:val="18"/>
          <w:szCs w:val="18"/>
          <w:color w:val="auto"/>
        </w:rPr>
      </w:pPr>
    </w:p>
    <w:p>
      <w:pPr>
        <w:ind w:left="1240" w:right="60" w:hanging="415"/>
        <w:spacing w:after="0" w:line="286"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70" w:lineRule="exact"/>
        <w:rPr>
          <w:rFonts w:ascii="Arial" w:cs="Arial" w:eastAsia="Arial" w:hAnsi="Arial"/>
          <w:sz w:val="17"/>
          <w:szCs w:val="17"/>
          <w:color w:val="auto"/>
        </w:rPr>
      </w:pPr>
    </w:p>
    <w:p>
      <w:pPr>
        <w:ind w:left="1240" w:right="30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has undertaken, and in the future may choose to or be compelled to undertake, product recalls or to take other actions that could result in litigation.</w:t>
      </w:r>
    </w:p>
    <w:p>
      <w:pPr>
        <w:spacing w:after="0" w:line="75"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Much of the intellectual property pertaining to Polestar’s vehicles is owned by Volvo Cars and Geely and licensed, in some cases on a non-exclusive basis, to Polestar.</w:t>
      </w:r>
    </w:p>
    <w:p>
      <w:pPr>
        <w:spacing w:after="0" w:line="75"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will require additional capital to support business growth, and this capital might not be available on commercially reasonable terms, or at all.</w:t>
      </w:r>
    </w:p>
    <w:p>
      <w:pPr>
        <w:spacing w:after="0" w:line="75"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Polestar’s financial results may vary significantly from period to period due to fluctuations in its operating costs, product demand and other factors.</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Polestar’s performance does not meet the expectations of investors, stockholders or financial analysts, the market price of the ADSs may decline.</w:t>
      </w:r>
    </w:p>
    <w:p>
      <w:pPr>
        <w:spacing w:after="0" w:line="75"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is a foreign private issuer within the meaning of the rules under the Exchange Act and, as such, it is exempt from certain provisions applicable to United States domestic public companies.</w:t>
      </w:r>
    </w:p>
    <w:p>
      <w:pPr>
        <w:spacing w:after="0" w:line="75" w:lineRule="exact"/>
        <w:rPr>
          <w:rFonts w:ascii="Arial" w:cs="Arial" w:eastAsia="Arial" w:hAnsi="Arial"/>
          <w:sz w:val="18"/>
          <w:szCs w:val="18"/>
          <w:color w:val="auto"/>
        </w:rPr>
      </w:pPr>
    </w:p>
    <w:p>
      <w:pPr>
        <w:ind w:left="1240" w:hanging="415"/>
        <w:spacing w:after="0" w:line="34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Polestar is a foreign private issuer and follows certain home country corporate governance practices, its shareholders may not have the same protections afforded to shareholders of companies that are subject to all of Nasdaq’s corporate governance requirements.</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Polestar may lose its foreign private issuer status in the future, which could result in significant additional costs and expenses.</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has identified material weaknesses in its internal control over financial reporting.</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right="180" w:firstLine="426"/>
        <w:spacing w:after="0" w:line="301" w:lineRule="auto"/>
        <w:rPr>
          <w:sz w:val="20"/>
          <w:szCs w:val="20"/>
          <w:color w:val="auto"/>
        </w:rPr>
      </w:pPr>
      <w:r>
        <w:rPr>
          <w:rFonts w:ascii="Arial" w:cs="Arial" w:eastAsia="Arial" w:hAnsi="Arial"/>
          <w:sz w:val="16"/>
          <w:szCs w:val="16"/>
          <w:color w:val="auto"/>
        </w:rPr>
        <w:t>The Company was incorporated under the laws of England and Wales as a company limited by shares on September 15, 2021, and was re-registered as a public limited company under the laws of England and Wales in connection with the Business Combination. The Company’s registered office in England is The Pavilions, Bridgwater Road, Bristol, England, BS13 8AE. The address of the principal executive office of the Company is Assar Gabrielssons Väg 9 405 31 Göteborg, Sweden, and the telephone number of the Company is (949) 735-1834.</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84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998970" cy="784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The SEC’s website is http://www.sec.gov. The Company’s principal website address is https://www.polestar.com/us/. We do not incorporate the information contained on, or accessible through, the Company’s websites into this prospectus, and you should not consider it a part of this prospectus.</w:t>
      </w:r>
    </w:p>
    <w:p>
      <w:pPr>
        <w:spacing w:after="0" w:line="29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80"/>
          </w:cols>
          <w:pgMar w:left="320" w:top="459" w:right="7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Investing in our securities involves a high degree of risk. You should carefully consider the risks described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the 2022 Annual Report; and (ii) other documents we file with the SEC that are deemed incorporated by reference into this prospectus.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otherwise indicated in the applicable prospectus supplement or in any free writing prospectus that we may authorize to be provided to you in connection with a specific offering, we intend to use any net proceeds from the sale of securities under this prospectus to fund general corporate activities, including, but not limited to, working capital, capital expenditures, research and development and investments. Additional information relating thereto may be set forth in any applicable prospectus supplement.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320" w:top="459" w:right="5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9"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following describes our issued share capital, summarizes the material provisions of our articles of association and highlights certain differences in corporate law in England and Delaware.</w:t>
      </w:r>
    </w:p>
    <w:p>
      <w:pPr>
        <w:spacing w:after="0" w:line="170"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Set forth below is a summary of certain information concerning the Company’s share capital as well as a description of certain provisions of the Polestar Articles and relevant provisions of the Companies Act. The following summary does not purport to be complete and is subject to, and is qualified in its entirety by reference to, the applicable provisions of English law and our articles of association, a copy of which is incorporated by reference from Exhibit 1.1 to our Annual Report on Form 20-F, filed with the Securities and Exchange Commission. Further, please note that holders of ADSs (see section entitled “Description of American Depositary Shares”) will not be treated as one of the Company’s shareholders and will not have any shareholder rights.</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in connection with the Business Combination.</w:t>
      </w:r>
    </w:p>
    <w:p>
      <w:pPr>
        <w:spacing w:after="0" w:line="18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total number of shares of all classes of shares which the Company is authorized to issue is 6,861,249,349 shares, consisting of (a) 5,000,000,000 Class A Shares, (b) 1,777,366,739 Class B Shares, (c) 16,000,000 Class C-1 Shares, (d) 9,000,000 Class C-2 Shares, (e) 58,882,610 Volvo Cars Preference Subscription Shares, and (f) 50,000 GBP Redeemable Preferred Shares. In addition, Class A Shares and Deferred Shares may be created upon conversion of Class C Shares and Volvo Cars Preference Subscription Shares without any requirement for further authorization.</w:t>
      </w:r>
    </w:p>
    <w:p>
      <w:pPr>
        <w:spacing w:after="0" w:line="15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As of September 30, 2023, the issued share capital of Polestar Automotive Holding UK PLC comprised of 467,945,958 Class A Shares in the form of Class A ADSs, 1,642,233,575 Class B Shares in the form of Class B ADSs, 20,499,965 Class C-1 Shares in the form of Class C-1 ADSs, 4,500,000 Class C-2 Shares in the form of Class C-2 ADSs, 50,000 GPB Redeemable Preferred Shares and zero Volvo Cars Preference Subscription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Company Share Capital and Polestar Articles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Company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Subject to the provisions of English law and any preferences that may apply to shares outstanding at the time, holders of outstanding Class A Shares, Class B Shares and Volvo Cars Preference Subscription Shares are entitled to receive dividends out of assets legally available at the times and in the amounts as the Board may determine from time to time.</w:t>
      </w:r>
    </w:p>
    <w:p>
      <w:pPr>
        <w:spacing w:after="0" w:line="184"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Volvo Cars Preference Subscription Shares shall not entitle any holder to preferred dividends or accruals except that the holders of Volvo Cars Preference Subscription Shares shall participate in dividends or other distributions on the Class A Shares as if such Preference Shares had been converted into Class A Shares in accordance with the Polestar Articles.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 the Company. In addition, the payment by the Board of any unclaimed dividend, interest or other sum payable on or in respect of shares into a separate account shall not constitute the Company as a trustee in respect thereof.</w:t>
      </w:r>
    </w:p>
    <w:p>
      <w:pPr>
        <w:spacing w:after="0" w:line="17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never declared or paid any cash dividend on our Class A ADSs. We currently intend to retain any future earnings and do not expect to pay any dividends in the foreseeable future. Any further determination to pay dividends on our Class A ADSs would be at the discretion of our board of directors, subject to applicable laws, and would depend on our financial condition, results of operations, capital requirements, general business conditions, and other factors that the Board may deem relevant.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Each outstanding Class A Share is entitled to one vote on all matters submitted to a vote of shareholders, each outstanding Class B Share is entitled to 10 votes on all matters submitted to a vote of shareholders and each outstanding Class C Share is entitled to one vote on all matters submitted to a vote of shareholders. Volvo Cars Preference Subscription Shares, Deferred Shares and GBP Redeemable Preferred Shares carry no voting rights and do not entitle their holders to receive notice of, to attend, to speak or to vote at any general meeting of the Company. Holders of Company securities shall have no cumulative voting rights. None of the Company’s shareholders will be entitled to vote at any general meeting or at any separate class meeting in respect of any share unless all calls or other sums payable in respect of that share have been paid.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Preemptive Rights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will be dis-applied in respect of Company securities and the Company intends to propose equivalent resolutions in the future once the initial period of dis-application has expired. In any circumstance where the preemption rights have not been dis-applied, the procedure for the exercise of such statutory preemption rights would be set out in the documentation by which such equity securities would be offered to Company shareholders.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or Redemption Rights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Class A Shares are not convertible or redeemable, provided that the Board has the right to issue additional classes of shares in the Company (including redeemable shares) on such terms and conditions, and with such rights attached, as it may determine. The conversion and redemption features of the Class C Shares are described below under “Class C Shares.”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Each Volvo Cars Preference Subscription Shares shall convert into one Class A Share (credited as fully paid) in the form of a Class A ADS, provided that:</w:t>
      </w:r>
    </w:p>
    <w:p>
      <w:pPr>
        <w:spacing w:after="0" w:line="76" w:lineRule="exact"/>
        <w:rPr>
          <w:sz w:val="20"/>
          <w:szCs w:val="20"/>
          <w:color w:val="auto"/>
        </w:rPr>
      </w:pPr>
    </w:p>
    <w:p>
      <w:pPr>
        <w:ind w:left="1080" w:right="22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maximum number of Class A Shares to be issued on conversion shall be the maximum number that can be issued so that Volvo Cars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Shares; or</w:t>
      </w:r>
    </w:p>
    <w:p>
      <w:pPr>
        <w:spacing w:after="0" w:line="92" w:lineRule="exact"/>
        <w:rPr>
          <w:rFonts w:ascii="Arial" w:cs="Arial" w:eastAsia="Arial" w:hAnsi="Arial"/>
          <w:sz w:val="18"/>
          <w:szCs w:val="18"/>
          <w:color w:val="auto"/>
        </w:rPr>
      </w:pPr>
    </w:p>
    <w:p>
      <w:pPr>
        <w:ind w:left="1080" w:right="200" w:hanging="532"/>
        <w:spacing w:after="0" w:line="31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conversion of a Volvo Cars Preference Subscription Shares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w:t>
      </w:r>
    </w:p>
    <w:p>
      <w:pPr>
        <w:spacing w:after="0" w:line="149"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w:t>
      </w:r>
    </w:p>
    <w:p>
      <w:pPr>
        <w:ind w:left="120"/>
        <w:spacing w:after="0" w:line="260" w:lineRule="auto"/>
        <w:rPr>
          <w:sz w:val="20"/>
          <w:szCs w:val="20"/>
          <w:color w:val="auto"/>
        </w:rPr>
      </w:pPr>
      <w:r>
        <w:rPr>
          <w:rFonts w:ascii="Arial" w:cs="Arial" w:eastAsia="Arial" w:hAnsi="Arial"/>
          <w:sz w:val="18"/>
          <w:szCs w:val="18"/>
          <w:color w:val="auto"/>
        </w:rPr>
        <w:t>14 days after service of such notice (or on such other date as may be agreed between Polestar and the holders of the relevant GBP Redeemable Preferred Shares).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On a return of assets on liquidation or otherwise, the assets of Polestar remaining after payment of its debts and liabilities and available for distribution to holders of Class A Shares, Class B Shares, Class C Shares, Volvo Cars Preference Subscription Shares, Deferred Shares and GBP Redeemable Preferred Shares will be applied in the following manner and order of priority:</w:t>
      </w:r>
    </w:p>
    <w:p>
      <w:pPr>
        <w:spacing w:after="0" w:line="89" w:lineRule="exact"/>
        <w:rPr>
          <w:sz w:val="20"/>
          <w:szCs w:val="20"/>
          <w:color w:val="auto"/>
        </w:rPr>
      </w:pPr>
    </w:p>
    <w:p>
      <w:pPr>
        <w:ind w:left="1080" w:right="280" w:hanging="532"/>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first, to the holders of the Volvo Cars Preference Subscription Shares (pro rata and pari passu) an amount equal to the initial liquidation preference of $588,826,100 less the aggregate subscription price of any Volvo Cars Preference Subscription Shares that have been converted into Class A Shares;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second, to the holders of the GBP Redeemable Preferred Shares an amount equal to the nominal value of such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the holders of the Class A Shares and Class B Shares pro rata to the number of Class A Shares and Class B Shares respectively held by them up to an amount of $1 million per Class A Share or Class B Share; and</w:t>
      </w:r>
    </w:p>
    <w:p>
      <w:pPr>
        <w:spacing w:after="0" w:line="75" w:lineRule="exact"/>
        <w:rPr>
          <w:rFonts w:ascii="Arial" w:cs="Arial" w:eastAsia="Arial" w:hAnsi="Arial"/>
          <w:sz w:val="18"/>
          <w:szCs w:val="18"/>
          <w:color w:val="auto"/>
        </w:rPr>
      </w:pPr>
    </w:p>
    <w:p>
      <w:pPr>
        <w:ind w:left="1540" w:right="420" w:hanging="439"/>
        <w:spacing w:after="0" w:line="263"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the holders of the Class C Shares pari passu with the Class A Shares and Class B Shares on an as-converted basis less the conversion price of $11.50 per share (subject to relevant adjustments in the Polestar Articles) pro rata to the number of Class C Shares respectively held by them up to an amount of $1 million per Class C Share;</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fourth, to the holders of Deferred Shares an amount equal to the nominal value of the Deferred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fifth:</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the holders of the Class A Shares and Class B Shares pro rata to the number of Class A Shares and Class B Shares respectively held by them; and</w:t>
      </w:r>
    </w:p>
    <w:p>
      <w:pPr>
        <w:spacing w:after="0" w:line="75" w:lineRule="exact"/>
        <w:rPr>
          <w:rFonts w:ascii="Arial" w:cs="Arial" w:eastAsia="Arial" w:hAnsi="Arial"/>
          <w:sz w:val="18"/>
          <w:szCs w:val="18"/>
          <w:color w:val="auto"/>
        </w:rPr>
      </w:pPr>
    </w:p>
    <w:p>
      <w:pPr>
        <w:ind w:left="1540" w:right="80" w:hanging="439"/>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the holders of the Class C Shares pari passu with Class A Shares and Class B Shares on an as-converted basis less the conversion price of $11.50 per share (subject to relevant adjustments in the Polestar Articles),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provided that if the amount which would be received by the holders of the Volvo Cars Preference Subscription Shares if all such shares had been converted in accordance with the Polestar Articles would be greater than pursuant to (a) above, the relevant Volvo Cars Preference Subscription Shares shall be deemed for the purposes of the relevant return of capital to be treated pari passu with the holders of Class A Shares and Class B Shares on an as-converted basis.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Variation of Rights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Capital Calls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Subject to the Polestar Articles and the terms on which the Company shares are allotted, the Board has the authority to make calls upon the shareholders in respect of any money unpaid on their shares and each 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Class A Shares and Class B Shares issued have been credited as fully paid and therefore are not subject to a capital call.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 of Shares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Polestar’s share register is maintained by its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w:t>
      </w:r>
    </w:p>
    <w:p>
      <w:pPr>
        <w:spacing w:after="0" w:line="98"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a share that is not fully paid;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a share upon which the Company has a lien;</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a share that is not duly stamped (if required) or is duly certified or otherwise shown to the satisfaction of the Board to be exempt from stamp duty (if required);</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a default share where the holder has failed to provide the required details to Polestar subject to certain exceptions;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respect of more than one class of shares;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where, in the case of a transfer to joint holders of a share, the number of joint holders to whom the share is to be transferred exceeds four.</w:t>
      </w:r>
    </w:p>
    <w:p>
      <w:pPr>
        <w:spacing w:after="0" w:line="24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the Board refuses to register a transfer of a share it shall notify the transferee of the refusal and the reasons for it within two months after the date on which the transfer was lodged with the Company or the instructions to the relevant system received.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on Ownership</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English law and the Polestar Articles, there are no limitations on the right of non-residents of the U.K. or owners who are not citizens of the U.K. to hold or, other than the holders of Volvo Cars Preference Subscription Shares, Deferred Shares or GBP Redeemable Preferred Shares which do no confer voting rights on the relevant holders, vote the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C Shares</w:t>
      </w:r>
    </w:p>
    <w:p>
      <w:pPr>
        <w:spacing w:after="0" w:line="121"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Each whole Class C Share entitles the holder the right to acquire one Class A ADS (or one Class A Share if at the time of exercise the Company no longer uses the ADR Facility) at an exercise price of $11.50 per Class A ADS (subject to relevant adjustments in the Polestar Articles). A holder of Class C Shares may exercise its Class C Shares only for a whole number of Class A ADSs. This means that only a whole Class C Share may be exercised at any given time by a holder. No fractional Class C Shares will be issued. The Class C Shares will expire five years after the Business Combination Closing, at 5:00 p.m., New York City time, or earlier upon redemption or liquidation.</w:t>
      </w:r>
    </w:p>
    <w:p>
      <w:pPr>
        <w:spacing w:after="0" w:line="17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the Company so elects, the Company will not be required to file or maintain in effect a registration statement, but Polestar will be required to use its best efforts to register or qualify the Class A ADSs under applicable blue sky laws to the extent an exemption is not available.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Class C Shares for Cash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Whilst the Class C Shares are exercisable, the Company may call the Class C Shares for redemption (except as described herein with respect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C-2 Shares):</w:t>
      </w:r>
    </w:p>
    <w:p>
      <w:pPr>
        <w:spacing w:after="0" w:line="11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a price of $0.01 per Class C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upon not less than 30 days’ prior written notice of redemption (the “30-day redemption period”) to each holder of a Class C Share; and</w:t>
      </w:r>
    </w:p>
    <w:p>
      <w:pPr>
        <w:spacing w:after="0" w:line="153" w:lineRule="exact"/>
        <w:rPr>
          <w:rFonts w:ascii="Arial" w:cs="Arial" w:eastAsia="Arial" w:hAnsi="Arial"/>
          <w:sz w:val="16"/>
          <w:szCs w:val="16"/>
          <w:color w:val="auto"/>
        </w:rPr>
      </w:pPr>
    </w:p>
    <w:p>
      <w:pPr>
        <w:ind w:left="1080" w:right="14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Class A ADS equals or exceeds $18.00 per Class A ADS for any 20 trading days within a 30-trading day period ending three business days before Polestar sends the notice of redemption to the holders of Class C Shares.</w:t>
      </w:r>
    </w:p>
    <w:p>
      <w:pPr>
        <w:spacing w:after="0" w:line="124"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 30-day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$18.00 per share redemption trigger price as well as the $11.50 per share (for whole Class A ADSs) Class C Shares exercise price after the redemption notice is issued.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Class C Shares for Class A ADSs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Commencing 90 days after the Class C Shares become exercisable, the Company may redeem the outstanding Class C Shares:</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a price equal to a number of Class A ADSs to be determined by reference to the table below, based on the redemption date and the “fair market value” of Class A ADSs except as otherwise described below;</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and only if, the Class C-2 Shares are also concurrently exchanged at the same price (equal to a number of Class A ADSs) as the outstanding Class C-1 Shares, as described above;</w:t>
      </w:r>
    </w:p>
    <w:p>
      <w:pPr>
        <w:spacing w:after="0" w:line="75"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and only if, there is an effective registration statement covering the Class A ADSs issuable upon exercise of the Class C Shares and a current prospectus relating thereto is available throughout the 30-day period after written notice of redemption is given;</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and only if, the last reported sale price of Class A ADSs equals or exceeds $10.00 per Class A ADS (as adjusted per share splits, stock dividends, reorganizations, reclassifications, recapitalizations and the like) on the trading day prior to the date on which the Company sends the notice of redemption to the holders of Class C Shares.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numbers in the table below represent the “redemption prices,” or the number of Class A ADSs that a holder of Class C Shares will receive upon redemption by the Company pursuant to this redemption feature, 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9" w:right="5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Class A ADS prices set forth in the column headings of the table below will be adjusted as of any date on which the number of Class A ADSs issuable upon exercise of a Class C Share is adjusted as set forth in the first three paragraphs under the heading “—Anti-dilution adjustments”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the number of Class A ADSs deliverable upon exercise of a Class C Share as so adjusted. The number of Class A ADSs in the table below shall be adjusted in the same manner and at the same time as the number of Class A ADSs issuable upon exercise of a Class C Share.</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4"/>
              </w:rPr>
              <w:t>Fair Market Value of Class A ADS</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$10.00</w:t>
            </w:r>
          </w:p>
        </w:tc>
        <w:tc>
          <w:tcPr>
            <w:tcW w:w="1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$11.00</w:t>
            </w:r>
          </w:p>
        </w:tc>
        <w:tc>
          <w:tcPr>
            <w:tcW w:w="1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$12.00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$13.00</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$14.00</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$15.00</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$16.00</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$17.00</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$18.00</w:t>
            </w:r>
          </w:p>
        </w:tc>
        <w:tc>
          <w:tcPr>
            <w:tcW w:w="80" w:type="dxa"/>
            <w:vAlign w:val="bottom"/>
          </w:tcPr>
          <w:p>
            <w:pPr>
              <w:spacing w:after="0"/>
              <w:rPr>
                <w:sz w:val="12"/>
                <w:szCs w:val="12"/>
                <w:color w:val="auto"/>
              </w:rPr>
            </w:pPr>
          </w:p>
        </w:tc>
      </w:tr>
      <w:tr>
        <w:trPr>
          <w:trHeight w:val="155"/>
        </w:trPr>
        <w:tc>
          <w:tcPr>
            <w:tcW w:w="51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gridSpan w:val="14"/>
          </w:tcPr>
          <w:p>
            <w:pPr>
              <w:jc w:val="right"/>
              <w:spacing w:after="0" w:line="155" w:lineRule="exact"/>
              <w:rPr>
                <w:sz w:val="20"/>
                <w:szCs w:val="20"/>
                <w:color w:val="auto"/>
              </w:rPr>
            </w:pPr>
            <w:r>
              <w:rPr>
                <w:rFonts w:ascii="Arial" w:cs="Arial" w:eastAsia="Arial" w:hAnsi="Arial"/>
                <w:sz w:val="14"/>
                <w:szCs w:val="14"/>
                <w:b w:val="1"/>
                <w:bCs w:val="1"/>
                <w:color w:val="auto"/>
              </w:rPr>
              <w:t>Redemption Date (period to expiration of Class C Shares)</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57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0.294</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0.337</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54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0.252</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0.272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0.291</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0.307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0.322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0.335</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0.357</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51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0.287</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0.304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0.333</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48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0.241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0.263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0.283</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0.301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0.317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0.332</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0.356</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45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0.279</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0.298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42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0.228</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0.252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0.274</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0.294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0.312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0.328</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0.355</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39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0.221</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0.269</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0.325</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36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0.213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0.239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0.263</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0.285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0.305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0.323</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0.353</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33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0.257</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30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0.196</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0.224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0.274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0.297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0.316</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0.351</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27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0.242</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0.268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0.313</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24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0.173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0.204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0.233</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0.26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0.285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0.308</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0.348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21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0.161</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0.223</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0.252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0.304</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18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0.146</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0.179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0.211</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0.242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0.271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0.298</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0.345</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15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0.197</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0.291</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0.317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12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0.111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0.146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0.181</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0.216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0.282</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0.312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0.339</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9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0.162</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0.199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0.305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6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0.065</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0.099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0.137</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0.178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0.219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0.259</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0.296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0.331</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3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0.034</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0.104</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0.243</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0.286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0 months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0.042</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0.115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0.179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0.233</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“fair market value” of Class A ADSs shall mean the average last reported sale price of Class A ADSs for the 10 trading days ending on the third trading day prior to the date on which the notice of redemption is sent to the holders of Class C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values in the table or the redemption date is between two redemption dates in the table, the number of Class A ADSs to be issued for each Class C Share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redeemed will be determined by a straight-line interpolation between the number of Class A ADSs set forth for the higher and lower fair market values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the earlier and later redemption dates, as applicable, based on a 365- or 366-day year, as applicable. For example, if the average last reported sale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price of Class A ADSs for the 10 trading days ending on the third trading date prior to the date on which the notice of redemption is sent to the holders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is $11.00 per Class A ADS, and at such time there are 57 months until the expiration of the Class C Shares, the Company may choose to, pursuant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this redemption feature, redeem the Class C Shares at a “redemption price” of 0.277 Class A ADSs for each whole Class C Share. For an example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where the exact fair market value and redemption date are not as set forth in the table above, if the average last reported sale price of Class A ADSs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10 trading days ending on the third trading date prior to the date on which the notice of redemption is sent to the holders of the Class C Shares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$13.50 per Class A ADS, and at such time there are 38 months until the expiration of the Class C Shares, the Company may choose to, pursuant to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redemption feature, redeem the Class C Shares at a</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“redemption price” of 0.298 Class A ADSs for each whole Class C Share. Finally, as reflected in the table above, the Company can redeem the Class C Shares for no consideration in the event that the Class C Shares are “out of the money” (i.e., the trading price of Class A ADSs is below the exercise price of the Class C Shares) and about to expire.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Any Class C Shares held by the Company officers or directors will be subject to this redemption feature, except that such officers and directors shall only receive “fair market value” for such Class C Shares so redeemed (“fair market value” for such Class C-1 Shares held by the Company officers or directors being defined as the last reported sale price of the Class C-1 Shares on such redemption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redemption feature differs from typical warrant redemption features, which typically only provide for a redemption of warrants for cash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than private placement warrants) when the trading price for Class A common stock exceeds $18.00 per share for a specified period of time.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redemption feature is structured to allow for all of the outstanding Class C-1 Shares to be redeemed when the Class A ADSs are trading at or above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 per Class A ADS, which may be at a time when the trading price of the Class A ADSs is below the exercise price of the Class C-1 Shares.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has established this redemption feature to provide the Class C-1 Shares with an additional liquidity feature, which provides the Company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flexibility to redeem the Class C-1 Shares for Class A ADSs, instead of cash, for “fair value” without the Class C-1 Shares having to reach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$18.00 per Class A ADS threshold set forth above under “—Redemption of Class C Shares for cash.” Holders of the Class C-1 Shares will, in effect,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receive a number of Class A ADSs representing fair value for their Class C-1 Shares based on an option pricing model with a fixed volatility input.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redemption right provides the Company not only with an additional mechanism by which to redeem all of the outstanding Class C-1 Shares, in this case,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Class A ADSs, and therefore have certainty as to (i) the Company’s capital structure as the Class C-1 Shares would no longer be outstanding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would have been exercised or redeemed and (ii) to the amount of cash provided by the exercise of the Class C-1 Shares and available to the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also provides a ceiling to the theoretical value of the Class C-1 Shares as it locks in the “redemption prices” the Company would pay to holders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C-1 Shares if Polestar chose to redeem Class C-1 Shares in this manner. The Company will effectively be required to pay fair value to holders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C-1 Shares if the Company chooses to exercise this redemption right and it will allow the Company to quickly proceed with a redemption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C-1 Shares for Class A ADSs if the Company determines it is in the Company’s best interest to do so. As such, the Company would redeem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C-1 Shares in this manner when the Company believes it is in the Company’s best interest to update the Company’s capital structure to remove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Class C-1 Shares and pay fair value to the holders of Class C-1 Shares. In particular, it would allow the Company to quickly redeem the Class C-1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for Class A ADSs, without having to negotiate a redemption price with the holders of Class C-1 Shares. In addition, the holders of Class C-1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will have the ability to exercise the Class C Shares prior to redemption if they should choose to do so.</w:t>
      </w:r>
    </w:p>
    <w:p>
      <w:pPr>
        <w:spacing w:after="0" w:line="21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stated above, the Company can redeem the Class C-1 Shares when the Class A ADSs are trading at a price starting at $10.00 per share, which is below the exercise price of $11.50 per share, because it will provide 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$11.50 per share.</w:t>
      </w:r>
    </w:p>
    <w:p>
      <w:pPr>
        <w:spacing w:after="0" w:line="178"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No fractional Class A ADSs will be issued upon redemption. If, upon redemption, a holder would be entitled to receive a fractional interest in a Class A ADS, the Company will round down to the nearest whole number of the number of Class A ADSs to be issued to the holder.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the Company calls the Class C-1 Shares for redemption as described above, the Company’s 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Company’s shareholders of issuing the maximum number of Class A ADSs issuable upon the exercise of Class C-1 Shares.</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If the Company management takes advantage of this option, all holders of Class C-1 Shares would pay the exercise price by surrendering their Class C-1 Shares for that number of Class A ADSs equal to the quotient obtained by dividing (x) the product of the number of Class A ADSs underlying the Class C-1 Shares, multiplied by the difference between the exercise price of the Class C-1 Shares and the “fair market value” (defined below) by</w:t>
      </w:r>
    </w:p>
    <w:p>
      <w:pPr>
        <w:spacing w:after="0" w:line="2" w:lineRule="exact"/>
        <w:rPr>
          <w:sz w:val="20"/>
          <w:szCs w:val="20"/>
          <w:color w:val="auto"/>
        </w:rPr>
      </w:pPr>
    </w:p>
    <w:p>
      <w:pPr>
        <w:ind w:left="120" w:right="100" w:hanging="4"/>
        <w:spacing w:after="0" w:line="286" w:lineRule="auto"/>
        <w:tabs>
          <w:tab w:leader="none" w:pos="3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after the Closing. If the Company calls Class C-1 Shares for redemption and the Company’s management does not take advantage of this option, GGI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w:t>
      </w:r>
    </w:p>
    <w:p>
      <w:pPr>
        <w:spacing w:after="0" w:line="17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holder of a Class C-1 Share may notify the Company in writing in the event it elects to be subject to a requirement that such holder will not have the right to exercise such Class C-1 Shares, to the extent that after giving 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Anti-Dilution Adjustments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number of outstanding Class A ADSs is increased by a stock dividend payable in Class A ADSs, or by a split-up of Class A ADSs or other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similar event, then, on the effective date of such stock dividend, split-up or similar event, the number of Class A ADSs issuable on exercise of each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C Share will be increased in proportion to such increase in the outstanding Class A ADSs. A rights offering to holders of Class A ADSs entitling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holders to purchase Class A ADSs at a price less than the fair market value will be deemed a stock dividend of a number of Class A ADSs equal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product of (i) the number of Class A ADSs actually sold in such rights offering (or issuable under any other equity securities sold in such rights offering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that are convertible into or exercisable for Class A ADSs) multiplied by (ii) one (1) minus the quotient of (x) the price per Class A ADS paid in such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rights offering divided by (y) the fair market value. For these purposes (i) if the rights offering is for securities convertible into or exercisable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A ADSs, in determining the price payable for Class A ADSs, there will be taken into account any consideration received for such rights, as well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additional amount payable upon exercise or conversion and (ii) fair market value means the volume weighted average price of Class A ADS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reported during the 10 trading day period ending on the trading day prior to the first date on which the Class A ADSs trade on the applicable exchange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in the applicable market, regular way, without the right to receive such rights.</w:t>
      </w:r>
    </w:p>
    <w:p>
      <w:pPr>
        <w:spacing w:after="0" w:line="21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addition, if the Company, at any time while the Class C Shares are outstanding and unexpired, pays a dividend or make a distribution in cash, securities or other assets to the holders of Class A ADSs on account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Class A ADSs (or other securities of Polestar capital stock into which the Class C Shares are convertible), other than (a) as described above and</w:t>
      </w:r>
    </w:p>
    <w:p>
      <w:pPr>
        <w:spacing w:after="0" w:line="46" w:lineRule="exact"/>
        <w:rPr>
          <w:sz w:val="20"/>
          <w:szCs w:val="20"/>
          <w:color w:val="auto"/>
        </w:rPr>
      </w:pPr>
    </w:p>
    <w:p>
      <w:pPr>
        <w:ind w:left="120" w:right="120" w:hanging="4"/>
        <w:spacing w:after="0" w:line="290" w:lineRule="auto"/>
        <w:tabs>
          <w:tab w:leader="none" w:pos="3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w:t>
      </w:r>
    </w:p>
    <w:p>
      <w:pPr>
        <w:spacing w:after="0" w:line="161"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w:t>
      </w:r>
    </w:p>
    <w:p>
      <w:pPr>
        <w:spacing w:after="0" w:line="149"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Whenever the number of Class A ADSs purchasable upon the exercise of the Class C Shares is adjusted, as described above, the Class C Share exercise price will be adjusted by multiplying the Class C Share exercise 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w:t>
      </w:r>
    </w:p>
    <w:p>
      <w:pPr>
        <w:spacing w:after="0" w:line="17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case of any reclassification or reorganization of the Class A ADSs (other than those described above or that solely affects the par value of Class A ADSs), or in the case of any merger or consolidation of the Company 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w:t>
      </w:r>
    </w:p>
    <w:p>
      <w:pPr>
        <w:spacing w:after="0" w:line="17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No fractional Class A ADSs will be issued upon exercise of the Class C Shares. If, upon exercise of the Class C Shares, a holder would be entitled to receive a fractional interest in a Class A ADS, the Company will, upon exercise, round down to the nearest whole number of Class A ADSs to be issued to the holders of Class C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Polestar Articles and English Law Considerations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 summary of certain key provisions of our articles of association is set out below. The summary below is not a complete copy of the terms of our articles of association. For further information, please refer to the full version of our articles of association filed as Exhibit 1.1 to our annual report on Form 20-F which is incorporated herein by reference.</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articles of association contain no specific restrictions on our purpose and therefore, by virtue of section 31(1) of the Companies Act, our purpose is unrestricted.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articles of association contain, among other things, provisions to the following effect: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Numbers</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Polestar Articles provide that, at the time of their adoption, the initial number of directors of the Company shall be nine, and that otherwise the number of directors shall be as determined by the Board from time to time, subject to there being no more than fifteen directors. Directors may be appointed by any ordinary resolution of shareholders or by the Board, as described below under “—Appointment and Retirement of Directors.” Each director elected shall hold office until his or her successor is elected or until his or her earlier resignation or removal in accordance with the Polestar Articles.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a period of three years post-Closing a majority of the directors shall be independent directors. A director shall be independent when he or she</w:t>
      </w:r>
    </w:p>
    <w:p>
      <w:pPr>
        <w:spacing w:after="0" w:line="46" w:lineRule="exact"/>
        <w:rPr>
          <w:sz w:val="20"/>
          <w:szCs w:val="20"/>
          <w:color w:val="auto"/>
        </w:rPr>
      </w:pPr>
    </w:p>
    <w:p>
      <w:pPr>
        <w:jc w:val="both"/>
        <w:ind w:left="120" w:right="40" w:hanging="4"/>
        <w:spacing w:after="0" w:line="273" w:lineRule="auto"/>
        <w:tabs>
          <w:tab w:leader="none" w:pos="3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satisfies the requirements to qualify as an “independent director” under the stock exchange rules of the stock exchange on which the Class A Shares are then-currently listed and (ii) is not affiliated (as a director, employee, shareholder or otherwise) with Former Parent, Volvo Cars or Geely, provided that an individual shall not be precluded from being appointed, or continuing to act, as an independent director solely on the basis of holding, directly or indirectly, up to 0.01% of the share capital of any publicly traded affiliate of Former Parent, Volvo Cars or Geely.</w:t>
      </w:r>
    </w:p>
    <w:p>
      <w:pPr>
        <w:spacing w:after="0" w:line="176" w:lineRule="exact"/>
        <w:rPr>
          <w:sz w:val="20"/>
          <w:szCs w:val="20"/>
          <w:color w:val="auto"/>
        </w:rPr>
      </w:pPr>
    </w:p>
    <w:p>
      <w:pPr>
        <w:jc w:val="both"/>
        <w:ind w:left="120" w:right="120" w:firstLine="440"/>
        <w:spacing w:after="0" w:line="273" w:lineRule="auto"/>
        <w:rPr>
          <w:sz w:val="20"/>
          <w:szCs w:val="20"/>
          <w:color w:val="auto"/>
        </w:rPr>
      </w:pPr>
      <w:r>
        <w:rPr>
          <w:rFonts w:ascii="Arial" w:cs="Arial" w:eastAsia="Arial" w:hAnsi="Arial"/>
          <w:sz w:val="17"/>
          <w:szCs w:val="17"/>
          <w:color w:val="auto"/>
        </w:rPr>
        <w:t>The Initial Directors are divided into three classes of directors, designated as “Class I,” “Class II” and “Class III,” respectively (each a “Class”). The Board is authorized to assign members of the Board already in office to such Classes at the time the classification becomes effective. The Board is also authorized to assign any persons who take office as directors after the date the Polestar Articles are adopted to any such Class; provided, however, that the Classes are as close to equal size as possible. 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Appointment and Retirement of Directors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Subject to the requirements of the Polestar Articles (including director independence requirements), the Company may by ordinary resolution appoint a person who is willing to act to be a director, either to fill a vacancy or as an addition to the then-existing Board but the total number of directors shall not exceed fifteen. Subject to the requirements of the Polestar Articles (including director independence requirements), the Board also has power at any time to appoint any person who is willing to act as a director, either to fill a vacancy or as an addition to the Board as then existing, but the total number of directors shall not exceed fifteen.</w:t>
      </w:r>
    </w:p>
    <w:p>
      <w:pPr>
        <w:spacing w:after="0" w:line="18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term of office of directors serving in Class I expired at Polestar’s first annual general meeting. The term of office of directors serving in Class II will expire at Polestar’s second annual general meeting. The term of office of directors serving in Class III will expire at Polestar’s third annual general meeting. At each succeeding annual general meeting following the third annual general meeting following Closing, directors shall be elected to serve for a term of three years to succeed the directors of the class whose terms expire at such annual general meeting.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Indemnity of Directors</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Meetings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Each year, the Company holds an annual general meeting of shareholders in addition to any other meetings held in that year, and will specify the meeting as such in the notice convening it. The annual general meeting will be held at such time and place as the directors may appoint. No business shall be transacted at any 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shares of the Company, present in person or by proxy and entitled to attend and to vote on the business to be transacted, at such meeting.</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Requisitioning Shareholder Meetings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English Law Consideration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w:t>
      </w:r>
    </w:p>
    <w:p>
      <w:pPr>
        <w:spacing w:after="0" w:line="166"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If a takeover is structured as a scheme of arrangement pursuant to Part 26 of the Companies Act, the scheme, and therefore takeover, would need to be approved by a majority in number representing 75% in value of the shareholders of each class of shareholders voting, whether in person or by proxy. If approved, the scheme, and therefore takeover, would be binding on 100% of the shareholders of the relevant class(es).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 Out</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U.K. City Code on Takeovers and Mergers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majority of the Board resides outside of the U.K., the Channel Islands and the Isle of Man. Based upon the structure of the Board and management structure,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composition of the Board,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w:t>
      </w:r>
    </w:p>
    <w:p>
      <w:pPr>
        <w:spacing w:after="0" w:line="83" w:lineRule="exact"/>
        <w:rPr>
          <w:sz w:val="20"/>
          <w:szCs w:val="20"/>
          <w:color w:val="auto"/>
        </w:rPr>
      </w:pPr>
    </w:p>
    <w:p>
      <w:pPr>
        <w:ind w:left="1080" w:right="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acquires an interest in the Company’s shares that, when taken together with shares in which persons acting in concert with such person are interested, carries 30% or more of the voting rights of the Company’s shares; or</w:t>
      </w:r>
    </w:p>
    <w:p>
      <w:pPr>
        <w:spacing w:after="0" w:line="75" w:lineRule="exact"/>
        <w:rPr>
          <w:rFonts w:ascii="Arial" w:cs="Arial" w:eastAsia="Arial" w:hAnsi="Arial"/>
          <w:sz w:val="18"/>
          <w:szCs w:val="18"/>
          <w:color w:val="auto"/>
        </w:rPr>
      </w:pPr>
    </w:p>
    <w:p>
      <w:pPr>
        <w:ind w:left="1080" w:right="120" w:hanging="532"/>
        <w:spacing w:after="0" w:line="29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the Company’s outstanding shares at a price not less than the highest price paid for any interests in the shares by the acquirer or its concert parties during the previous 12 months.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Interest in Shares</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Section 793 of the Companies Act gives the Company the power to require persons whom the Company knows have, or whom the Company has reasonable cause to believe have, or within the previous three years have had, any ownership interest in any of the Company’s shares (the “</w:t>
      </w:r>
      <w:r>
        <w:rPr>
          <w:rFonts w:ascii="Arial" w:cs="Arial" w:eastAsia="Arial" w:hAnsi="Arial"/>
          <w:sz w:val="18"/>
          <w:szCs w:val="18"/>
          <w:i w:val="1"/>
          <w:iCs w:val="1"/>
          <w:color w:val="auto"/>
        </w:rPr>
        <w:t>default</w:t>
      </w:r>
      <w:r>
        <w:rPr>
          <w:rFonts w:ascii="Arial" w:cs="Arial" w:eastAsia="Arial" w:hAnsi="Arial"/>
          <w:sz w:val="18"/>
          <w:szCs w:val="18"/>
          <w:color w:val="auto"/>
        </w:rPr>
        <w:t xml:space="preserve"> </w:t>
      </w:r>
      <w:r>
        <w:rPr>
          <w:rFonts w:ascii="Arial" w:cs="Arial" w:eastAsia="Arial" w:hAnsi="Arial"/>
          <w:sz w:val="18"/>
          <w:szCs w:val="18"/>
          <w:i w:val="1"/>
          <w:iCs w:val="1"/>
          <w:color w:val="auto"/>
        </w:rPr>
        <w:t>shares</w:t>
      </w:r>
      <w:r>
        <w:rPr>
          <w:rFonts w:ascii="Arial" w:cs="Arial" w:eastAsia="Arial" w:hAnsi="Arial"/>
          <w:sz w:val="18"/>
          <w:szCs w:val="18"/>
          <w:color w:val="auto"/>
        </w:rPr>
        <w:t>”), to disclose prescribed particulars of those shares. For this purpose, default shares includes any of the Company’s shares allotted or issued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 &amp; Dividends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Under English law, dividends and distributions may only be made from distributable profits. “Distributable profits” generally means accumulated realized profits, so far as not previously utilized by distribution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capitalization, less accumulated realized losses, so far as not previously written off in a reduction or reorganization of capital, duly made. This would include reserves created by way of a court-approved reduction of capital.</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w:t>
      </w:r>
    </w:p>
    <w:p>
      <w:pPr>
        <w:spacing w:after="0" w:line="89" w:lineRule="exact"/>
        <w:rPr>
          <w:sz w:val="20"/>
          <w:szCs w:val="20"/>
          <w:color w:val="auto"/>
        </w:rPr>
      </w:pPr>
    </w:p>
    <w:p>
      <w:pPr>
        <w:ind w:left="1080" w:right="10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and to the extent that, the distribution itself, at the time that it is made, does not reduce the amount of the net assets to less than that total.</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Purchase of Own Shares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shares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applicable provisions of the Companies Act differ from laws applicable to U.S. corporations and their shareholders. Set forth below is a summary of certain differences between the provisions of the Companies Act applicable to us and the DGCL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140"/>
          </w:cols>
          <w:pgMar w:left="320" w:top="459" w:right="439" w:bottom="1440" w:gutter="0" w:footer="0" w:header="0"/>
        </w:sect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74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England &amp; Wales</w:t>
            </w:r>
          </w:p>
        </w:tc>
        <w:tc>
          <w:tcPr>
            <w:tcW w:w="0" w:type="dxa"/>
            <w:vAlign w:val="bottom"/>
          </w:tcPr>
          <w:p>
            <w:pPr>
              <w:spacing w:after="0"/>
              <w:rPr>
                <w:sz w:val="1"/>
                <w:szCs w:val="1"/>
                <w:color w:val="auto"/>
              </w:rPr>
            </w:pPr>
          </w:p>
        </w:tc>
      </w:tr>
      <w:tr>
        <w:trPr>
          <w:trHeight w:val="182"/>
        </w:trPr>
        <w:tc>
          <w:tcPr>
            <w:tcW w:w="1660" w:type="dxa"/>
            <w:vAlign w:val="bottom"/>
            <w:vMerge w:val="continue"/>
          </w:tcPr>
          <w:p>
            <w:pPr>
              <w:spacing w:after="0"/>
              <w:rPr>
                <w:sz w:val="15"/>
                <w:szCs w:val="15"/>
                <w:color w:val="auto"/>
              </w:rPr>
            </w:pPr>
          </w:p>
        </w:tc>
        <w:tc>
          <w:tcPr>
            <w:tcW w:w="4740" w:type="dxa"/>
            <w:vAlign w:val="bottom"/>
          </w:tcPr>
          <w:p>
            <w:pPr>
              <w:ind w:left="20"/>
              <w:spacing w:after="0" w:line="182" w:lineRule="exact"/>
              <w:rPr>
                <w:sz w:val="20"/>
                <w:szCs w:val="20"/>
                <w:color w:val="auto"/>
              </w:rPr>
            </w:pPr>
            <w:r>
              <w:rPr>
                <w:rFonts w:ascii="Arial" w:cs="Arial" w:eastAsia="Arial" w:hAnsi="Arial"/>
                <w:sz w:val="18"/>
                <w:szCs w:val="18"/>
                <w:color w:val="auto"/>
                <w:w w:val="95"/>
              </w:rPr>
              <w:t>A public limited company must have at least two directors and</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Directors</w:t>
            </w:r>
          </w:p>
        </w:tc>
        <w:tc>
          <w:tcPr>
            <w:tcW w:w="4740" w:type="dxa"/>
            <w:vAlign w:val="bottom"/>
          </w:tcPr>
          <w:p>
            <w:pPr>
              <w:ind w:left="20"/>
              <w:spacing w:after="0"/>
              <w:rPr>
                <w:sz w:val="20"/>
                <w:szCs w:val="20"/>
                <w:color w:val="auto"/>
              </w:rPr>
            </w:pPr>
            <w:r>
              <w:rPr>
                <w:rFonts w:ascii="Arial" w:cs="Arial" w:eastAsia="Arial" w:hAnsi="Arial"/>
                <w:sz w:val="18"/>
                <w:szCs w:val="18"/>
                <w:color w:val="auto"/>
              </w:rPr>
              <w:t>the number of directors may be fixed by or in the manner</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provided in a company’s articles of association.</w:t>
            </w:r>
          </w:p>
        </w:tc>
        <w:tc>
          <w:tcPr>
            <w:tcW w:w="0" w:type="dxa"/>
            <w:vAlign w:val="bottom"/>
          </w:tcPr>
          <w:p>
            <w:pPr>
              <w:spacing w:after="0"/>
              <w:rPr>
                <w:sz w:val="1"/>
                <w:szCs w:val="1"/>
                <w:color w:val="auto"/>
              </w:rPr>
            </w:pP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Removal of</w:t>
            </w:r>
          </w:p>
        </w:tc>
        <w:tc>
          <w:tcPr>
            <w:tcW w:w="4740" w:type="dxa"/>
            <w:vAlign w:val="bottom"/>
          </w:tcPr>
          <w:p>
            <w:pPr>
              <w:ind w:left="20"/>
              <w:spacing w:after="0"/>
              <w:rPr>
                <w:sz w:val="20"/>
                <w:szCs w:val="20"/>
                <w:color w:val="auto"/>
              </w:rPr>
            </w:pPr>
            <w:r>
              <w:rPr>
                <w:rFonts w:ascii="Arial" w:cs="Arial" w:eastAsia="Arial" w:hAnsi="Arial"/>
                <w:sz w:val="18"/>
                <w:szCs w:val="18"/>
                <w:color w:val="auto"/>
              </w:rPr>
              <w:t>Shareholders may remove a director without cause by an</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Directors</w:t>
            </w:r>
          </w:p>
        </w:tc>
        <w:tc>
          <w:tcPr>
            <w:tcW w:w="4740" w:type="dxa"/>
            <w:vAlign w:val="bottom"/>
          </w:tcPr>
          <w:p>
            <w:pPr>
              <w:ind w:left="20"/>
              <w:spacing w:after="0"/>
              <w:rPr>
                <w:sz w:val="20"/>
                <w:szCs w:val="20"/>
                <w:color w:val="auto"/>
              </w:rPr>
            </w:pPr>
            <w:r>
              <w:rPr>
                <w:rFonts w:ascii="Arial" w:cs="Arial" w:eastAsia="Arial" w:hAnsi="Arial"/>
                <w:sz w:val="18"/>
                <w:szCs w:val="18"/>
                <w:color w:val="auto"/>
                <w:w w:val="99"/>
              </w:rPr>
              <w:t>ordinary resolution (which is passed by a simple majority of</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those voting in person or by proxy at a general meeting)</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irrespective of any provisions of any service contract the director</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has with the company, provided 28 clear days’ notice of the</w:t>
            </w:r>
          </w:p>
        </w:tc>
        <w:tc>
          <w:tcPr>
            <w:tcW w:w="0" w:type="dxa"/>
            <w:vAlign w:val="bottom"/>
          </w:tcPr>
          <w:p>
            <w:pPr>
              <w:spacing w:after="0"/>
              <w:rPr>
                <w:sz w:val="1"/>
                <w:szCs w:val="1"/>
                <w:color w:val="auto"/>
              </w:rPr>
            </w:pPr>
          </w:p>
        </w:tc>
      </w:tr>
      <w:tr>
        <w:trPr>
          <w:trHeight w:val="418"/>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resolution has been given to the company and its shareholders.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On receipt of notice of an intended resolution to remove a</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director, the</w:t>
            </w:r>
          </w:p>
        </w:tc>
        <w:tc>
          <w:tcPr>
            <w:tcW w:w="0" w:type="dxa"/>
            <w:vAlign w:val="bottom"/>
          </w:tcPr>
          <w:p>
            <w:pPr>
              <w:spacing w:after="0"/>
              <w:rPr>
                <w:sz w:val="1"/>
                <w:szCs w:val="1"/>
                <w:color w:val="auto"/>
              </w:rPr>
            </w:pPr>
          </w:p>
        </w:tc>
      </w:tr>
      <w:tr>
        <w:trPr>
          <w:trHeight w:val="365"/>
        </w:trPr>
        <w:tc>
          <w:tcPr>
            <w:tcW w:w="1660" w:type="dxa"/>
            <w:vAlign w:val="bottom"/>
          </w:tcPr>
          <w:p>
            <w:pPr>
              <w:spacing w:after="0"/>
              <w:rPr>
                <w:sz w:val="24"/>
                <w:szCs w:val="24"/>
                <w:color w:val="auto"/>
              </w:rPr>
            </w:pPr>
          </w:p>
        </w:tc>
        <w:tc>
          <w:tcPr>
            <w:tcW w:w="4740" w:type="dxa"/>
            <w:vAlign w:val="bottom"/>
          </w:tcPr>
          <w:p>
            <w:pPr>
              <w:ind w:left="37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jc w:val="both"/>
        <w:ind w:right="520"/>
        <w:spacing w:after="0" w:line="262" w:lineRule="auto"/>
        <w:rPr>
          <w:sz w:val="20"/>
          <w:szCs w:val="20"/>
          <w:color w:val="auto"/>
        </w:rPr>
      </w:pPr>
      <w:r>
        <w:rPr>
          <w:rFonts w:ascii="Arial" w:cs="Arial" w:eastAsia="Arial" w:hAnsi="Arial"/>
          <w:sz w:val="18"/>
          <w:szCs w:val="18"/>
          <w:color w:val="auto"/>
        </w:rPr>
        <w:t>A corporation must have at least one director and the number of directors shall be fixed by or in the manner provided in the bylaws.</w:t>
      </w:r>
    </w:p>
    <w:p>
      <w:pPr>
        <w:spacing w:after="0" w:line="7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classified, shareholders may effect such removal only for cause, or (b) in the case of a corporation having cumulative voting, if less</w:t>
      </w:r>
    </w:p>
    <w:p>
      <w:pPr>
        <w:sectPr>
          <w:pgSz w:w="11900" w:h="16838" w:orient="portrait"/>
          <w:cols w:equalWidth="0" w:num="2">
            <w:col w:w="6520" w:space="220"/>
            <w:col w:w="4400"/>
          </w:cols>
          <w:pgMar w:left="320" w:top="459" w:right="4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England &amp; Wales</w:t>
            </w:r>
          </w:p>
        </w:tc>
      </w:tr>
      <w:tr>
        <w:trPr>
          <w:trHeight w:val="195"/>
        </w:trPr>
        <w:tc>
          <w:tcPr>
            <w:tcW w:w="1660" w:type="dxa"/>
            <w:vAlign w:val="bottom"/>
          </w:tcPr>
          <w:p>
            <w:pPr>
              <w:spacing w:after="0"/>
              <w:rPr>
                <w:sz w:val="16"/>
                <w:szCs w:val="16"/>
                <w:color w:val="auto"/>
              </w:rPr>
            </w:pPr>
          </w:p>
        </w:tc>
        <w:tc>
          <w:tcPr>
            <w:tcW w:w="4740" w:type="dxa"/>
            <w:vAlign w:val="bottom"/>
          </w:tcPr>
          <w:p>
            <w:pPr>
              <w:ind w:left="20"/>
              <w:spacing w:after="0" w:line="195" w:lineRule="exact"/>
              <w:rPr>
                <w:sz w:val="20"/>
                <w:szCs w:val="20"/>
                <w:color w:val="auto"/>
              </w:rPr>
            </w:pPr>
            <w:r>
              <w:rPr>
                <w:rFonts w:ascii="Arial" w:cs="Arial" w:eastAsia="Arial" w:hAnsi="Arial"/>
                <w:sz w:val="18"/>
                <w:szCs w:val="18"/>
                <w:color w:val="auto"/>
                <w:w w:val="92"/>
              </w:rPr>
              <w:t>company must forthwith send a copy of the notice to the director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concerned. Certain other procedural requirements must also be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followed such as allowing the director to make representations</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against his or her removal either at the meeting or in writing.</w:t>
            </w:r>
          </w:p>
        </w:tc>
      </w:tr>
      <w:tr>
        <w:trPr>
          <w:trHeight w:val="742"/>
        </w:trPr>
        <w:tc>
          <w:tcPr>
            <w:tcW w:w="1660" w:type="dxa"/>
            <w:vAlign w:val="bottom"/>
          </w:tcPr>
          <w:p>
            <w:pPr>
              <w:spacing w:after="0"/>
              <w:rPr>
                <w:sz w:val="20"/>
                <w:szCs w:val="20"/>
                <w:color w:val="auto"/>
              </w:rPr>
            </w:pPr>
            <w:r>
              <w:rPr>
                <w:rFonts w:ascii="Arial" w:cs="Arial" w:eastAsia="Arial" w:hAnsi="Arial"/>
                <w:sz w:val="18"/>
                <w:szCs w:val="18"/>
                <w:color w:val="auto"/>
              </w:rPr>
              <w:t>Vacancies on the</w:t>
            </w:r>
          </w:p>
        </w:tc>
        <w:tc>
          <w:tcPr>
            <w:tcW w:w="4740" w:type="dxa"/>
            <w:vAlign w:val="bottom"/>
          </w:tcPr>
          <w:p>
            <w:pPr>
              <w:ind w:left="20"/>
              <w:spacing w:after="0"/>
              <w:rPr>
                <w:sz w:val="20"/>
                <w:szCs w:val="20"/>
                <w:color w:val="auto"/>
              </w:rPr>
            </w:pPr>
            <w:r>
              <w:rPr>
                <w:rFonts w:ascii="Arial" w:cs="Arial" w:eastAsia="Arial" w:hAnsi="Arial"/>
                <w:sz w:val="18"/>
                <w:szCs w:val="18"/>
                <w:color w:val="auto"/>
                <w:w w:val="92"/>
              </w:rPr>
              <w:t>The procedure by which directors (other than a company’s initial</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Board of Directors</w:t>
            </w:r>
          </w:p>
        </w:tc>
        <w:tc>
          <w:tcPr>
            <w:tcW w:w="4740" w:type="dxa"/>
            <w:vAlign w:val="bottom"/>
          </w:tcPr>
          <w:p>
            <w:pPr>
              <w:ind w:left="20"/>
              <w:spacing w:after="0"/>
              <w:rPr>
                <w:sz w:val="20"/>
                <w:szCs w:val="20"/>
                <w:color w:val="auto"/>
              </w:rPr>
            </w:pPr>
            <w:r>
              <w:rPr>
                <w:rFonts w:ascii="Arial" w:cs="Arial" w:eastAsia="Arial" w:hAnsi="Arial"/>
                <w:sz w:val="18"/>
                <w:szCs w:val="18"/>
                <w:color w:val="auto"/>
                <w:w w:val="99"/>
              </w:rPr>
              <w:t>directors) are appointed is generally set out in a company’s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articles of association, provided that where two or more persons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are appointed as directors of a public limited company by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single resolution of the shareholders such resolution must not be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put to shareholders unless a resolution that it should be so made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has first been agreed to by the shareholders without any vote</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being against it.</w:t>
            </w:r>
          </w:p>
        </w:tc>
      </w:tr>
      <w:tr>
        <w:trPr>
          <w:trHeight w:val="526"/>
        </w:trPr>
        <w:tc>
          <w:tcPr>
            <w:tcW w:w="1660" w:type="dxa"/>
            <w:vAlign w:val="bottom"/>
          </w:tcPr>
          <w:p>
            <w:pPr>
              <w:spacing w:after="0"/>
              <w:rPr>
                <w:sz w:val="20"/>
                <w:szCs w:val="20"/>
                <w:color w:val="auto"/>
              </w:rPr>
            </w:pPr>
            <w:r>
              <w:rPr>
                <w:rFonts w:ascii="Arial" w:cs="Arial" w:eastAsia="Arial" w:hAnsi="Arial"/>
                <w:sz w:val="18"/>
                <w:szCs w:val="18"/>
                <w:color w:val="auto"/>
              </w:rPr>
              <w:t>Annual General</w:t>
            </w:r>
          </w:p>
        </w:tc>
        <w:tc>
          <w:tcPr>
            <w:tcW w:w="4740" w:type="dxa"/>
            <w:vAlign w:val="bottom"/>
          </w:tcPr>
          <w:p>
            <w:pPr>
              <w:ind w:left="20"/>
              <w:spacing w:after="0"/>
              <w:rPr>
                <w:sz w:val="20"/>
                <w:szCs w:val="20"/>
                <w:color w:val="auto"/>
              </w:rPr>
            </w:pPr>
            <w:r>
              <w:rPr>
                <w:rFonts w:ascii="Arial" w:cs="Arial" w:eastAsia="Arial" w:hAnsi="Arial"/>
                <w:sz w:val="18"/>
                <w:szCs w:val="18"/>
                <w:color w:val="auto"/>
                <w:w w:val="93"/>
              </w:rPr>
              <w:t>A public limited company must hold an annual general meeting</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Meeting</w:t>
            </w:r>
          </w:p>
        </w:tc>
        <w:tc>
          <w:tcPr>
            <w:tcW w:w="4740" w:type="dxa"/>
            <w:vAlign w:val="bottom"/>
          </w:tcPr>
          <w:p>
            <w:pPr>
              <w:ind w:left="20"/>
              <w:spacing w:after="0"/>
              <w:rPr>
                <w:sz w:val="20"/>
                <w:szCs w:val="20"/>
                <w:color w:val="auto"/>
              </w:rPr>
            </w:pPr>
            <w:r>
              <w:rPr>
                <w:rFonts w:ascii="Arial" w:cs="Arial" w:eastAsia="Arial" w:hAnsi="Arial"/>
                <w:sz w:val="18"/>
                <w:szCs w:val="18"/>
                <w:color w:val="auto"/>
                <w:w w:val="96"/>
              </w:rPr>
              <w:t>in each six-month period beginning with the day following the</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company’s annual accounting reference date.</w:t>
            </w:r>
          </w:p>
        </w:tc>
      </w:tr>
      <w:tr>
        <w:trPr>
          <w:trHeight w:val="526"/>
        </w:trPr>
        <w:tc>
          <w:tcPr>
            <w:tcW w:w="1660" w:type="dxa"/>
            <w:vAlign w:val="bottom"/>
          </w:tcPr>
          <w:p>
            <w:pPr>
              <w:spacing w:after="0"/>
              <w:rPr>
                <w:sz w:val="20"/>
                <w:szCs w:val="20"/>
                <w:color w:val="auto"/>
              </w:rPr>
            </w:pPr>
            <w:r>
              <w:rPr>
                <w:rFonts w:ascii="Arial" w:cs="Arial" w:eastAsia="Arial" w:hAnsi="Arial"/>
                <w:sz w:val="18"/>
                <w:szCs w:val="18"/>
                <w:color w:val="auto"/>
              </w:rPr>
              <w:t>General Meeting</w:t>
            </w:r>
          </w:p>
        </w:tc>
        <w:tc>
          <w:tcPr>
            <w:tcW w:w="4740" w:type="dxa"/>
            <w:vAlign w:val="bottom"/>
          </w:tcPr>
          <w:p>
            <w:pPr>
              <w:ind w:left="20"/>
              <w:spacing w:after="0"/>
              <w:rPr>
                <w:sz w:val="20"/>
                <w:szCs w:val="20"/>
                <w:color w:val="auto"/>
              </w:rPr>
            </w:pPr>
            <w:r>
              <w:rPr>
                <w:rFonts w:ascii="Arial" w:cs="Arial" w:eastAsia="Arial" w:hAnsi="Arial"/>
                <w:sz w:val="18"/>
                <w:szCs w:val="18"/>
                <w:color w:val="auto"/>
              </w:rPr>
              <w:t>A general meeting of the shareholders of a public limited</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company may be called by the directors.</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Shareholders holding at least 5% of the paid-up capital of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company carrying voting rights at general meetings can require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the directors to call a general meeting and, if the directors fail to</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0"/>
              </w:rPr>
              <w:t>do so within a prescribed period, may themselves, or any of them</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representing more than one half of the total voting rights of all of</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them, call a general meeting.</w:t>
            </w:r>
          </w:p>
        </w:tc>
      </w:tr>
      <w:tr>
        <w:trPr>
          <w:trHeight w:val="323"/>
        </w:trPr>
        <w:tc>
          <w:tcPr>
            <w:tcW w:w="1660" w:type="dxa"/>
            <w:vAlign w:val="bottom"/>
          </w:tcPr>
          <w:p>
            <w:pPr>
              <w:spacing w:after="0"/>
              <w:rPr>
                <w:sz w:val="20"/>
                <w:szCs w:val="20"/>
                <w:color w:val="auto"/>
              </w:rPr>
            </w:pPr>
            <w:r>
              <w:rPr>
                <w:rFonts w:ascii="Arial" w:cs="Arial" w:eastAsia="Arial" w:hAnsi="Arial"/>
                <w:sz w:val="18"/>
                <w:szCs w:val="18"/>
                <w:color w:val="auto"/>
              </w:rPr>
              <w:t>Notice of General</w:t>
            </w:r>
          </w:p>
        </w:tc>
        <w:tc>
          <w:tcPr>
            <w:tcW w:w="4740" w:type="dxa"/>
            <w:vAlign w:val="bottom"/>
          </w:tcPr>
          <w:p>
            <w:pPr>
              <w:ind w:left="20"/>
              <w:spacing w:after="0"/>
              <w:rPr>
                <w:sz w:val="20"/>
                <w:szCs w:val="20"/>
                <w:color w:val="auto"/>
              </w:rPr>
            </w:pPr>
            <w:r>
              <w:rPr>
                <w:rFonts w:ascii="Arial" w:cs="Arial" w:eastAsia="Arial" w:hAnsi="Arial"/>
                <w:sz w:val="18"/>
                <w:szCs w:val="18"/>
                <w:color w:val="auto"/>
              </w:rPr>
              <w:t>21 clear days’ notice must be given for an annual general</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Meetings</w:t>
            </w:r>
          </w:p>
        </w:tc>
        <w:tc>
          <w:tcPr>
            <w:tcW w:w="4740" w:type="dxa"/>
            <w:vAlign w:val="bottom"/>
          </w:tcPr>
          <w:p>
            <w:pPr>
              <w:ind w:left="20"/>
              <w:spacing w:after="0"/>
              <w:rPr>
                <w:sz w:val="20"/>
                <w:szCs w:val="20"/>
                <w:color w:val="auto"/>
              </w:rPr>
            </w:pPr>
            <w:r>
              <w:rPr>
                <w:rFonts w:ascii="Arial" w:cs="Arial" w:eastAsia="Arial" w:hAnsi="Arial"/>
                <w:sz w:val="18"/>
                <w:szCs w:val="18"/>
                <w:color w:val="auto"/>
                <w:w w:val="99"/>
              </w:rPr>
              <w:t>meeting and any resolutions to be proposed at the meeting.</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7"/>
              </w:rPr>
              <w:t>Subject to a company’s articles of association providing for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longer period, at least 14 clear days’ notice is required for any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other general meeting of a public limited company which fulfil</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certain conditions. In addition, certain matters, such as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resolutions to remove directors or auditors, require special</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notice, which is 28 clear days’ notice. The</w:t>
            </w:r>
          </w:p>
        </w:tc>
      </w:tr>
      <w:tr>
        <w:trPr>
          <w:trHeight w:val="365"/>
        </w:trPr>
        <w:tc>
          <w:tcPr>
            <w:tcW w:w="1660" w:type="dxa"/>
            <w:vAlign w:val="bottom"/>
          </w:tcPr>
          <w:p>
            <w:pPr>
              <w:spacing w:after="0"/>
              <w:rPr>
                <w:sz w:val="24"/>
                <w:szCs w:val="24"/>
                <w:color w:val="auto"/>
              </w:rPr>
            </w:pPr>
          </w:p>
        </w:tc>
        <w:tc>
          <w:tcPr>
            <w:tcW w:w="4740" w:type="dxa"/>
            <w:vAlign w:val="bottom"/>
          </w:tcPr>
          <w:p>
            <w:pPr>
              <w:ind w:left="3760"/>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90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94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ind w:left="9"/>
        <w:spacing w:after="0" w:line="273" w:lineRule="auto"/>
        <w:rPr>
          <w:sz w:val="20"/>
          <w:szCs w:val="20"/>
          <w:color w:val="auto"/>
        </w:rPr>
      </w:pPr>
      <w:r>
        <w:rPr>
          <w:rFonts w:ascii="Arial" w:cs="Arial" w:eastAsia="Arial" w:hAnsi="Arial"/>
          <w:sz w:val="17"/>
          <w:szCs w:val="17"/>
          <w:color w:val="auto"/>
        </w:rPr>
        <w:t>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68" w:lineRule="exact"/>
        <w:rPr>
          <w:sz w:val="20"/>
          <w:szCs w:val="20"/>
          <w:color w:val="auto"/>
        </w:rPr>
      </w:pPr>
    </w:p>
    <w:p>
      <w:pPr>
        <w:ind w:left="9"/>
        <w:spacing w:after="0" w:line="271" w:lineRule="auto"/>
        <w:rPr>
          <w:sz w:val="20"/>
          <w:szCs w:val="20"/>
          <w:color w:val="auto"/>
        </w:rPr>
      </w:pPr>
      <w:r>
        <w:rPr>
          <w:rFonts w:ascii="Arial" w:cs="Arial" w:eastAsia="Arial" w:hAnsi="Arial"/>
          <w:sz w:val="17"/>
          <w:szCs w:val="17"/>
          <w:color w:val="auto"/>
        </w:rPr>
        <w:t>Vacancies and newly created directorships may be filled by a majority of the directors then in office (even though less than a quorum) or by a sole remaining director unless</w:t>
      </w:r>
    </w:p>
    <w:p>
      <w:pPr>
        <w:ind w:left="9" w:right="140" w:hanging="9"/>
        <w:spacing w:after="0" w:line="270" w:lineRule="auto"/>
        <w:tabs>
          <w:tab w:leader="none" w:pos="2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70" w:lineRule="exact"/>
        <w:rPr>
          <w:sz w:val="20"/>
          <w:szCs w:val="20"/>
          <w:color w:val="auto"/>
        </w:rPr>
      </w:pPr>
    </w:p>
    <w:p>
      <w:pPr>
        <w:ind w:left="9" w:right="60"/>
        <w:spacing w:after="0" w:line="301" w:lineRule="auto"/>
        <w:rPr>
          <w:sz w:val="20"/>
          <w:szCs w:val="20"/>
          <w:color w:val="auto"/>
        </w:rPr>
      </w:pPr>
      <w:r>
        <w:rPr>
          <w:rFonts w:ascii="Arial" w:cs="Arial" w:eastAsia="Arial" w:hAnsi="Arial"/>
          <w:sz w:val="16"/>
          <w:szCs w:val="16"/>
          <w:color w:val="auto"/>
        </w:rPr>
        <w:t>The annual meeting of stockholders shall be held at such place, on such date and at such time as may be designated from time to time by the board of directors or as provided in the certificate of incorporation or by the bylaws.</w:t>
      </w:r>
    </w:p>
    <w:p>
      <w:pPr>
        <w:spacing w:after="0" w:line="49" w:lineRule="exact"/>
        <w:rPr>
          <w:sz w:val="20"/>
          <w:szCs w:val="20"/>
          <w:color w:val="auto"/>
        </w:rPr>
      </w:pPr>
    </w:p>
    <w:p>
      <w:pPr>
        <w:ind w:left="9" w:right="220"/>
        <w:spacing w:after="0" w:line="259" w:lineRule="auto"/>
        <w:rPr>
          <w:sz w:val="20"/>
          <w:szCs w:val="20"/>
          <w:color w:val="auto"/>
        </w:rPr>
      </w:pPr>
      <w:r>
        <w:rPr>
          <w:rFonts w:ascii="Arial" w:cs="Arial" w:eastAsia="Arial" w:hAnsi="Arial"/>
          <w:sz w:val="18"/>
          <w:szCs w:val="18"/>
          <w:color w:val="auto"/>
        </w:rPr>
        <w:t>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 w:right="40"/>
        <w:spacing w:after="0" w:line="293" w:lineRule="auto"/>
        <w:rPr>
          <w:sz w:val="20"/>
          <w:szCs w:val="20"/>
          <w:color w:val="auto"/>
        </w:rPr>
      </w:pPr>
      <w:r>
        <w:rPr>
          <w:rFonts w:ascii="Arial" w:cs="Arial" w:eastAsia="Arial" w:hAnsi="Arial"/>
          <w:sz w:val="16"/>
          <w:szCs w:val="16"/>
          <w:color w:val="auto"/>
        </w:rPr>
        <w:t>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p>
      <w:pPr>
        <w:sectPr>
          <w:pgSz w:w="11900" w:h="16838" w:orient="portrait"/>
          <w:cols w:equalWidth="0" w:num="2">
            <w:col w:w="6520" w:space="211"/>
            <w:col w:w="4389"/>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England &amp; Wales</w:t>
            </w:r>
          </w:p>
        </w:tc>
      </w:tr>
      <w:tr>
        <w:trPr>
          <w:trHeight w:val="195"/>
        </w:trPr>
        <w:tc>
          <w:tcPr>
            <w:tcW w:w="1660" w:type="dxa"/>
            <w:vAlign w:val="bottom"/>
          </w:tcPr>
          <w:p>
            <w:pPr>
              <w:spacing w:after="0"/>
              <w:rPr>
                <w:sz w:val="16"/>
                <w:szCs w:val="16"/>
                <w:color w:val="auto"/>
              </w:rPr>
            </w:pPr>
          </w:p>
        </w:tc>
        <w:tc>
          <w:tcPr>
            <w:tcW w:w="4740" w:type="dxa"/>
            <w:vAlign w:val="bottom"/>
          </w:tcPr>
          <w:p>
            <w:pPr>
              <w:ind w:left="20"/>
              <w:spacing w:after="0" w:line="195" w:lineRule="exact"/>
              <w:rPr>
                <w:sz w:val="20"/>
                <w:szCs w:val="20"/>
                <w:color w:val="auto"/>
              </w:rPr>
            </w:pPr>
            <w:r>
              <w:rPr>
                <w:rFonts w:ascii="Arial" w:cs="Arial" w:eastAsia="Arial" w:hAnsi="Arial"/>
                <w:sz w:val="18"/>
                <w:szCs w:val="18"/>
                <w:color w:val="auto"/>
                <w:w w:val="91"/>
              </w:rPr>
              <w:t>shareholders of a company may in all cases consent to a shorter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notice period, the proportion of shareholders’ consent required</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being 100% of those entitled to attend and vote in the case of an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annual general meeting and, in the case of any other general</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meeting, a majority in number of the shareholders having a right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to attend and vote at the meeting, being a majority who together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hold not less than 95% in nominal value of the shares giving a</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right to attend and vote at the meeting.</w:t>
            </w: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Quorum</w:t>
            </w:r>
          </w:p>
        </w:tc>
        <w:tc>
          <w:tcPr>
            <w:tcW w:w="4740" w:type="dxa"/>
            <w:vAlign w:val="bottom"/>
          </w:tcPr>
          <w:p>
            <w:pPr>
              <w:ind w:left="20"/>
              <w:spacing w:after="0"/>
              <w:rPr>
                <w:sz w:val="20"/>
                <w:szCs w:val="20"/>
                <w:color w:val="auto"/>
              </w:rPr>
            </w:pPr>
            <w:r>
              <w:rPr>
                <w:rFonts w:ascii="Arial" w:cs="Arial" w:eastAsia="Arial" w:hAnsi="Arial"/>
                <w:sz w:val="18"/>
                <w:szCs w:val="18"/>
                <w:color w:val="auto"/>
                <w:w w:val="90"/>
              </w:rPr>
              <w:t>Subject to the provisions of a company’s Articles, the Companies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Act provides that two shareholders present at a meeting (in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person, by proxy or authorized under the Companies Act) shall</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constitute a quorum for companies with more than one</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shareholder.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7"/>
          <w:szCs w:val="17"/>
          <w:color w:val="auto"/>
        </w:rPr>
        <w:t>Proxy</w:t>
      </w:r>
      <w:r>
        <w:rPr>
          <w:sz w:val="20"/>
          <w:szCs w:val="20"/>
          <w:color w:val="auto"/>
        </w:rPr>
        <w:tab/>
      </w:r>
      <w:r>
        <w:rPr>
          <w:rFonts w:ascii="Arial" w:cs="Arial" w:eastAsia="Arial" w:hAnsi="Arial"/>
          <w:sz w:val="17"/>
          <w:szCs w:val="17"/>
          <w:color w:val="auto"/>
        </w:rPr>
        <w:t>At any meeting of shareholders, a shareholder may designate</w:t>
      </w:r>
    </w:p>
    <w:p>
      <w:pPr>
        <w:spacing w:after="0" w:line="35" w:lineRule="exact"/>
        <w:rPr>
          <w:sz w:val="20"/>
          <w:szCs w:val="20"/>
          <w:color w:val="auto"/>
        </w:rPr>
      </w:pPr>
    </w:p>
    <w:p>
      <w:pPr>
        <w:ind w:left="1800" w:right="180"/>
        <w:spacing w:after="0" w:line="260" w:lineRule="auto"/>
        <w:rPr>
          <w:sz w:val="20"/>
          <w:szCs w:val="20"/>
          <w:color w:val="auto"/>
        </w:rPr>
      </w:pPr>
      <w:r>
        <w:rPr>
          <w:rFonts w:ascii="Arial" w:cs="Arial" w:eastAsia="Arial" w:hAnsi="Arial"/>
          <w:sz w:val="18"/>
          <w:szCs w:val="18"/>
          <w:color w:val="auto"/>
        </w:rPr>
        <w:t>another person to attend, speak and vote at the meeting on their behalf by proxy.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6"/>
          <w:szCs w:val="16"/>
          <w:color w:val="auto"/>
        </w:rPr>
        <w:t>“Equity securities”, being (i) shares in the company other than</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shares that, with respect to dividends and capital, carry a right to</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participate only up to a specified amount in a distribution</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(“ordinary shares”) or (ii) rights to subscribe for, or to convert</w:t>
      </w:r>
    </w:p>
    <w:p>
      <w:pPr>
        <w:spacing w:after="0" w:line="21"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securities into, ordinary shares, proposed to be allotted for cash</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must be offered first to the existing equity shareholders in the</w:t>
      </w:r>
    </w:p>
    <w:p>
      <w:pPr>
        <w:spacing w:after="0" w:line="21"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company in proportion to the respective nominal value of their</w:t>
      </w:r>
    </w:p>
    <w:p>
      <w:pPr>
        <w:spacing w:after="0" w:line="21"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holdings, unless the period during which any such offer may be</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accepted as expired or the company has received notice of</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acceptance of refusal, or an exception applies or a special</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resolution to the contrary has been passed by shareholders in a</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general meeting or the articles of association provide</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6520" w:space="220"/>
            <w:col w:w="438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England &amp; Wales</w:t>
            </w:r>
          </w:p>
        </w:tc>
      </w:tr>
      <w:tr>
        <w:trPr>
          <w:trHeight w:val="195"/>
        </w:trPr>
        <w:tc>
          <w:tcPr>
            <w:tcW w:w="1660" w:type="dxa"/>
            <w:vAlign w:val="bottom"/>
          </w:tcPr>
          <w:p>
            <w:pPr>
              <w:spacing w:after="0"/>
              <w:rPr>
                <w:sz w:val="16"/>
                <w:szCs w:val="16"/>
                <w:color w:val="auto"/>
              </w:rPr>
            </w:pPr>
          </w:p>
        </w:tc>
        <w:tc>
          <w:tcPr>
            <w:tcW w:w="4740" w:type="dxa"/>
            <w:vAlign w:val="bottom"/>
          </w:tcPr>
          <w:p>
            <w:pPr>
              <w:ind w:left="20"/>
              <w:spacing w:after="0" w:line="195" w:lineRule="exact"/>
              <w:rPr>
                <w:sz w:val="20"/>
                <w:szCs w:val="20"/>
                <w:color w:val="auto"/>
              </w:rPr>
            </w:pPr>
            <w:r>
              <w:rPr>
                <w:rFonts w:ascii="Arial" w:cs="Arial" w:eastAsia="Arial" w:hAnsi="Arial"/>
                <w:sz w:val="18"/>
                <w:szCs w:val="18"/>
                <w:color w:val="auto"/>
                <w:w w:val="92"/>
              </w:rPr>
              <w:t>otherwise (in each case in accordance with the provisions of the</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Companies Act).</w:t>
            </w: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Authority to Allot</w:t>
            </w:r>
          </w:p>
        </w:tc>
        <w:tc>
          <w:tcPr>
            <w:tcW w:w="4740" w:type="dxa"/>
            <w:vAlign w:val="bottom"/>
          </w:tcPr>
          <w:p>
            <w:pPr>
              <w:ind w:left="20"/>
              <w:spacing w:after="0"/>
              <w:rPr>
                <w:sz w:val="20"/>
                <w:szCs w:val="20"/>
                <w:color w:val="auto"/>
              </w:rPr>
            </w:pPr>
            <w:r>
              <w:rPr>
                <w:rFonts w:ascii="Arial" w:cs="Arial" w:eastAsia="Arial" w:hAnsi="Arial"/>
                <w:sz w:val="18"/>
                <w:szCs w:val="18"/>
                <w:color w:val="auto"/>
                <w:w w:val="93"/>
              </w:rPr>
              <w:t>The directors of a company must not allot shares or grant rights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to subscribe for or to convert any security into shares unless an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exception applies or an ordinary resolution to the contrary has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0"/>
              </w:rPr>
              <w:t>been passed by shareholders in a general meeting or the articles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9"/>
              </w:rPr>
              <w:t>of association provide otherwise (in each case in accordance with</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the provisions of the Companies Act 2006).</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Liability of</w:t>
      </w:r>
      <w:r>
        <w:rPr>
          <w:sz w:val="20"/>
          <w:szCs w:val="20"/>
          <w:color w:val="auto"/>
        </w:rPr>
        <w:tab/>
      </w:r>
      <w:r>
        <w:rPr>
          <w:rFonts w:ascii="Arial" w:cs="Arial" w:eastAsia="Arial" w:hAnsi="Arial"/>
          <w:sz w:val="16"/>
          <w:szCs w:val="16"/>
          <w:color w:val="auto"/>
        </w:rPr>
        <w:t>Any provision (whether contained in a company’s articles of</w:t>
      </w:r>
    </w:p>
    <w:p>
      <w:pPr>
        <w:spacing w:after="0" w:line="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Directors and</w:t>
      </w:r>
      <w:r>
        <w:rPr>
          <w:sz w:val="20"/>
          <w:szCs w:val="20"/>
          <w:color w:val="auto"/>
        </w:rPr>
        <w:tab/>
      </w:r>
      <w:r>
        <w:rPr>
          <w:rFonts w:ascii="Arial" w:cs="Arial" w:eastAsia="Arial" w:hAnsi="Arial"/>
          <w:sz w:val="16"/>
          <w:szCs w:val="16"/>
          <w:color w:val="auto"/>
        </w:rPr>
        <w:t>association or any contract or otherwise) that purports to exempt</w:t>
      </w:r>
    </w:p>
    <w:p>
      <w:pPr>
        <w:spacing w:after="0" w:line="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7"/>
          <w:szCs w:val="17"/>
          <w:color w:val="auto"/>
        </w:rPr>
        <w:t>Officers</w:t>
      </w:r>
      <w:r>
        <w:rPr>
          <w:sz w:val="20"/>
          <w:szCs w:val="20"/>
          <w:color w:val="auto"/>
        </w:rPr>
        <w:tab/>
      </w:r>
      <w:r>
        <w:rPr>
          <w:rFonts w:ascii="Arial" w:cs="Arial" w:eastAsia="Arial" w:hAnsi="Arial"/>
          <w:sz w:val="17"/>
          <w:szCs w:val="17"/>
          <w:color w:val="auto"/>
        </w:rPr>
        <w:t>a director of a company, to any extent, from any liability that</w:t>
      </w:r>
    </w:p>
    <w:p>
      <w:pPr>
        <w:spacing w:after="0" w:line="21" w:lineRule="exact"/>
        <w:rPr>
          <w:sz w:val="20"/>
          <w:szCs w:val="20"/>
          <w:color w:val="auto"/>
        </w:rPr>
      </w:pPr>
    </w:p>
    <w:p>
      <w:pPr>
        <w:ind w:left="1800" w:right="180"/>
        <w:spacing w:after="0" w:line="255" w:lineRule="auto"/>
        <w:rPr>
          <w:sz w:val="20"/>
          <w:szCs w:val="20"/>
          <w:color w:val="auto"/>
        </w:rPr>
      </w:pPr>
      <w:r>
        <w:rPr>
          <w:rFonts w:ascii="Arial" w:cs="Arial" w:eastAsia="Arial" w:hAnsi="Arial"/>
          <w:sz w:val="18"/>
          <w:szCs w:val="18"/>
          <w:color w:val="auto"/>
        </w:rPr>
        <w:t>would otherwise attach to him in connection with any negligence, default, breach of duty or breach of trust in relation to the company is void.</w:t>
      </w:r>
    </w:p>
    <w:p>
      <w:pPr>
        <w:spacing w:after="0" w:line="95" w:lineRule="exact"/>
        <w:rPr>
          <w:sz w:val="20"/>
          <w:szCs w:val="20"/>
          <w:color w:val="auto"/>
        </w:rPr>
      </w:pPr>
    </w:p>
    <w:p>
      <w:pPr>
        <w:ind w:left="1800" w:right="100"/>
        <w:spacing w:after="0" w:line="286" w:lineRule="auto"/>
        <w:rPr>
          <w:sz w:val="20"/>
          <w:szCs w:val="20"/>
          <w:color w:val="auto"/>
        </w:rPr>
      </w:pPr>
      <w:r>
        <w:rPr>
          <w:rFonts w:ascii="Arial" w:cs="Arial" w:eastAsia="Arial" w:hAnsi="Arial"/>
          <w:sz w:val="16"/>
          <w:szCs w:val="16"/>
          <w:color w:val="auto"/>
        </w:rPr>
        <w:t>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Companies Act, which provides exceptions for the company to (a) purchase and maintain insurance against such liability; (b) provide a “qualifying third party indemnity” (being an indemnity against liability incurred by the director to a person other than the company or an associated company; and (c) provide a “qualifying pension scheme indemnity” (being an indemnity against liability incurred in connection with the company’s activities as trustee of an occupational pension plan).</w:t>
      </w:r>
    </w:p>
    <w:p>
      <w:pPr>
        <w:spacing w:after="0" w:line="76"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Under the model articles of public companies, unless a poll is</w:t>
      </w:r>
    </w:p>
    <w:p>
      <w:pPr>
        <w:spacing w:after="0" w:line="23" w:lineRule="exact"/>
        <w:rPr>
          <w:sz w:val="20"/>
          <w:szCs w:val="20"/>
          <w:color w:val="auto"/>
        </w:rPr>
      </w:pPr>
    </w:p>
    <w:p>
      <w:pPr>
        <w:ind w:left="1800" w:right="20"/>
        <w:spacing w:after="0" w:line="273" w:lineRule="auto"/>
        <w:rPr>
          <w:sz w:val="20"/>
          <w:szCs w:val="20"/>
          <w:color w:val="auto"/>
        </w:rPr>
      </w:pPr>
      <w:r>
        <w:rPr>
          <w:rFonts w:ascii="Arial" w:cs="Arial" w:eastAsia="Arial" w:hAnsi="Arial"/>
          <w:sz w:val="17"/>
          <w:szCs w:val="17"/>
          <w:color w:val="auto"/>
        </w:rPr>
        <w:t>demanded by the shareholders of a company or is required by the chairman of the meeting or by the company’s articles of association, shareholders shall vote on all resolutions on a show of hands. Under the Companies Act 2006, a poll may be</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58"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A corporation’s certificate of incorporation may include a provision eliminating or limiting the personal liability of a director to the corporation and its stockholders for damages arising from a breach of fiduciary duty as a director.</w:t>
      </w:r>
    </w:p>
    <w:p>
      <w:pPr>
        <w:spacing w:after="0" w:line="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However, no provision can limit the liability of a director for:</w:t>
      </w:r>
    </w:p>
    <w:p>
      <w:pPr>
        <w:spacing w:after="0" w:line="91" w:lineRule="exact"/>
        <w:rPr>
          <w:sz w:val="20"/>
          <w:szCs w:val="20"/>
          <w:color w:val="auto"/>
        </w:rPr>
      </w:pPr>
    </w:p>
    <w:p>
      <w:pPr>
        <w:ind w:left="540" w:right="340" w:hanging="269"/>
        <w:spacing w:after="0" w:line="277" w:lineRule="auto"/>
        <w:rPr>
          <w:sz w:val="20"/>
          <w:szCs w:val="20"/>
          <w:color w:val="auto"/>
        </w:rPr>
      </w:pPr>
      <w:r>
        <w:rPr>
          <w:rFonts w:ascii="Arial" w:cs="Arial" w:eastAsia="Arial" w:hAnsi="Arial"/>
          <w:sz w:val="18"/>
          <w:szCs w:val="18"/>
          <w:color w:val="auto"/>
        </w:rPr>
        <w:t>•  any breach of the director’s duty of loyalty to the corporation or its stockholders;</w:t>
      </w:r>
    </w:p>
    <w:p>
      <w:pPr>
        <w:spacing w:after="0" w:line="76" w:lineRule="exact"/>
        <w:rPr>
          <w:sz w:val="20"/>
          <w:szCs w:val="20"/>
          <w:color w:val="auto"/>
        </w:rPr>
      </w:pPr>
    </w:p>
    <w:p>
      <w:pPr>
        <w:jc w:val="both"/>
        <w:ind w:left="540" w:right="280" w:hanging="269"/>
        <w:spacing w:after="0" w:line="263" w:lineRule="auto"/>
        <w:rPr>
          <w:sz w:val="20"/>
          <w:szCs w:val="20"/>
          <w:color w:val="auto"/>
        </w:rPr>
      </w:pPr>
      <w:r>
        <w:rPr>
          <w:rFonts w:ascii="Arial" w:cs="Arial" w:eastAsia="Arial" w:hAnsi="Arial"/>
          <w:sz w:val="18"/>
          <w:szCs w:val="18"/>
          <w:color w:val="auto"/>
        </w:rPr>
        <w:t>•  acts or omissions not in good faith or that involve intentional misconduct or a knowing violation of law;</w:t>
      </w:r>
    </w:p>
    <w:p>
      <w:pPr>
        <w:spacing w:after="0" w:line="89" w:lineRule="exact"/>
        <w:rPr>
          <w:sz w:val="20"/>
          <w:szCs w:val="20"/>
          <w:color w:val="auto"/>
        </w:rPr>
      </w:pPr>
    </w:p>
    <w:p>
      <w:pPr>
        <w:ind w:left="540" w:right="400" w:hanging="269"/>
        <w:spacing w:after="0" w:line="342" w:lineRule="auto"/>
        <w:rPr>
          <w:sz w:val="20"/>
          <w:szCs w:val="20"/>
          <w:color w:val="auto"/>
        </w:rPr>
      </w:pPr>
      <w:r>
        <w:rPr>
          <w:rFonts w:ascii="Arial" w:cs="Arial" w:eastAsia="Arial" w:hAnsi="Arial"/>
          <w:sz w:val="16"/>
          <w:szCs w:val="16"/>
          <w:color w:val="auto"/>
        </w:rPr>
        <w:t>•  intentional or negligent payment of unlawful dividends or stock purchases or redemptions; or</w:t>
      </w:r>
    </w:p>
    <w:p>
      <w:pPr>
        <w:spacing w:after="0" w:line="29" w:lineRule="exact"/>
        <w:rPr>
          <w:sz w:val="20"/>
          <w:szCs w:val="20"/>
          <w:color w:val="auto"/>
        </w:rPr>
      </w:pPr>
    </w:p>
    <w:p>
      <w:pPr>
        <w:ind w:left="540" w:right="240" w:hanging="269"/>
        <w:spacing w:after="0" w:line="277" w:lineRule="auto"/>
        <w:rPr>
          <w:sz w:val="20"/>
          <w:szCs w:val="20"/>
          <w:color w:val="auto"/>
        </w:rPr>
      </w:pPr>
      <w:r>
        <w:rPr>
          <w:rFonts w:ascii="Arial" w:cs="Arial" w:eastAsia="Arial" w:hAnsi="Arial"/>
          <w:sz w:val="18"/>
          <w:szCs w:val="18"/>
          <w:color w:val="auto"/>
        </w:rPr>
        <w:t>•  any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520" w:space="220"/>
            <w:col w:w="438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England &amp; Wales</w:t>
            </w:r>
          </w:p>
        </w:tc>
      </w:tr>
      <w:tr>
        <w:trPr>
          <w:trHeight w:val="195"/>
        </w:trPr>
        <w:tc>
          <w:tcPr>
            <w:tcW w:w="1660" w:type="dxa"/>
            <w:vAlign w:val="bottom"/>
          </w:tcPr>
          <w:p>
            <w:pPr>
              <w:spacing w:after="0"/>
              <w:rPr>
                <w:sz w:val="16"/>
                <w:szCs w:val="16"/>
                <w:color w:val="auto"/>
              </w:rPr>
            </w:pPr>
          </w:p>
        </w:tc>
        <w:tc>
          <w:tcPr>
            <w:tcW w:w="4740" w:type="dxa"/>
            <w:vAlign w:val="bottom"/>
          </w:tcPr>
          <w:p>
            <w:pPr>
              <w:ind w:left="20"/>
              <w:spacing w:after="0" w:line="195" w:lineRule="exact"/>
              <w:rPr>
                <w:sz w:val="20"/>
                <w:szCs w:val="20"/>
                <w:color w:val="auto"/>
              </w:rPr>
            </w:pPr>
            <w:r>
              <w:rPr>
                <w:rFonts w:ascii="Arial" w:cs="Arial" w:eastAsia="Arial" w:hAnsi="Arial"/>
                <w:sz w:val="18"/>
                <w:szCs w:val="18"/>
                <w:color w:val="auto"/>
                <w:w w:val="96"/>
              </w:rPr>
              <w:t>demanded by (a) not fewer than five shareholders having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right to vote on the resolution; (b) any shareholder(s)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representing not less than 10% of the total voting rights of all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shareholders having the right to vote on the resolution; or (c) any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shareholder(s) holding shares in the company conferring a right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9"/>
              </w:rPr>
              <w:t>to vote on the resolution being shares on which an aggregate sum</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9"/>
              </w:rPr>
              <w:t>has been paid up equal to not less than 10% of the total sum paid</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up on all the shares conferring that right. A company’s articles of</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association may provide more extensive rights for shareholders</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 call a poll.</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Under English law, an ordinary resolution is passed on a show of</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hands if it is approved by a simple majority (more than 50%) of</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the votes cast by shareholders present (in person or by proxy)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and entitled to vote. If a poll is demanded, an ordinary resolution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is passed if it is approved by holders representing a simple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majority of the total voting rights of shareholders present, in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person or by proxy, who, being entitled to vote, vote on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resolution. Special resolutions require the affirmative vote of not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8"/>
              </w:rPr>
              <w:t>less than 75% of the votes cast by shareholders present, in person</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or by proxy, at the meeting.</w:t>
            </w:r>
          </w:p>
        </w:tc>
      </w:tr>
      <w:tr>
        <w:trPr>
          <w:trHeight w:val="323"/>
        </w:trPr>
        <w:tc>
          <w:tcPr>
            <w:tcW w:w="1660" w:type="dxa"/>
            <w:vAlign w:val="bottom"/>
          </w:tcPr>
          <w:p>
            <w:pPr>
              <w:spacing w:after="0"/>
              <w:rPr>
                <w:sz w:val="20"/>
                <w:szCs w:val="20"/>
                <w:color w:val="auto"/>
              </w:rPr>
            </w:pPr>
            <w:r>
              <w:rPr>
                <w:rFonts w:ascii="Arial" w:cs="Arial" w:eastAsia="Arial" w:hAnsi="Arial"/>
                <w:sz w:val="18"/>
                <w:szCs w:val="18"/>
                <w:color w:val="auto"/>
              </w:rPr>
              <w:t>Shareholder Vote</w:t>
            </w:r>
          </w:p>
        </w:tc>
        <w:tc>
          <w:tcPr>
            <w:tcW w:w="4740" w:type="dxa"/>
            <w:vAlign w:val="bottom"/>
          </w:tcPr>
          <w:p>
            <w:pPr>
              <w:ind w:left="20"/>
              <w:spacing w:after="0"/>
              <w:rPr>
                <w:sz w:val="20"/>
                <w:szCs w:val="20"/>
                <w:color w:val="auto"/>
              </w:rPr>
            </w:pPr>
            <w:r>
              <w:rPr>
                <w:rFonts w:ascii="Arial" w:cs="Arial" w:eastAsia="Arial" w:hAnsi="Arial"/>
                <w:sz w:val="18"/>
                <w:szCs w:val="18"/>
                <w:color w:val="auto"/>
                <w:w w:val="90"/>
              </w:rPr>
              <w:t>The Companies Act provides for schemes of arrangement, which</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on Certain</w:t>
            </w:r>
          </w:p>
        </w:tc>
        <w:tc>
          <w:tcPr>
            <w:tcW w:w="4740" w:type="dxa"/>
            <w:vAlign w:val="bottom"/>
          </w:tcPr>
          <w:p>
            <w:pPr>
              <w:ind w:left="20"/>
              <w:spacing w:after="0"/>
              <w:rPr>
                <w:sz w:val="20"/>
                <w:szCs w:val="20"/>
                <w:color w:val="auto"/>
              </w:rPr>
            </w:pPr>
            <w:r>
              <w:rPr>
                <w:rFonts w:ascii="Arial" w:cs="Arial" w:eastAsia="Arial" w:hAnsi="Arial"/>
                <w:sz w:val="18"/>
                <w:szCs w:val="18"/>
                <w:color w:val="auto"/>
                <w:w w:val="92"/>
              </w:rPr>
              <w:t>are arrangements or compromises between a company and any</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Transactions</w:t>
            </w:r>
          </w:p>
        </w:tc>
        <w:tc>
          <w:tcPr>
            <w:tcW w:w="4740" w:type="dxa"/>
            <w:vAlign w:val="bottom"/>
          </w:tcPr>
          <w:p>
            <w:pPr>
              <w:ind w:left="20"/>
              <w:spacing w:after="0"/>
              <w:rPr>
                <w:sz w:val="20"/>
                <w:szCs w:val="20"/>
                <w:color w:val="auto"/>
              </w:rPr>
            </w:pPr>
            <w:r>
              <w:rPr>
                <w:rFonts w:ascii="Arial" w:cs="Arial" w:eastAsia="Arial" w:hAnsi="Arial"/>
                <w:sz w:val="18"/>
                <w:szCs w:val="18"/>
                <w:color w:val="auto"/>
                <w:w w:val="90"/>
              </w:rPr>
              <w:t>class of shareholders or creditors that are used in certain types of</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reconstructions, amalgamations, capital reorganizations or</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takeovers. These arrangements require:</w:t>
            </w:r>
          </w:p>
        </w:tc>
      </w:tr>
      <w:tr>
        <w:trPr>
          <w:trHeight w:val="323"/>
        </w:trPr>
        <w:tc>
          <w:tcPr>
            <w:tcW w:w="1660" w:type="dxa"/>
            <w:vAlign w:val="bottom"/>
          </w:tcPr>
          <w:p>
            <w:pPr>
              <w:spacing w:after="0"/>
              <w:rPr>
                <w:sz w:val="24"/>
                <w:szCs w:val="24"/>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•  the approval at a shareholders’ or creditors’ meeting</w:t>
            </w:r>
          </w:p>
        </w:tc>
      </w:tr>
      <w:tr>
        <w:trPr>
          <w:trHeight w:val="216"/>
        </w:trPr>
        <w:tc>
          <w:tcPr>
            <w:tcW w:w="1660" w:type="dxa"/>
            <w:vAlign w:val="bottom"/>
          </w:tcPr>
          <w:p>
            <w:pPr>
              <w:spacing w:after="0"/>
              <w:rPr>
                <w:sz w:val="18"/>
                <w:szCs w:val="18"/>
                <w:color w:val="auto"/>
              </w:rPr>
            </w:pPr>
          </w:p>
        </w:tc>
        <w:tc>
          <w:tcPr>
            <w:tcW w:w="4740" w:type="dxa"/>
            <w:vAlign w:val="bottom"/>
          </w:tcPr>
          <w:p>
            <w:pPr>
              <w:ind w:left="560"/>
              <w:spacing w:after="0"/>
              <w:rPr>
                <w:sz w:val="20"/>
                <w:szCs w:val="20"/>
                <w:color w:val="auto"/>
              </w:rPr>
            </w:pPr>
            <w:r>
              <w:rPr>
                <w:rFonts w:ascii="Arial" w:cs="Arial" w:eastAsia="Arial" w:hAnsi="Arial"/>
                <w:sz w:val="18"/>
                <w:szCs w:val="18"/>
                <w:color w:val="auto"/>
                <w:w w:val="95"/>
              </w:rPr>
              <w:t>convened by order of the court, of a majority in number</w:t>
            </w:r>
          </w:p>
        </w:tc>
      </w:tr>
      <w:tr>
        <w:trPr>
          <w:trHeight w:val="216"/>
        </w:trPr>
        <w:tc>
          <w:tcPr>
            <w:tcW w:w="1660" w:type="dxa"/>
            <w:vAlign w:val="bottom"/>
          </w:tcPr>
          <w:p>
            <w:pPr>
              <w:spacing w:after="0"/>
              <w:rPr>
                <w:sz w:val="18"/>
                <w:szCs w:val="18"/>
                <w:color w:val="auto"/>
              </w:rPr>
            </w:pPr>
          </w:p>
        </w:tc>
        <w:tc>
          <w:tcPr>
            <w:tcW w:w="4740" w:type="dxa"/>
            <w:vAlign w:val="bottom"/>
          </w:tcPr>
          <w:p>
            <w:pPr>
              <w:ind w:left="560"/>
              <w:spacing w:after="0"/>
              <w:rPr>
                <w:sz w:val="20"/>
                <w:szCs w:val="20"/>
                <w:color w:val="auto"/>
              </w:rPr>
            </w:pPr>
            <w:r>
              <w:rPr>
                <w:rFonts w:ascii="Arial" w:cs="Arial" w:eastAsia="Arial" w:hAnsi="Arial"/>
                <w:sz w:val="18"/>
                <w:szCs w:val="18"/>
                <w:color w:val="auto"/>
                <w:w w:val="91"/>
              </w:rPr>
              <w:t>of shareholders or creditors representing 75% in value of</w:t>
            </w:r>
          </w:p>
        </w:tc>
      </w:tr>
      <w:tr>
        <w:trPr>
          <w:trHeight w:val="216"/>
        </w:trPr>
        <w:tc>
          <w:tcPr>
            <w:tcW w:w="1660" w:type="dxa"/>
            <w:vAlign w:val="bottom"/>
          </w:tcPr>
          <w:p>
            <w:pPr>
              <w:spacing w:after="0"/>
              <w:rPr>
                <w:sz w:val="18"/>
                <w:szCs w:val="18"/>
                <w:color w:val="auto"/>
              </w:rPr>
            </w:pPr>
          </w:p>
        </w:tc>
        <w:tc>
          <w:tcPr>
            <w:tcW w:w="4740" w:type="dxa"/>
            <w:vAlign w:val="bottom"/>
          </w:tcPr>
          <w:p>
            <w:pPr>
              <w:ind w:left="560"/>
              <w:spacing w:after="0"/>
              <w:rPr>
                <w:sz w:val="20"/>
                <w:szCs w:val="20"/>
                <w:color w:val="auto"/>
              </w:rPr>
            </w:pPr>
            <w:r>
              <w:rPr>
                <w:rFonts w:ascii="Arial" w:cs="Arial" w:eastAsia="Arial" w:hAnsi="Arial"/>
                <w:sz w:val="18"/>
                <w:szCs w:val="18"/>
                <w:color w:val="auto"/>
              </w:rPr>
              <w:t>the capital held by, or a class thereof, the class of</w:t>
            </w:r>
          </w:p>
        </w:tc>
      </w:tr>
      <w:tr>
        <w:trPr>
          <w:trHeight w:val="216"/>
        </w:trPr>
        <w:tc>
          <w:tcPr>
            <w:tcW w:w="1660" w:type="dxa"/>
            <w:vAlign w:val="bottom"/>
          </w:tcPr>
          <w:p>
            <w:pPr>
              <w:spacing w:after="0"/>
              <w:rPr>
                <w:sz w:val="18"/>
                <w:szCs w:val="18"/>
                <w:color w:val="auto"/>
              </w:rPr>
            </w:pPr>
          </w:p>
        </w:tc>
        <w:tc>
          <w:tcPr>
            <w:tcW w:w="4740" w:type="dxa"/>
            <w:vAlign w:val="bottom"/>
          </w:tcPr>
          <w:p>
            <w:pPr>
              <w:ind w:left="560"/>
              <w:spacing w:after="0"/>
              <w:rPr>
                <w:sz w:val="20"/>
                <w:szCs w:val="20"/>
                <w:color w:val="auto"/>
              </w:rPr>
            </w:pPr>
            <w:r>
              <w:rPr>
                <w:rFonts w:ascii="Arial" w:cs="Arial" w:eastAsia="Arial" w:hAnsi="Arial"/>
                <w:sz w:val="18"/>
                <w:szCs w:val="18"/>
                <w:color w:val="auto"/>
                <w:w w:val="96"/>
              </w:rPr>
              <w:t>shareholders or creditors, or class thereof present and</w:t>
            </w:r>
          </w:p>
        </w:tc>
      </w:tr>
      <w:tr>
        <w:trPr>
          <w:trHeight w:val="230"/>
        </w:trPr>
        <w:tc>
          <w:tcPr>
            <w:tcW w:w="1660" w:type="dxa"/>
            <w:vAlign w:val="bottom"/>
          </w:tcPr>
          <w:p>
            <w:pPr>
              <w:spacing w:after="0"/>
              <w:rPr>
                <w:sz w:val="20"/>
                <w:szCs w:val="20"/>
                <w:color w:val="auto"/>
              </w:rPr>
            </w:pPr>
          </w:p>
        </w:tc>
        <w:tc>
          <w:tcPr>
            <w:tcW w:w="4740" w:type="dxa"/>
            <w:vAlign w:val="bottom"/>
          </w:tcPr>
          <w:p>
            <w:pPr>
              <w:ind w:left="560"/>
              <w:spacing w:after="0"/>
              <w:rPr>
                <w:sz w:val="20"/>
                <w:szCs w:val="20"/>
                <w:color w:val="auto"/>
              </w:rPr>
            </w:pPr>
            <w:r>
              <w:rPr>
                <w:rFonts w:ascii="Arial" w:cs="Arial" w:eastAsia="Arial" w:hAnsi="Arial"/>
                <w:sz w:val="18"/>
                <w:szCs w:val="18"/>
                <w:color w:val="auto"/>
              </w:rPr>
              <w:t>voting, either in person or by proxy; and</w:t>
            </w:r>
          </w:p>
        </w:tc>
      </w:tr>
      <w:tr>
        <w:trPr>
          <w:trHeight w:val="338"/>
        </w:trPr>
        <w:tc>
          <w:tcPr>
            <w:tcW w:w="1660" w:type="dxa"/>
            <w:vAlign w:val="bottom"/>
          </w:tcPr>
          <w:p>
            <w:pPr>
              <w:spacing w:after="0"/>
              <w:rPr>
                <w:sz w:val="24"/>
                <w:szCs w:val="24"/>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•  the approval of the court.</w:t>
            </w:r>
          </w:p>
        </w:tc>
      </w:tr>
      <w:tr>
        <w:trPr>
          <w:trHeight w:val="323"/>
        </w:trPr>
        <w:tc>
          <w:tcPr>
            <w:tcW w:w="1660" w:type="dxa"/>
            <w:vAlign w:val="bottom"/>
          </w:tcPr>
          <w:p>
            <w:pPr>
              <w:spacing w:after="0"/>
              <w:rPr>
                <w:sz w:val="20"/>
                <w:szCs w:val="20"/>
                <w:color w:val="auto"/>
              </w:rPr>
            </w:pPr>
            <w:r>
              <w:rPr>
                <w:rFonts w:ascii="Arial" w:cs="Arial" w:eastAsia="Arial" w:hAnsi="Arial"/>
                <w:sz w:val="18"/>
                <w:szCs w:val="18"/>
                <w:color w:val="auto"/>
              </w:rPr>
              <w:t>Standard of</w:t>
            </w:r>
          </w:p>
        </w:tc>
        <w:tc>
          <w:tcPr>
            <w:tcW w:w="4740" w:type="dxa"/>
            <w:vAlign w:val="bottom"/>
          </w:tcPr>
          <w:p>
            <w:pPr>
              <w:ind w:left="20"/>
              <w:spacing w:after="0"/>
              <w:rPr>
                <w:sz w:val="20"/>
                <w:szCs w:val="20"/>
                <w:color w:val="auto"/>
              </w:rPr>
            </w:pPr>
            <w:r>
              <w:rPr>
                <w:rFonts w:ascii="Arial" w:cs="Arial" w:eastAsia="Arial" w:hAnsi="Arial"/>
                <w:sz w:val="18"/>
                <w:szCs w:val="18"/>
                <w:color w:val="auto"/>
                <w:w w:val="99"/>
              </w:rPr>
              <w:t>A director owes various statutory and fiduciary duties to the</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Conduct for</w:t>
            </w:r>
          </w:p>
        </w:tc>
        <w:tc>
          <w:tcPr>
            <w:tcW w:w="4740" w:type="dxa"/>
            <w:vAlign w:val="bottom"/>
          </w:tcPr>
          <w:p>
            <w:pPr>
              <w:ind w:left="20"/>
              <w:spacing w:after="0"/>
              <w:rPr>
                <w:sz w:val="20"/>
                <w:szCs w:val="20"/>
                <w:color w:val="auto"/>
              </w:rPr>
            </w:pPr>
            <w:r>
              <w:rPr>
                <w:rFonts w:ascii="Arial" w:cs="Arial" w:eastAsia="Arial" w:hAnsi="Arial"/>
                <w:sz w:val="18"/>
                <w:szCs w:val="18"/>
                <w:color w:val="auto"/>
              </w:rPr>
              <w:t>company, including:</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Directors</w:t>
            </w:r>
          </w:p>
        </w:tc>
        <w:tc>
          <w:tcPr>
            <w:tcW w:w="4740" w:type="dxa"/>
            <w:vAlign w:val="bottom"/>
          </w:tcPr>
          <w:p>
            <w:pPr>
              <w:spacing w:after="0"/>
              <w:rPr>
                <w:sz w:val="20"/>
                <w:szCs w:val="20"/>
                <w:color w:val="auto"/>
              </w:rPr>
            </w:pPr>
          </w:p>
        </w:tc>
      </w:tr>
      <w:tr>
        <w:trPr>
          <w:trHeight w:val="378"/>
        </w:trPr>
        <w:tc>
          <w:tcPr>
            <w:tcW w:w="1660" w:type="dxa"/>
            <w:vAlign w:val="bottom"/>
          </w:tcPr>
          <w:p>
            <w:pPr>
              <w:spacing w:after="0"/>
              <w:rPr>
                <w:sz w:val="24"/>
                <w:szCs w:val="24"/>
                <w:color w:val="auto"/>
              </w:rPr>
            </w:pPr>
          </w:p>
        </w:tc>
        <w:tc>
          <w:tcPr>
            <w:tcW w:w="4740" w:type="dxa"/>
            <w:vAlign w:val="bottom"/>
          </w:tcPr>
          <w:p>
            <w:pPr>
              <w:ind w:left="3760"/>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Generally, unless the certificate of incorporation provides for the vote of a larger portion of the stock, completion of a merger, consolidation, sale, lease or exchange of all or substantially all of a corporation’s assets or dissolution requires: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•  the approval of the board of directors; and</w:t>
      </w:r>
    </w:p>
    <w:p>
      <w:pPr>
        <w:spacing w:after="0" w:line="131" w:lineRule="exact"/>
        <w:rPr>
          <w:sz w:val="20"/>
          <w:szCs w:val="20"/>
          <w:color w:val="auto"/>
        </w:rPr>
      </w:pPr>
    </w:p>
    <w:p>
      <w:pPr>
        <w:ind w:left="540" w:right="20" w:hanging="269"/>
        <w:spacing w:after="0" w:line="296" w:lineRule="auto"/>
        <w:rPr>
          <w:sz w:val="20"/>
          <w:szCs w:val="20"/>
          <w:color w:val="auto"/>
        </w:rPr>
      </w:pPr>
      <w:r>
        <w:rPr>
          <w:rFonts w:ascii="Arial" w:cs="Arial" w:eastAsia="Arial" w:hAnsi="Arial"/>
          <w:sz w:val="16"/>
          <w:szCs w:val="16"/>
          <w:color w:val="auto"/>
        </w:rPr>
        <w:t>•  approval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28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w:t>
      </w:r>
    </w:p>
    <w:p>
      <w:pPr>
        <w:sectPr>
          <w:pgSz w:w="11900" w:h="16838" w:orient="portrait"/>
          <w:cols w:equalWidth="0" w:num="2">
            <w:col w:w="6520" w:space="220"/>
            <w:col w:w="438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England &amp;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15240</wp:posOffset>
            </wp:positionV>
            <wp:extent cx="30003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4" w:lineRule="exact"/>
        <w:rPr>
          <w:sz w:val="20"/>
          <w:szCs w:val="20"/>
          <w:color w:val="auto"/>
        </w:rPr>
      </w:pPr>
    </w:p>
    <w:p>
      <w:pPr>
        <w:ind w:left="2340" w:right="20" w:hanging="269"/>
        <w:spacing w:after="0" w:line="275" w:lineRule="auto"/>
        <w:rPr>
          <w:sz w:val="20"/>
          <w:szCs w:val="20"/>
          <w:color w:val="auto"/>
        </w:rPr>
      </w:pPr>
      <w:r>
        <w:rPr>
          <w:rFonts w:ascii="Arial" w:cs="Arial" w:eastAsia="Arial" w:hAnsi="Arial"/>
          <w:sz w:val="17"/>
          <w:szCs w:val="17"/>
          <w:color w:val="auto"/>
        </w:rPr>
        <w:t>•  to act in the way he considers, in good faith, would be most likely to promote the success of the company for the benefit of its shareholders as a whole, subject in certain specified circumstances to consider or act in the interests of the creditors of the company,</w:t>
      </w:r>
    </w:p>
    <w:p>
      <w:pPr>
        <w:spacing w:after="0" w:line="82" w:lineRule="exact"/>
        <w:rPr>
          <w:sz w:val="20"/>
          <w:szCs w:val="20"/>
          <w:color w:val="auto"/>
        </w:rPr>
      </w:pPr>
    </w:p>
    <w:p>
      <w:pPr>
        <w:ind w:left="2340" w:right="120" w:hanging="269"/>
        <w:spacing w:after="0" w:line="263" w:lineRule="auto"/>
        <w:rPr>
          <w:sz w:val="20"/>
          <w:szCs w:val="20"/>
          <w:color w:val="auto"/>
        </w:rPr>
      </w:pPr>
      <w:r>
        <w:rPr>
          <w:rFonts w:ascii="Arial" w:cs="Arial" w:eastAsia="Arial" w:hAnsi="Arial"/>
          <w:sz w:val="18"/>
          <w:szCs w:val="18"/>
          <w:color w:val="auto"/>
        </w:rPr>
        <w:t>•  to avoid a situation in which he has, or can have, a direct or indirect interest that conflicts, or possibly conflicts, with the interests of the company;</w:t>
      </w:r>
    </w:p>
    <w:p>
      <w:pPr>
        <w:spacing w:after="0" w:line="89" w:lineRule="exact"/>
        <w:rPr>
          <w:sz w:val="20"/>
          <w:szCs w:val="20"/>
          <w:color w:val="auto"/>
        </w:rPr>
      </w:pPr>
    </w:p>
    <w:p>
      <w:pPr>
        <w:jc w:val="both"/>
        <w:ind w:left="2340" w:right="120" w:hanging="269"/>
        <w:spacing w:after="0" w:line="263" w:lineRule="auto"/>
        <w:rPr>
          <w:sz w:val="20"/>
          <w:szCs w:val="20"/>
          <w:color w:val="auto"/>
        </w:rPr>
      </w:pPr>
      <w:r>
        <w:rPr>
          <w:rFonts w:ascii="Arial" w:cs="Arial" w:eastAsia="Arial" w:hAnsi="Arial"/>
          <w:sz w:val="18"/>
          <w:szCs w:val="18"/>
          <w:color w:val="auto"/>
        </w:rPr>
        <w:t>•  to act in accordance with the company’s constitution and only exercise his powers for the purposes for which they are conferred;</w:t>
      </w:r>
    </w:p>
    <w:p>
      <w:pPr>
        <w:spacing w:after="0" w:line="8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•  to exercise independent judgement;</w:t>
      </w:r>
    </w:p>
    <w:p>
      <w:pPr>
        <w:spacing w:after="0" w:line="1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•  to exercise reasonable care, skill and diligence;</w:t>
      </w:r>
    </w:p>
    <w:p>
      <w:pPr>
        <w:spacing w:after="0" w:line="131" w:lineRule="exact"/>
        <w:rPr>
          <w:sz w:val="20"/>
          <w:szCs w:val="20"/>
          <w:color w:val="auto"/>
        </w:rPr>
      </w:pPr>
    </w:p>
    <w:p>
      <w:pPr>
        <w:jc w:val="both"/>
        <w:ind w:left="2340" w:right="380" w:hanging="269"/>
        <w:spacing w:after="0" w:line="263" w:lineRule="auto"/>
        <w:rPr>
          <w:sz w:val="20"/>
          <w:szCs w:val="20"/>
          <w:color w:val="auto"/>
        </w:rPr>
      </w:pPr>
      <w:r>
        <w:rPr>
          <w:rFonts w:ascii="Arial" w:cs="Arial" w:eastAsia="Arial" w:hAnsi="Arial"/>
          <w:sz w:val="18"/>
          <w:szCs w:val="18"/>
          <w:color w:val="auto"/>
        </w:rPr>
        <w:t>•  not to accept benefits from a third party conferred by reason of his being a director or doing, or not doing, anything as a director; and</w:t>
      </w:r>
    </w:p>
    <w:p>
      <w:pPr>
        <w:spacing w:after="0" w:line="89" w:lineRule="exact"/>
        <w:rPr>
          <w:sz w:val="20"/>
          <w:szCs w:val="20"/>
          <w:color w:val="auto"/>
        </w:rPr>
      </w:pPr>
    </w:p>
    <w:p>
      <w:pPr>
        <w:ind w:left="2340" w:right="60" w:hanging="269"/>
        <w:spacing w:after="0" w:line="263" w:lineRule="auto"/>
        <w:rPr>
          <w:sz w:val="20"/>
          <w:szCs w:val="20"/>
          <w:color w:val="auto"/>
        </w:rPr>
      </w:pPr>
      <w:r>
        <w:rPr>
          <w:rFonts w:ascii="Arial" w:cs="Arial" w:eastAsia="Arial" w:hAnsi="Arial"/>
          <w:sz w:val="18"/>
          <w:szCs w:val="18"/>
          <w:color w:val="auto"/>
        </w:rPr>
        <w:t>•  a duty to declare any interest that he has, whether directly or indirectly, in a proposed or existing transaction or 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6"/>
          <w:szCs w:val="16"/>
          <w:color w:val="auto"/>
        </w:rPr>
        <w:t>Shareholder</w:t>
      </w:r>
      <w:r>
        <w:rPr>
          <w:sz w:val="20"/>
          <w:szCs w:val="20"/>
          <w:color w:val="auto"/>
        </w:rPr>
        <w:tab/>
      </w:r>
      <w:r>
        <w:rPr>
          <w:rFonts w:ascii="Arial" w:cs="Arial" w:eastAsia="Arial" w:hAnsi="Arial"/>
          <w:sz w:val="16"/>
          <w:szCs w:val="16"/>
          <w:color w:val="auto"/>
        </w:rPr>
        <w:t>Generally, the company, rather than its shareholders, is the proper</w:t>
      </w:r>
    </w:p>
    <w:p>
      <w:pPr>
        <w:spacing w:after="0" w:line="46"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6"/>
          <w:szCs w:val="16"/>
          <w:color w:val="auto"/>
        </w:rPr>
        <w:t>Litigation</w:t>
      </w:r>
      <w:r>
        <w:rPr>
          <w:sz w:val="20"/>
          <w:szCs w:val="20"/>
          <w:color w:val="auto"/>
        </w:rPr>
        <w:tab/>
      </w:r>
      <w:r>
        <w:rPr>
          <w:rFonts w:ascii="Arial" w:cs="Arial" w:eastAsia="Arial" w:hAnsi="Arial"/>
          <w:sz w:val="16"/>
          <w:szCs w:val="16"/>
          <w:color w:val="auto"/>
        </w:rPr>
        <w:t>claimant in an action in respect of a wrong done to the company</w:t>
      </w:r>
    </w:p>
    <w:p>
      <w:pPr>
        <w:spacing w:after="0" w:line="32" w:lineRule="exact"/>
        <w:rPr>
          <w:sz w:val="20"/>
          <w:szCs w:val="20"/>
          <w:color w:val="auto"/>
        </w:rPr>
      </w:pPr>
    </w:p>
    <w:p>
      <w:pPr>
        <w:ind w:left="1800" w:right="480"/>
        <w:spacing w:after="0" w:line="253" w:lineRule="auto"/>
        <w:rPr>
          <w:sz w:val="20"/>
          <w:szCs w:val="20"/>
          <w:color w:val="auto"/>
        </w:rPr>
      </w:pPr>
      <w:r>
        <w:rPr>
          <w:rFonts w:ascii="Arial" w:cs="Arial" w:eastAsia="Arial" w:hAnsi="Arial"/>
          <w:sz w:val="18"/>
          <w:szCs w:val="18"/>
          <w:color w:val="auto"/>
        </w:rPr>
        <w:t>or where there is an irregularity in the company’s internal management. Notwithstanding this general position, the Companies Act 2006 provides that (i) a court may allow a shareholder to bring a derivative claim (that is, an action in respect of and on</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8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 stockholder may initiate a derivative action to enforce a right of a corporation if the corporation fails to enforce the right itself. The complaint must:</w:t>
      </w:r>
    </w:p>
    <w:p>
      <w:pPr>
        <w:spacing w:after="0" w:line="89" w:lineRule="exact"/>
        <w:rPr>
          <w:sz w:val="20"/>
          <w:szCs w:val="20"/>
          <w:color w:val="auto"/>
        </w:rPr>
      </w:pPr>
    </w:p>
    <w:p>
      <w:pPr>
        <w:ind w:left="540" w:hanging="269"/>
        <w:spacing w:after="0" w:line="263" w:lineRule="auto"/>
        <w:rPr>
          <w:sz w:val="20"/>
          <w:szCs w:val="20"/>
          <w:color w:val="auto"/>
        </w:rPr>
      </w:pPr>
      <w:r>
        <w:rPr>
          <w:rFonts w:ascii="Arial" w:cs="Arial" w:eastAsia="Arial" w:hAnsi="Arial"/>
          <w:sz w:val="18"/>
          <w:szCs w:val="18"/>
          <w:color w:val="auto"/>
        </w:rPr>
        <w:t>•  state that the plaintiff was a stockholder at the time of the transaction of which the plaintiff complains or that the plaintiffs shares</w:t>
      </w:r>
    </w:p>
    <w:p>
      <w:pPr>
        <w:sectPr>
          <w:pgSz w:w="11900" w:h="16838" w:orient="portrait"/>
          <w:cols w:equalWidth="0" w:num="2">
            <w:col w:w="6520" w:space="220"/>
            <w:col w:w="438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England &amp;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15240</wp:posOffset>
            </wp:positionV>
            <wp:extent cx="30003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 w:lineRule="exact"/>
        <w:rPr>
          <w:sz w:val="20"/>
          <w:szCs w:val="20"/>
          <w:color w:val="auto"/>
        </w:rPr>
      </w:pPr>
    </w:p>
    <w:p>
      <w:pPr>
        <w:ind w:left="1800"/>
        <w:spacing w:after="0" w:line="293" w:lineRule="auto"/>
        <w:rPr>
          <w:sz w:val="20"/>
          <w:szCs w:val="20"/>
          <w:color w:val="auto"/>
        </w:rPr>
      </w:pPr>
      <w:r>
        <w:rPr>
          <w:rFonts w:ascii="Arial" w:cs="Arial" w:eastAsia="Arial" w:hAnsi="Arial"/>
          <w:sz w:val="16"/>
          <w:szCs w:val="16"/>
          <w:color w:val="auto"/>
        </w:rPr>
        <w:t>behalf of the company) in respect of a cause of action arising from an act or omission involving a director’s negligence, default, breach of duty or breach of trust and (ii) a shareholder may bring a claim for a court order where the company’s affairs have been or are being conducted in a manner that is unfairly prejudicial to some or all of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thereafter devolved on the plaintiff by operation of law; and</w:t>
      </w:r>
    </w:p>
    <w:p>
      <w:pPr>
        <w:spacing w:after="0" w:line="151" w:lineRule="exact"/>
        <w:rPr>
          <w:sz w:val="20"/>
          <w:szCs w:val="20"/>
          <w:color w:val="auto"/>
        </w:rPr>
      </w:pPr>
    </w:p>
    <w:p>
      <w:pPr>
        <w:ind w:left="540" w:right="20" w:hanging="269"/>
        <w:spacing w:after="0" w:line="259" w:lineRule="auto"/>
        <w:rPr>
          <w:sz w:val="20"/>
          <w:szCs w:val="20"/>
          <w:color w:val="auto"/>
        </w:rPr>
      </w:pPr>
      <w:r>
        <w:rPr>
          <w:rFonts w:ascii="Arial" w:cs="Arial" w:eastAsia="Arial" w:hAnsi="Arial"/>
          <w:sz w:val="18"/>
          <w:szCs w:val="18"/>
          <w:color w:val="auto"/>
        </w:rPr>
        <w:t>•  allege with particularity the efforts made by the plaintiff to obtain the action the plaintiff desires from the directors and the reasons for the plaintiff’s failure to obtain the action; or</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•  state the reasons for not making the effort.</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6380" w:space="360"/>
            <w:col w:w="438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below summarizes the terms of the ADSs.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w:t>
      </w:r>
    </w:p>
    <w:p>
      <w:pPr>
        <w:spacing w:after="0" w:line="15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Company appointed Citibank as depositary pursuant to three separate deposit agreements, one for the Class A ADSs representing the Class A Shares, one for the Class C-1 ADSs representing C-1 Shares and one for the Class C-2 ADSs representing the Class C-2 Shares (as applicable). A draft copy of each of the deposit agreements for the Class C-1 ADSs and the Class C-2 ADSs is on file with the SEC under cover of Registration Statements on Form F-6. A copy of the deposit agreement for the Class A ADSs is on file with the SEC under cover of Registration Statement on Form F-6. You may obtain a copy of the deposit agreements from the SEC’s Public Reference Room at 100 F Street, N.E., Washington, D.C. 20549 and from the SEC’s website (www.sec.gov). Please refer to Registration Number 333-267086 (for the Class A ADSs), 333-263480 (for the Class C-1 ADSs), and 333-263481 (for the Class C-2 ADSs), respectively, when retrieving such copy.</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and the Class C-1 Share deposit agreement governs the Class C-1 ADSs representing the Class C-1 Shares. As such, holders of ADSs representing one class of shares of Polestar have no rights or obligations under the deposit agreement for any other class of shares of Polestar. The Company urges you to review the applicable deposit agreements in their entirety. </w:t>
      </w:r>
      <w:r>
        <w:rPr>
          <w:rFonts w:ascii="Arial" w:cs="Arial" w:eastAsia="Arial" w:hAnsi="Arial"/>
          <w:sz w:val="16"/>
          <w:szCs w:val="16"/>
          <w:i w:val="1"/>
          <w:iCs w:val="1"/>
          <w:color w:val="auto"/>
        </w:rPr>
        <w:t>The portions of this summary description that are italicized describe</w:t>
      </w:r>
      <w:r>
        <w:rPr>
          <w:rFonts w:ascii="Arial" w:cs="Arial" w:eastAsia="Arial" w:hAnsi="Arial"/>
          <w:sz w:val="16"/>
          <w:szCs w:val="16"/>
          <w:color w:val="auto"/>
        </w:rPr>
        <w:t xml:space="preserve"> </w:t>
      </w:r>
      <w:r>
        <w:rPr>
          <w:rFonts w:ascii="Arial" w:cs="Arial" w:eastAsia="Arial" w:hAnsi="Arial"/>
          <w:sz w:val="16"/>
          <w:szCs w:val="16"/>
          <w:i w:val="1"/>
          <w:iCs w:val="1"/>
          <w:color w:val="auto"/>
        </w:rPr>
        <w:t>matters that may be relevant to the ownership of ADSs but that may not be contained in the deposit agreements.</w:t>
      </w:r>
    </w:p>
    <w:p>
      <w:pPr>
        <w:spacing w:after="0" w:line="16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Each ADS represents the right to receive, and to exercise the beneficial ownership interests in, one Class A Share (in the case of a Class A ADS) or one Class C-1 Share (in the case of a Class C-1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applicable deposited property only through the registered holders of the ADSs, the registered holders of the ADSs (on behalf of the applicable ADS owners) only through the depositary, and the depositary (on behalf of the owners of the corresponding ADSs) directly, 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indirectly, through the custodian or their respective nominees, in each case upon the terms of the deposit agreement.</w:t>
      </w:r>
    </w:p>
    <w:p>
      <w:pPr>
        <w:spacing w:after="0" w:line="225" w:lineRule="exact"/>
        <w:rPr>
          <w:sz w:val="20"/>
          <w:szCs w:val="20"/>
          <w:color w:val="auto"/>
        </w:rPr>
      </w:pPr>
    </w:p>
    <w:p>
      <w:pPr>
        <w:jc w:val="both"/>
        <w:ind w:left="120" w:right="40" w:firstLine="440"/>
        <w:spacing w:after="0" w:line="255" w:lineRule="auto"/>
        <w:rPr>
          <w:sz w:val="20"/>
          <w:szCs w:val="20"/>
          <w:color w:val="auto"/>
        </w:rPr>
      </w:pPr>
      <w:r>
        <w:rPr>
          <w:rFonts w:ascii="Arial" w:cs="Arial" w:eastAsia="Arial" w:hAnsi="Arial"/>
          <w:sz w:val="18"/>
          <w:szCs w:val="18"/>
          <w:color w:val="auto"/>
        </w:rPr>
        <w:t>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Class A Shares or Class C Shares will continue to be governed by the laws of England and Wales, which may be different from the laws in the United States.</w:t>
      </w:r>
    </w:p>
    <w:p>
      <w:pPr>
        <w:spacing w:after="0" w:line="192"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As an owner of ADSs, the Company will not treat you as one of its shareholders and you will not have direct shareholder rights. The depositary will hold on your behalf the shareholder rights attached to the Class A Shares or Class C Shares underlying your ADSs. As an owner of ADSs you will be able to exercise the shareholders rights for the Class A Shares or Class C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i w:val="1"/>
          <w:iCs w:val="1"/>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w:t>
      </w:r>
    </w:p>
    <w:p>
      <w:pPr>
        <w:spacing w:after="0" w:line="18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registration of Class A Shares and the Class C Shares in the name of the depositary or the custodian shall, to the maximum extent permitted by applicable law, vest in the depositary or the custodian the record ownership in the applicable Class A Shares and Class C Shares with the beneficial ownership rights and interests in such shares being at all times vested with the beneficial owners of the ADSs representing the applicable Class A Shares and Class C Shares. The depositary or the custodian shall at all times be entitled to exercise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beneficial ownership rights in all corresponding deposited property, in each case only on behalf of the holders and beneficial owners of the ADSs representing the deposited property.</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Class A Shares and Class C Shares, the transfer of which are restricted due to contractual or regulatory limitations and commonly referred to as “Restricted Shares,” are eligible for deposit under the deposit agreements only in limited circumstances described under the section entitled “— Restricted ADSs,”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 of Cash</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 of Class A Shares or Class C Shares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Whenever the Company makes a free distribution of Class A Shares or Class C Shares for the securities on deposit with the custodian, the Company will deposit the applicable number of Class A Shares or Class C Shares with the custodian. Upon receipt of confirmation of such deposit, the depositary will either distribute to the applicable holders new ADSs representing the Class A Shares or Class C Shares deposited or modify the ADS-to-Share ratio, in which case each ADS you hold will represent rights and interests in the additional Class A Shares or Class C Shares so deposited. Only whole new ADSs will be distributed. Fractional entitlements will be sold and the proceeds of such sale will be distributed as in the case of a cash distribution.</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Class A Shares or Class C Shares so distributed.</w:t>
      </w:r>
    </w:p>
    <w:p>
      <w:pPr>
        <w:spacing w:after="0" w:line="184"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No such distribution of new ADSs will be made if it would violate a law (</w:t>
      </w:r>
      <w:r>
        <w:rPr>
          <w:rFonts w:ascii="Arial" w:cs="Arial" w:eastAsia="Arial" w:hAnsi="Arial"/>
          <w:sz w:val="17"/>
          <w:szCs w:val="17"/>
          <w:i w:val="1"/>
          <w:iCs w:val="1"/>
          <w:color w:val="auto"/>
        </w:rPr>
        <w:t>e.g.</w:t>
      </w:r>
      <w:r>
        <w:rPr>
          <w:rFonts w:ascii="Arial" w:cs="Arial" w:eastAsia="Arial" w:hAnsi="Arial"/>
          <w:sz w:val="17"/>
          <w:szCs w:val="17"/>
          <w:color w:val="auto"/>
        </w:rPr>
        <w:t>, the U.S. securities laws) or if it is not operationally practicable. If the depositary does not distribute new ADSs as described above, it may sell the Class A Shares or Class C Shares received upon the terms described in the deposit agreement and will distribute the proceeds of the sale as in the case of a distribution of cash.</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 of Rights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Whenever the Company intends to distribute rights to subscribe for additional Class A Shares or Class C Shares, the Company will give prior notice to the depositary and will assist the depositary in determining whether it is lawful and reasonably practicable to distribute rights to subscribe for additional ADSs to the applicable holders.</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Shares other than in the form of ADSs.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does not timely request that the rights be distributed to you or the Company requests that the rights not be distributed to you;</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fails to deliver satisfactory documents to the depositary;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Elective Distributions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Whenever the Company intends to distribute a dividend payable at the election of shareholders either in cash or in additional Class A Shares or Class C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Distributions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Whenever the Company intends to distribute property other than cash, Class A Shares or Class C Shares or rights to subscribe for additional Class A Shares or Class C Shares, the Company will notify the depositary in advance and will indicate whether it wishes such distribution to be made to you. If so, the Company will assist the depositary in determining whether such distribution to holders is lawful and reasonably practicable.</w:t>
      </w:r>
    </w:p>
    <w:p>
      <w:pPr>
        <w:spacing w:after="0" w:line="149" w:lineRule="exact"/>
        <w:rPr>
          <w:sz w:val="20"/>
          <w:szCs w:val="20"/>
          <w:color w:val="auto"/>
        </w:rPr>
      </w:pPr>
    </w:p>
    <w:p>
      <w:pPr>
        <w:ind w:left="120" w:right="820" w:firstLine="440"/>
        <w:spacing w:after="0" w:line="342" w:lineRule="auto"/>
        <w:rPr>
          <w:sz w:val="20"/>
          <w:szCs w:val="20"/>
          <w:color w:val="auto"/>
        </w:rPr>
      </w:pPr>
      <w:r>
        <w:rPr>
          <w:rFonts w:ascii="Arial" w:cs="Arial" w:eastAsia="Arial" w:hAnsi="Arial"/>
          <w:sz w:val="16"/>
          <w:szCs w:val="16"/>
          <w:color w:val="auto"/>
        </w:rPr>
        <w:t>If it is reasonably practicable to distribute such property to you and if the Company provides to the depositary all of the documentation contemplated in the deposit agreement, the depositary will distribute the property to the applicable holders in a manner it deems practicable.</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applicable deposit agreement. In order to pay such taxes and governmental charges, the depositary may sell all or a portion of the property received.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does not request that the property be distributed to you or if the Company requests that the property not be distributed to you;</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does not deliver satisfactory documents to the depositary;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and, with respect to Class C Shares, Mandatory Conversion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w:t>
      </w:r>
    </w:p>
    <w:p>
      <w:pPr>
        <w:spacing w:after="0" w:line="18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 xml:space="preserve">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the depositary may determine.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Affecting Class A Shares or Class C Shares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Class A Shares or Class C Shares held on deposit for your ADSs may change from time to time. For example, there may be a change in nominal or par value, split-up, cancellation, consolidation or any other reclassification of such Class A Shares or Class C Shares or a recapitalization, reorganization, merger, consolidation or sale of assets of the Company.</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If any such change were to occur, your ADSs would, to the extent permitted by law and the deposit agreement, represent the right to receive the property received or exchanged in respect of the Class A Shares or Class C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Class A Shares or Class C Shares. If the depositary may not lawfully distribute such property to you, the depositary may sell such property and distribute the net proceeds to you as in the case of a cash distribution.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ADSs upon Deposit of Class A Shares or Class C Shares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Upon receipt of confirmation of the deposit of Class A Shares or Class C Shares underlying the ADSs being issued, the depositary will ADSs representing the deposited Class A Shares or Class C Shares to the order of Computershare Inc., a Delaware corporation, it its capacity as transfer agent for the distribution to the holders.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depositary may create ADSs on your behalf if you or your broker deposit Class A Shares or Class C Shares with the custodian. The depositary will deliver the corresponding ADSs to the person you indicate only after you pay any applicable issuance fees and any charges and taxes payable for the transfer of the Class A Shares or Class C Shares to the custodian. Your ability to deposit Class A Shares or Class C Shares and receive ADSs may be limited by U.S. and English legal considerations applicable at the time of deposit.</w:t>
      </w:r>
    </w:p>
    <w:p>
      <w:pPr>
        <w:spacing w:after="0" w:line="18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issuance of ADSs may be delayed until the depositary or the custodian receives confirmation that all required approvals have been given and that the Class A Shares or Class C Shares have been duly transferred to the custodian. The depositary will only issue ADSs in whole numbers.</w:t>
      </w:r>
    </w:p>
    <w:p>
      <w:pPr>
        <w:spacing w:after="0" w:line="1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When you make a deposit of Class A Shares or Class C Shares, you will be responsible for transferring good and valid title to the depositary. As such, you will be deemed to represent and warrant that:</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Class A Shares or Class C Shares are duly authorized, validly issued, fully paid, non-assessable and legally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preemptive (and similar) rights, if any, with respect to such Class A Shares or Class C Shares have been validly waived or exercised.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are duly authorized to deposit the Class A Shares or Class C Shares.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Class A Shares or Class C Shares presented for deposit are free and clear of any lien, encumbrance, security interest, charge, mortgage or adverse claim, and are not, and the ADSs issuable upon such deposit will not be, “restricted securities” (except as contemplated below and in the applicable deposit agreement).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Class A Shares or Class C Shares presented for deposit have not been stripped of any rights or entitlements.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any of the representations or warranties are incorrect in any way, the Company and the depositary may, at your cost and expense, take any and all actions necessary to correct the consequences of the misrepresentations.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Combination and Split Up of ADRs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Withdrawal of Class A Shares or Class C Shares Upon Cancellation of ADSs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Class A Shares or Class C Shares at the custodian’s offices. Your ability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withdraw the Class A Shares or Class C Shares held in respect of the ADSs may be limited by U.S. and English legal considerations applicable at the time of withdrawal. In order to withdraw the Class A Shares or Class C Shares represented by your ADSs, you will be required to pay to the depositary the fees for cancellation of ADSs and any charges and taxes payable upon the transfer of the Class A Shares or Class C Shares. You assume the risk for delivery of all funds and securities upon withdrawal. Once canceled, the ADSs will not have any rights under the deposit agreement.</w:t>
      </w:r>
    </w:p>
    <w:p>
      <w:pPr>
        <w:spacing w:after="0" w:line="15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or Class C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080" w:right="34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Temporary delays that may arise because (i) the transfer books for the Class A Shares or Class C Shares or ADSs are closed, or (ii) the Class A Shares or Class C Shares are immobilized on account of a shareholders’ meeting or a payment of dividends.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As an ADS holder, you generally have the right under the deposit agreement to instruct the depositary to exercise the voting rights for the shares represented by your ADSs. The voting rights of holders of ordinary shares are described in “Description of share capital—Ordinary shares.”</w:t>
      </w:r>
    </w:p>
    <w:p>
      <w:pPr>
        <w:spacing w:after="0" w:line="124"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6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If the depositary timely receives voting instructions from a holder of ADSs as of a specified record date, it will endeavor to vote the securities (in person or by proxy) represented by the holder’s ADSs in accordance with the voting instructions received from the holders of ADSs.</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Deposited securities represented by ADSs for which no timely voting instructions are received by the depositary from the holder shall not be voted (except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Please note that the ability of the depositary to carry out voting instructions may be limited by practical and legal limitations and the terms of the securities on deposit.</w:t>
      </w:r>
    </w:p>
    <w:p>
      <w:pPr>
        <w:spacing w:after="0" w:line="19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 cannot assure you that you will receive voting materials in time to enable you to return voting instructions to the depositary in a timely manner.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Service</w:t>
            </w:r>
          </w:p>
        </w:tc>
        <w:tc>
          <w:tcPr>
            <w:tcW w:w="220" w:type="dxa"/>
            <w:vAlign w:val="bottom"/>
          </w:tcPr>
          <w:p>
            <w:pPr>
              <w:spacing w:after="0"/>
              <w:rPr>
                <w:sz w:val="16"/>
                <w:szCs w:val="16"/>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Fees</w:t>
            </w:r>
          </w:p>
        </w:tc>
      </w:tr>
      <w:tr>
        <w:trPr>
          <w:trHeight w:val="290"/>
        </w:trPr>
        <w:tc>
          <w:tcPr>
            <w:tcW w:w="5840" w:type="dxa"/>
            <w:vAlign w:val="bottom"/>
            <w:gridSpan w:val="2"/>
          </w:tcPr>
          <w:p>
            <w:pPr>
              <w:spacing w:after="0"/>
              <w:rPr>
                <w:sz w:val="20"/>
                <w:szCs w:val="20"/>
                <w:color w:val="auto"/>
              </w:rPr>
            </w:pPr>
            <w:r>
              <w:rPr>
                <w:rFonts w:ascii="Arial" w:cs="Arial" w:eastAsia="Arial" w:hAnsi="Arial"/>
                <w:sz w:val="18"/>
                <w:szCs w:val="18"/>
                <w:color w:val="auto"/>
                <w:w w:val="98"/>
              </w:rPr>
              <w:t>Other than the initial deposit in connection with the Business Combination,</w:t>
            </w:r>
          </w:p>
        </w:tc>
        <w:tc>
          <w:tcPr>
            <w:tcW w:w="5180" w:type="dxa"/>
            <w:vAlign w:val="bottom"/>
          </w:tcPr>
          <w:p>
            <w:pPr>
              <w:spacing w:after="0"/>
              <w:rPr>
                <w:sz w:val="20"/>
                <w:szCs w:val="20"/>
                <w:color w:val="auto"/>
              </w:rPr>
            </w:pPr>
            <w:r>
              <w:rPr>
                <w:rFonts w:ascii="Arial" w:cs="Arial" w:eastAsia="Arial" w:hAnsi="Arial"/>
                <w:sz w:val="18"/>
                <w:szCs w:val="18"/>
                <w:color w:val="auto"/>
              </w:rPr>
              <w:t>Up to US$0.05 per ADS issued</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3"/>
              </w:rPr>
              <w:t>issuance of ADSs (</w:t>
            </w:r>
            <w:r>
              <w:rPr>
                <w:rFonts w:ascii="Arial" w:cs="Arial" w:eastAsia="Arial" w:hAnsi="Arial"/>
                <w:sz w:val="18"/>
                <w:szCs w:val="18"/>
                <w:i w:val="1"/>
                <w:iCs w:val="1"/>
                <w:color w:val="auto"/>
                <w:w w:val="93"/>
              </w:rPr>
              <w:t>e.g.,</w:t>
            </w:r>
            <w:r>
              <w:rPr>
                <w:rFonts w:ascii="Arial" w:cs="Arial" w:eastAsia="Arial" w:hAnsi="Arial"/>
                <w:sz w:val="18"/>
                <w:szCs w:val="18"/>
                <w:color w:val="auto"/>
                <w:w w:val="93"/>
              </w:rPr>
              <w:t xml:space="preserve"> an issuance of ADS upon a deposit of Class A Shares</w:t>
            </w:r>
          </w:p>
        </w:tc>
        <w:tc>
          <w:tcPr>
            <w:tcW w:w="5180" w:type="dxa"/>
            <w:vAlign w:val="bottom"/>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7"/>
              </w:rPr>
              <w:t>or Class C Shares, upon a change in the ADS(s)-to-Share ratio), excluding</w:t>
            </w:r>
          </w:p>
        </w:tc>
        <w:tc>
          <w:tcPr>
            <w:tcW w:w="5180" w:type="dxa"/>
            <w:vAlign w:val="bottom"/>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ADS issuances as a result of distributions of Class A Shares or Class C</w:t>
            </w:r>
          </w:p>
        </w:tc>
        <w:tc>
          <w:tcPr>
            <w:tcW w:w="5180" w:type="dxa"/>
            <w:vAlign w:val="bottom"/>
          </w:tcPr>
          <w:p>
            <w:pPr>
              <w:spacing w:after="0"/>
              <w:rPr>
                <w:sz w:val="18"/>
                <w:szCs w:val="18"/>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5180" w:type="dxa"/>
            <w:vAlign w:val="bottom"/>
          </w:tcPr>
          <w:p>
            <w:pPr>
              <w:spacing w:after="0"/>
              <w:rPr>
                <w:sz w:val="20"/>
                <w:szCs w:val="20"/>
                <w:color w:val="auto"/>
              </w:rPr>
            </w:pPr>
          </w:p>
        </w:tc>
      </w:tr>
      <w:tr>
        <w:trPr>
          <w:trHeight w:val="310"/>
        </w:trPr>
        <w:tc>
          <w:tcPr>
            <w:tcW w:w="5840" w:type="dxa"/>
            <w:vAlign w:val="bottom"/>
            <w:gridSpan w:val="2"/>
          </w:tcPr>
          <w:p>
            <w:pPr>
              <w:spacing w:after="0"/>
              <w:rPr>
                <w:sz w:val="20"/>
                <w:szCs w:val="20"/>
                <w:color w:val="auto"/>
              </w:rPr>
            </w:pPr>
            <w:r>
              <w:rPr>
                <w:rFonts w:ascii="Arial" w:cs="Arial" w:eastAsia="Arial" w:hAnsi="Arial"/>
                <w:sz w:val="18"/>
                <w:szCs w:val="18"/>
                <w:color w:val="auto"/>
                <w:w w:val="97"/>
              </w:rPr>
              <w:t>Cancellation of ADSs (e.g., a cancellation of ADSs for delivery of deposited</w:t>
            </w:r>
          </w:p>
        </w:tc>
        <w:tc>
          <w:tcPr>
            <w:tcW w:w="5180" w:type="dxa"/>
            <w:vAlign w:val="bottom"/>
          </w:tcPr>
          <w:p>
            <w:pPr>
              <w:spacing w:after="0"/>
              <w:rPr>
                <w:sz w:val="20"/>
                <w:szCs w:val="20"/>
                <w:color w:val="auto"/>
              </w:rPr>
            </w:pPr>
            <w:r>
              <w:rPr>
                <w:rFonts w:ascii="Arial" w:cs="Arial" w:eastAsia="Arial" w:hAnsi="Arial"/>
                <w:sz w:val="18"/>
                <w:szCs w:val="18"/>
                <w:color w:val="auto"/>
              </w:rPr>
              <w:t>Up to US$0.05 per ADS cancelled</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w w:val="93"/>
              </w:rPr>
              <w:t>property, upon a change in the ADS(s)-to-Share ratio, or for any other reason)</w:t>
            </w:r>
          </w:p>
        </w:tc>
        <w:tc>
          <w:tcPr>
            <w:tcW w:w="5180" w:type="dxa"/>
            <w:vAlign w:val="bottom"/>
          </w:tcPr>
          <w:p>
            <w:pPr>
              <w:spacing w:after="0"/>
              <w:rPr>
                <w:sz w:val="20"/>
                <w:szCs w:val="20"/>
                <w:color w:val="auto"/>
              </w:rPr>
            </w:pPr>
          </w:p>
        </w:tc>
      </w:tr>
      <w:tr>
        <w:trPr>
          <w:trHeight w:val="310"/>
        </w:trPr>
        <w:tc>
          <w:tcPr>
            <w:tcW w:w="5840" w:type="dxa"/>
            <w:vAlign w:val="bottom"/>
            <w:gridSpan w:val="2"/>
          </w:tcPr>
          <w:p>
            <w:pPr>
              <w:spacing w:after="0"/>
              <w:rPr>
                <w:sz w:val="20"/>
                <w:szCs w:val="20"/>
                <w:color w:val="auto"/>
              </w:rPr>
            </w:pPr>
            <w:r>
              <w:rPr>
                <w:rFonts w:ascii="Arial" w:cs="Arial" w:eastAsia="Arial" w:hAnsi="Arial"/>
                <w:sz w:val="18"/>
                <w:szCs w:val="18"/>
                <w:color w:val="auto"/>
                <w:w w:val="95"/>
              </w:rPr>
              <w:t>Distribution of cash dividends or other cash distributions (e.g., upon a sale of</w:t>
            </w:r>
          </w:p>
        </w:tc>
        <w:tc>
          <w:tcPr>
            <w:tcW w:w="518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rights and other entitlements)</w:t>
            </w:r>
          </w:p>
        </w:tc>
        <w:tc>
          <w:tcPr>
            <w:tcW w:w="5180" w:type="dxa"/>
            <w:vAlign w:val="bottom"/>
          </w:tcPr>
          <w:p>
            <w:pPr>
              <w:spacing w:after="0"/>
              <w:rPr>
                <w:sz w:val="20"/>
                <w:szCs w:val="20"/>
                <w:color w:val="auto"/>
              </w:rPr>
            </w:pPr>
          </w:p>
        </w:tc>
      </w:tr>
      <w:tr>
        <w:trPr>
          <w:trHeight w:val="310"/>
        </w:trPr>
        <w:tc>
          <w:tcPr>
            <w:tcW w:w="5840" w:type="dxa"/>
            <w:vAlign w:val="bottom"/>
            <w:gridSpan w:val="2"/>
          </w:tcPr>
          <w:p>
            <w:pPr>
              <w:spacing w:after="0"/>
              <w:rPr>
                <w:sz w:val="20"/>
                <w:szCs w:val="20"/>
                <w:color w:val="auto"/>
              </w:rPr>
            </w:pPr>
            <w:r>
              <w:rPr>
                <w:rFonts w:ascii="Arial" w:cs="Arial" w:eastAsia="Arial" w:hAnsi="Arial"/>
                <w:sz w:val="18"/>
                <w:szCs w:val="18"/>
                <w:color w:val="auto"/>
              </w:rPr>
              <w:t>Distribution of ADSs pursuant to (i) stock dividends or other free stock</w:t>
            </w:r>
          </w:p>
        </w:tc>
        <w:tc>
          <w:tcPr>
            <w:tcW w:w="518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5180" w:type="dxa"/>
            <w:vAlign w:val="bottom"/>
          </w:tcPr>
          <w:p>
            <w:pPr>
              <w:spacing w:after="0"/>
              <w:rPr>
                <w:sz w:val="20"/>
                <w:szCs w:val="20"/>
                <w:color w:val="auto"/>
              </w:rPr>
            </w:pPr>
          </w:p>
        </w:tc>
      </w:tr>
      <w:tr>
        <w:trPr>
          <w:trHeight w:val="310"/>
        </w:trPr>
        <w:tc>
          <w:tcPr>
            <w:tcW w:w="5840" w:type="dxa"/>
            <w:vAlign w:val="bottom"/>
            <w:gridSpan w:val="2"/>
          </w:tcPr>
          <w:p>
            <w:pPr>
              <w:spacing w:after="0"/>
              <w:rPr>
                <w:sz w:val="20"/>
                <w:szCs w:val="20"/>
                <w:color w:val="auto"/>
              </w:rPr>
            </w:pPr>
            <w:r>
              <w:rPr>
                <w:rFonts w:ascii="Arial" w:cs="Arial" w:eastAsia="Arial" w:hAnsi="Arial"/>
                <w:sz w:val="18"/>
                <w:szCs w:val="18"/>
                <w:color w:val="auto"/>
              </w:rPr>
              <w:t>Distribution of securities other than ADSs or rights to purchase additional</w:t>
            </w:r>
          </w:p>
        </w:tc>
        <w:tc>
          <w:tcPr>
            <w:tcW w:w="518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ADSs (e.g., upon a spin-off)</w:t>
            </w:r>
          </w:p>
        </w:tc>
        <w:tc>
          <w:tcPr>
            <w:tcW w:w="5180" w:type="dxa"/>
            <w:vAlign w:val="bottom"/>
          </w:tcPr>
          <w:p>
            <w:pPr>
              <w:spacing w:after="0"/>
              <w:rPr>
                <w:sz w:val="20"/>
                <w:szCs w:val="20"/>
                <w:color w:val="auto"/>
              </w:rPr>
            </w:pPr>
          </w:p>
        </w:tc>
      </w:tr>
      <w:tr>
        <w:trPr>
          <w:trHeight w:val="310"/>
        </w:trPr>
        <w:tc>
          <w:tcPr>
            <w:tcW w:w="584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5180" w:type="dxa"/>
            <w:vAlign w:val="bottom"/>
          </w:tcPr>
          <w:p>
            <w:pPr>
              <w:spacing w:after="0"/>
              <w:rPr>
                <w:sz w:val="20"/>
                <w:szCs w:val="20"/>
                <w:color w:val="auto"/>
              </w:rPr>
            </w:pPr>
            <w:r>
              <w:rPr>
                <w:rFonts w:ascii="Arial" w:cs="Arial" w:eastAsia="Arial" w:hAnsi="Arial"/>
                <w:sz w:val="18"/>
                <w:szCs w:val="18"/>
                <w:color w:val="auto"/>
              </w:rPr>
              <w:t>Up to US$0.05 per ADS held on the applicable record date(s)</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established by the depositary</w:t>
            </w:r>
          </w:p>
        </w:tc>
      </w:tr>
      <w:tr>
        <w:trPr>
          <w:trHeight w:val="310"/>
        </w:trPr>
        <w:tc>
          <w:tcPr>
            <w:tcW w:w="5840" w:type="dxa"/>
            <w:vAlign w:val="bottom"/>
            <w:gridSpan w:val="2"/>
          </w:tcPr>
          <w:p>
            <w:pPr>
              <w:spacing w:after="0"/>
              <w:rPr>
                <w:sz w:val="20"/>
                <w:szCs w:val="20"/>
                <w:color w:val="auto"/>
              </w:rPr>
            </w:pPr>
            <w:r>
              <w:rPr>
                <w:rFonts w:ascii="Arial" w:cs="Arial" w:eastAsia="Arial" w:hAnsi="Arial"/>
                <w:sz w:val="18"/>
                <w:szCs w:val="18"/>
                <w:color w:val="auto"/>
              </w:rPr>
              <w:t>Registration of ADS transfers (</w:t>
            </w:r>
            <w:r>
              <w:rPr>
                <w:rFonts w:ascii="Arial" w:cs="Arial" w:eastAsia="Arial" w:hAnsi="Arial"/>
                <w:sz w:val="18"/>
                <w:szCs w:val="18"/>
                <w:i w:val="1"/>
                <w:iCs w:val="1"/>
                <w:color w:val="auto"/>
              </w:rPr>
              <w:t>e.g.,</w:t>
            </w:r>
            <w:r>
              <w:rPr>
                <w:rFonts w:ascii="Arial" w:cs="Arial" w:eastAsia="Arial" w:hAnsi="Arial"/>
                <w:sz w:val="18"/>
                <w:szCs w:val="18"/>
                <w:color w:val="auto"/>
              </w:rPr>
              <w:t xml:space="preserve"> upon a registration of the transfer of</w:t>
            </w:r>
          </w:p>
        </w:tc>
        <w:tc>
          <w:tcPr>
            <w:tcW w:w="5180" w:type="dxa"/>
            <w:vAlign w:val="bottom"/>
          </w:tcPr>
          <w:p>
            <w:pPr>
              <w:spacing w:after="0"/>
              <w:rPr>
                <w:sz w:val="20"/>
                <w:szCs w:val="20"/>
                <w:color w:val="auto"/>
              </w:rPr>
            </w:pPr>
            <w:r>
              <w:rPr>
                <w:rFonts w:ascii="Arial" w:cs="Arial" w:eastAsia="Arial" w:hAnsi="Arial"/>
                <w:sz w:val="18"/>
                <w:szCs w:val="18"/>
                <w:color w:val="auto"/>
              </w:rPr>
              <w:t>Up to US$0.05 per ADS (or fraction thereof transferred</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8"/>
              </w:rPr>
              <w:t xml:space="preserve">registered ownership of ADSs, upon a transfer of ADSs into DTC and </w:t>
            </w:r>
            <w:r>
              <w:rPr>
                <w:rFonts w:ascii="Arial" w:cs="Arial" w:eastAsia="Arial" w:hAnsi="Arial"/>
                <w:sz w:val="18"/>
                <w:szCs w:val="18"/>
                <w:i w:val="1"/>
                <w:iCs w:val="1"/>
                <w:color w:val="auto"/>
                <w:w w:val="98"/>
              </w:rPr>
              <w:t>vice</w:t>
            </w:r>
          </w:p>
        </w:tc>
        <w:tc>
          <w:tcPr>
            <w:tcW w:w="5180" w:type="dxa"/>
            <w:vAlign w:val="bottom"/>
          </w:tcPr>
          <w:p>
            <w:pPr>
              <w:spacing w:after="0"/>
              <w:rPr>
                <w:sz w:val="18"/>
                <w:szCs w:val="18"/>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i w:val="1"/>
                <w:iCs w:val="1"/>
                <w:color w:val="auto"/>
              </w:rPr>
              <w:t>versa</w:t>
            </w:r>
            <w:r>
              <w:rPr>
                <w:rFonts w:ascii="Arial" w:cs="Arial" w:eastAsia="Arial" w:hAnsi="Arial"/>
                <w:sz w:val="18"/>
                <w:szCs w:val="18"/>
                <w:color w:val="auto"/>
              </w:rPr>
              <w:t>, or for any other reason</w:t>
            </w:r>
          </w:p>
        </w:tc>
        <w:tc>
          <w:tcPr>
            <w:tcW w:w="5180" w:type="dxa"/>
            <w:vAlign w:val="bottom"/>
          </w:tcPr>
          <w:p>
            <w:pPr>
              <w:spacing w:after="0"/>
              <w:rPr>
                <w:sz w:val="20"/>
                <w:szCs w:val="20"/>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taxes (including applicable interest and penalties) and other governmental charges (including any applicable stamp duty or SDRT);</w:t>
      </w:r>
    </w:p>
    <w:p>
      <w:pPr>
        <w:spacing w:after="0" w:line="142" w:lineRule="exact"/>
        <w:rPr>
          <w:rFonts w:ascii="Arial" w:cs="Arial" w:eastAsia="Arial" w:hAnsi="Arial"/>
          <w:sz w:val="17"/>
          <w:szCs w:val="17"/>
          <w:color w:val="auto"/>
        </w:rPr>
      </w:pPr>
    </w:p>
    <w:p>
      <w:pPr>
        <w:jc w:val="both"/>
        <w:ind w:left="1080" w:right="8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Class A Shares or Class C Shares on the share register and applicable to transfers of Class A Shares or Class C Shares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75" w:lineRule="exact"/>
        <w:rPr>
          <w:rFonts w:ascii="Arial" w:cs="Arial" w:eastAsia="Arial" w:hAnsi="Arial"/>
          <w:sz w:val="18"/>
          <w:szCs w:val="18"/>
          <w:color w:val="auto"/>
        </w:rPr>
      </w:pPr>
    </w:p>
    <w:p>
      <w:pPr>
        <w:ind w:left="1080" w:right="280" w:hanging="424"/>
        <w:spacing w:after="0" w:line="286"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reasonable and customary out-of-pocket expenses incurred by the depositary in connection with compliance with exchange control regulations and other regulatory requirements applicable to Class A Shares or Class C Shares, ADSs and ADRs; the fees, charges, costs and expenses incurred by the depositary, the custodian, or any nominee in connection with the ADR program; and</w:t>
      </w:r>
    </w:p>
    <w:p>
      <w:pPr>
        <w:spacing w:after="0" w:line="70" w:lineRule="exact"/>
        <w:rPr>
          <w:rFonts w:ascii="Arial" w:cs="Arial" w:eastAsia="Arial" w:hAnsi="Arial"/>
          <w:sz w:val="17"/>
          <w:szCs w:val="17"/>
          <w:color w:val="auto"/>
        </w:rPr>
      </w:pPr>
    </w:p>
    <w:p>
      <w:pPr>
        <w:ind w:left="1080" w:right="7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applicable deposit agreement pursuant to any ancillary agreement to the applicable deposit agreement in respect of the ADR program, the ADSs, and the ADRs.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jc w:val="both"/>
        <w:ind w:left="120" w:right="140" w:hanging="4"/>
        <w:spacing w:after="0" w:line="255"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Fees and Other Payments Made by the Depositary to the Company</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 The depositary also has agreed to pay certain legal expenses on behalf of the Company.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 and Termination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may agree with the depositary to modify the deposit agreement at any time without your consent. The Company may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w:t>
      </w:r>
    </w:p>
    <w:p>
      <w:pPr>
        <w:spacing w:after="0" w:line="17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You will be bound by the modifications to the deposit agreement for your ADSs if you continue to hold your ADSs after the modifications to the deposit agreement become effective. The deposit agreement cannot be amended to prevent you from withdrawing the Class A Shares or Class C Shares represented by your ADSs (except as permitted by law).</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w:t>
      </w:r>
    </w:p>
    <w:p>
      <w:pPr>
        <w:spacing w:after="0" w:line="14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under 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w:t>
      </w:r>
    </w:p>
    <w:p>
      <w:pPr>
        <w:spacing w:after="0" w:line="18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Class A Shares or Class C Shares represented by ADSs and to direct the depositary of such Class A Shares or Class C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Books of Depositary</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 The depositary will maintain in New York facilities to record and process the issuance, cancellation, combination, split-up and transfer of ADSs. These facilities may be closed from time to time, to the extent not prohibited by law.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Transmission of Notices, Reports and Proxy Soliciting Material</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Obligations and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the Company’s obligations and the depositary’s obligations to you. Please note the following:</w:t>
      </w:r>
    </w:p>
    <w:p>
      <w:pPr>
        <w:spacing w:after="0" w:line="131" w:lineRule="exact"/>
        <w:rPr>
          <w:sz w:val="20"/>
          <w:szCs w:val="20"/>
          <w:color w:val="auto"/>
        </w:rPr>
      </w:pPr>
    </w:p>
    <w:p>
      <w:pPr>
        <w:ind w:left="1080" w:right="1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and the depositary are obligated only to take the actions specifically stated in the deposit agreement without negligence or bad faith.</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1080" w:right="60" w:hanging="424"/>
        <w:spacing w:after="0" w:line="293"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Class A Shares or Class C Shares, for the validity or worth of the Class A Shares or Class C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depositary shall not be liable for acts or omissions of any successor depositary in connection with any matter arising wholly after the resignation or removal of the depositary.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and the depositary will not be obligated to perform any act that is inconsistent with the terms of the deposit agreement.</w:t>
      </w:r>
    </w:p>
    <w:p>
      <w:pPr>
        <w:spacing w:after="0" w:line="142" w:lineRule="exact"/>
        <w:rPr>
          <w:rFonts w:ascii="Arial" w:cs="Arial" w:eastAsia="Arial" w:hAnsi="Arial"/>
          <w:sz w:val="17"/>
          <w:szCs w:val="17"/>
          <w:color w:val="auto"/>
        </w:rPr>
      </w:pPr>
    </w:p>
    <w:p>
      <w:pPr>
        <w:ind w:left="1080" w:hanging="424"/>
        <w:spacing w:after="0" w:line="275"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w:t>
      </w:r>
    </w:p>
    <w:p>
      <w:pPr>
        <w:spacing w:after="0" w:line="81" w:lineRule="exact"/>
        <w:rPr>
          <w:rFonts w:ascii="Arial" w:cs="Arial" w:eastAsia="Arial" w:hAnsi="Arial"/>
          <w:sz w:val="17"/>
          <w:szCs w:val="17"/>
          <w:color w:val="auto"/>
        </w:rPr>
      </w:pPr>
    </w:p>
    <w:p>
      <w:pPr>
        <w:ind w:left="1080" w:right="180" w:hanging="424"/>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and the depositary disclaim any liability by reason of any exercise of, or failure to exercise, any discretion provided for in the deposit agreement or in the Company’s articles of association or in any provisions of or governing the securities on deposit.</w:t>
      </w:r>
    </w:p>
    <w:p>
      <w:pPr>
        <w:spacing w:after="0" w:line="29" w:lineRule="exact"/>
        <w:rPr>
          <w:rFonts w:ascii="Arial" w:cs="Arial" w:eastAsia="Arial" w:hAnsi="Arial"/>
          <w:sz w:val="16"/>
          <w:szCs w:val="16"/>
          <w:color w:val="auto"/>
        </w:rPr>
      </w:pPr>
    </w:p>
    <w:p>
      <w:pPr>
        <w:jc w:val="both"/>
        <w:ind w:left="1080" w:right="80" w:hanging="424"/>
        <w:spacing w:after="0" w:line="31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and the depositary in good faith to be competent to give such advice or information.</w:t>
      </w:r>
    </w:p>
    <w:p>
      <w:pPr>
        <w:spacing w:after="0" w:line="54" w:lineRule="exact"/>
        <w:rPr>
          <w:rFonts w:ascii="Arial" w:cs="Arial" w:eastAsia="Arial" w:hAnsi="Arial"/>
          <w:sz w:val="16"/>
          <w:szCs w:val="16"/>
          <w:color w:val="auto"/>
        </w:rPr>
      </w:pPr>
    </w:p>
    <w:p>
      <w:pPr>
        <w:ind w:left="1080" w:right="20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depositary also disclaim liability for the inability by a holder or beneficial holder to benefit from any distribution, offering, right or other benefit that is made available to holders of Class A Shares or Class C Shares but is not, under the terms of the deposit agreement, made available to you.</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depositary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depositary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the Company, the depositary and you as ADS holder.</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Conversion</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6" w:lineRule="exact"/>
        <w:rPr>
          <w:sz w:val="20"/>
          <w:szCs w:val="20"/>
          <w:color w:val="auto"/>
        </w:rPr>
      </w:pPr>
    </w:p>
    <w:p>
      <w:pPr>
        <w:ind w:left="1080" w:right="5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applicable holders for whom the conversion and distribution is lawful and practical.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Distribute the foreign currency to the applicable holders for whom the distribution is lawful and practical.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Governing Law/Waiver of Jury Trial</w:t>
      </w:r>
    </w:p>
    <w:p>
      <w:pPr>
        <w:spacing w:after="0" w:line="117"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The deposit agreement, the ADRs and the ADSs will be interpreted in accordance with the laws of the State of New York. The rights of holders of Class A Shares and Class C Shares (including Class A Shares and Class C Shares represented by ADSs) are governed by the laws of England and Wales.</w:t>
      </w:r>
    </w:p>
    <w:p>
      <w:pPr>
        <w:spacing w:after="0" w:line="12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A PARTY TO THE DEPOSIT AGREEMENT, YOU IRREVOCABLY WAIVE, TO THE FULLEST EXTENT PERMITTED BY APPLICABLE LAW, YOUR RIGHT TO TRIAL BY JURY IN ANY LEGAL PROCEEDING ARISING OUT OF THE DEPOSIT AGREEMENT OR THE ADRs AGAINST THE COMPANY AND/ OR THE DEPOSITARY.</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The deposit agreement provides that, to the extent permitted by law, ADS holders waive the right to a jury trial of any claim they may have against the Company or the depositary arising out of or relating to the Class A Shares and Class C Shares, the ADSs or the deposit agreement, including any claim under U.S. federal securities laws. </w:t>
      </w:r>
      <w:r>
        <w:rPr>
          <w:rFonts w:ascii="Arial" w:cs="Arial" w:eastAsia="Arial" w:hAnsi="Arial"/>
          <w:sz w:val="18"/>
          <w:szCs w:val="18"/>
          <w:i w:val="1"/>
          <w:iCs w:val="1"/>
          <w:color w:val="auto"/>
        </w:rPr>
        <w:t>If the Company or the depositary opposed a jury trial demand based on the waiver, the court would determine</w:t>
      </w:r>
      <w:r>
        <w:rPr>
          <w:rFonts w:ascii="Arial" w:cs="Arial" w:eastAsia="Arial" w:hAnsi="Arial"/>
          <w:sz w:val="18"/>
          <w:szCs w:val="18"/>
          <w:color w:val="auto"/>
        </w:rPr>
        <w:t xml:space="preserve"> </w:t>
      </w:r>
      <w:r>
        <w:rPr>
          <w:rFonts w:ascii="Arial" w:cs="Arial" w:eastAsia="Arial" w:hAnsi="Arial"/>
          <w:sz w:val="18"/>
          <w:szCs w:val="18"/>
          <w:i w:val="1"/>
          <w:iCs w:val="1"/>
          <w:color w:val="auto"/>
        </w:rPr>
        <w:t>whether the waiver was 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ADSs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order to enable the deposit of Class A Shares and Class C Shares, the transfer of which is restricted due to contractual or regulatory limitations, commonly referred to as “Restricted Shares,” the Company and the depositary have agreed, by means of letter agreements, to create restricted series of American depositary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color w:val="auto"/>
        </w:rPr>
        <w:t>referred to as “Restricted ADSs” or “RADSs,” in accordance with the terms of the deposit agreements. The RADS letter agreements supplement the deposit agreements. Forms of the RADS letter agreements are on file with the SEC under cover of the applicable Registration Statements on</w:t>
      </w:r>
    </w:p>
    <w:p>
      <w:pPr>
        <w:ind w:left="120"/>
        <w:spacing w:after="0" w:line="260" w:lineRule="auto"/>
        <w:rPr>
          <w:sz w:val="20"/>
          <w:szCs w:val="20"/>
          <w:color w:val="auto"/>
        </w:rPr>
      </w:pPr>
      <w:r>
        <w:rPr>
          <w:rFonts w:ascii="Arial" w:cs="Arial" w:eastAsia="Arial" w:hAnsi="Arial"/>
          <w:sz w:val="18"/>
          <w:szCs w:val="18"/>
          <w:color w:val="auto"/>
        </w:rPr>
        <w:t>Form F-6. You may obtain a copy of the RADS letter agreements from the SEC’s Public Reference Room at 100 F Street, N.E., Washington, D.C. 20549 and from the depositary.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Restricted ADSs differ from the freely transferable ADSs in certain respects. These differences include the following:</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Restricted ADSs are not listed on any securities exchange or trading system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CUSIP Number</w:t>
      </w:r>
      <w:r>
        <w:rPr>
          <w:rFonts w:ascii="Arial" w:cs="Arial" w:eastAsia="Arial" w:hAnsi="Arial"/>
          <w:sz w:val="17"/>
          <w:szCs w:val="17"/>
          <w:color w:val="auto"/>
        </w:rPr>
        <w:t>: The CUSIP number for the Restricted ADSs is different from the CUSIP number for the freely transferable ADSs.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The Restricted ADSs may, after issuance, be sold or otherwise transferred only on the terms described below.</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Restricted ADSs will be subject to a transfer legend substantially in the form of all or some of the following:</w:t>
      </w:r>
    </w:p>
    <w:p>
      <w:pPr>
        <w:spacing w:after="0" w:line="225" w:lineRule="exact"/>
        <w:rPr>
          <w:sz w:val="20"/>
          <w:szCs w:val="20"/>
          <w:color w:val="auto"/>
        </w:rPr>
      </w:pPr>
    </w:p>
    <w:p>
      <w:pPr>
        <w:ind w:left="120" w:firstLine="440"/>
        <w:spacing w:after="0" w:line="252" w:lineRule="auto"/>
        <w:rPr>
          <w:sz w:val="20"/>
          <w:szCs w:val="20"/>
          <w:color w:val="auto"/>
        </w:rPr>
      </w:pPr>
      <w:r>
        <w:rPr>
          <w:rFonts w:ascii="Arial" w:cs="Arial" w:eastAsia="Arial" w:hAnsi="Arial"/>
          <w:sz w:val="18"/>
          <w:szCs w:val="18"/>
          <w:color w:val="auto"/>
        </w:rPr>
        <w:t>“THE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 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ADSs issued upon conversion of convertible RADSs may be issued in the form of RADSs unless the conversion (x) is registered under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Securities Act and the ADSs are held by a person who is not an affiliate of Polestar and (y) is exempt from registration under the Securities Act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ADSs are held by a person who is not an affiliate of Polestar.</w:t>
      </w:r>
    </w:p>
    <w:p>
      <w:pPr>
        <w:spacing w:after="0" w:line="116" w:lineRule="exact"/>
        <w:rPr>
          <w:sz w:val="20"/>
          <w:szCs w:val="20"/>
          <w:color w:val="auto"/>
        </w:rPr>
      </w:pPr>
    </w:p>
    <w:p>
      <w:pPr>
        <w:ind w:left="1080" w:right="1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Segregation of Shares</w:t>
      </w:r>
      <w:r>
        <w:rPr>
          <w:rFonts w:ascii="Arial" w:cs="Arial" w:eastAsia="Arial" w:hAnsi="Arial"/>
          <w:sz w:val="18"/>
          <w:szCs w:val="18"/>
          <w:color w:val="auto"/>
        </w:rPr>
        <w:t>: Restricted Shares deposited with the custodian with respect to Restricted ADSs shall be held separate and distinct from the deposited securities held under the applicable deposit agreement.</w:t>
      </w:r>
    </w:p>
    <w:p>
      <w:pPr>
        <w:spacing w:after="0" w:line="75" w:lineRule="exact"/>
        <w:rPr>
          <w:rFonts w:ascii="Arial" w:cs="Arial" w:eastAsia="Arial" w:hAnsi="Arial"/>
          <w:sz w:val="18"/>
          <w:szCs w:val="18"/>
          <w:color w:val="auto"/>
        </w:rPr>
      </w:pPr>
    </w:p>
    <w:p>
      <w:pPr>
        <w:ind w:left="1080" w:hanging="424"/>
        <w:spacing w:after="0" w:line="287"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Lack of Fungibility</w:t>
      </w:r>
      <w:r>
        <w:rPr>
          <w:rFonts w:ascii="Arial" w:cs="Arial" w:eastAsia="Arial" w:hAnsi="Arial"/>
          <w:sz w:val="16"/>
          <w:szCs w:val="16"/>
          <w:color w:val="auto"/>
        </w:rPr>
        <w:t>: The Restricted ADSs are not currently fungible with the freely transferable ADSs issued and outstanding under the applicable deposit agreement. The Restricted ADSs will not be fungible with the freely transferable ADSs outstanding under the applicable deposit agreement as long as the Restricted ADSs and the Restricted Shares represented thereby are “restricted securities” under</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the Securities Act or are otherwise subject to restrictions on transfer.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91"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Withdrawal</w:t>
      </w:r>
      <w:r>
        <w:rPr>
          <w:rFonts w:ascii="Arial" w:cs="Arial" w:eastAsia="Arial" w:hAnsi="Arial"/>
          <w:sz w:val="16"/>
          <w:szCs w:val="16"/>
          <w:color w:val="auto"/>
        </w:rPr>
        <w:t xml:space="preserve">: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w:t>
      </w:r>
      <w:r>
        <w:rPr>
          <w:rFonts w:ascii="Arial" w:cs="Arial" w:eastAsia="Arial" w:hAnsi="Arial"/>
          <w:sz w:val="16"/>
          <w:szCs w:val="16"/>
          <w:i w:val="1"/>
          <w:iCs w:val="1"/>
          <w:color w:val="auto"/>
        </w:rPr>
        <w:t>inter alia</w:t>
      </w:r>
      <w:r>
        <w:rPr>
          <w:rFonts w:ascii="Arial" w:cs="Arial" w:eastAsia="Arial" w:hAnsi="Arial"/>
          <w:sz w:val="16"/>
          <w:szCs w:val="16"/>
          <w:color w:val="auto"/>
        </w:rPr>
        <w:t>,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w:t>
      </w:r>
    </w:p>
    <w:p>
      <w:pPr>
        <w:spacing w:after="0" w:line="71"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Book-Entry Settlement</w:t>
      </w:r>
      <w:r>
        <w:rPr>
          <w:rFonts w:ascii="Arial" w:cs="Arial" w:eastAsia="Arial" w:hAnsi="Arial"/>
          <w:sz w:val="18"/>
          <w:szCs w:val="18"/>
          <w:color w:val="auto"/>
        </w:rPr>
        <w:t>: The Restricted ADSs are not expected to be eligible for inclusion in any book-entry settlement system, including, without limitation, the book-entry settlement system maintained by DTC.</w:t>
      </w:r>
    </w:p>
    <w:p>
      <w:pPr>
        <w:spacing w:after="0" w:line="75" w:lineRule="exact"/>
        <w:rPr>
          <w:rFonts w:ascii="Arial" w:cs="Arial" w:eastAsia="Arial" w:hAnsi="Arial"/>
          <w:sz w:val="18"/>
          <w:szCs w:val="18"/>
          <w:color w:val="auto"/>
        </w:rPr>
      </w:pPr>
    </w:p>
    <w:p>
      <w:pPr>
        <w:ind w:left="1080" w:right="220" w:hanging="424"/>
        <w:spacing w:after="0" w:line="311"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Conversion of RADSs into ADSs</w:t>
      </w:r>
      <w:r>
        <w:rPr>
          <w:rFonts w:ascii="Arial" w:cs="Arial" w:eastAsia="Arial" w:hAnsi="Arial"/>
          <w:sz w:val="16"/>
          <w:szCs w:val="16"/>
          <w:color w:val="auto"/>
        </w:rPr>
        <w:t>: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Class C ADSs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Holders of Class C ADSs representing the Class C Shares may convert the Class C ADSs into Class A ADSs representing the Class A Shares on any New York and UK business day at any time, subject in each case to the terms and conditions of the applicable the Class C Shares and the deposit agreement. The Class C Shares will only be accepted for conversion in multiples of one.</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Any holder of Class C ADSs wishing to convert the Class C Shares represented by their Class C ADSs into Class A ADSs will need to take the following actions:</w:t>
      </w:r>
    </w:p>
    <w:p>
      <w:pPr>
        <w:spacing w:after="0" w:line="76" w:lineRule="exact"/>
        <w:rPr>
          <w:sz w:val="20"/>
          <w:szCs w:val="20"/>
          <w:color w:val="auto"/>
        </w:rPr>
      </w:pPr>
    </w:p>
    <w:p>
      <w:pPr>
        <w:ind w:left="1080" w:right="16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deliver the applicable Class C ADSs to the depositary, or one of its agents, together with instructions to cancel such Class C ADSs and to deliver the corresponding Class C Shares for conversion into Class A Shares in the form of Class A ADSs and pay to the applicable conversion agent the applicable ADS fees;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deliver to Citibank, N.A., as conversion agent and the depositary, a duly completed ADS / Class C Share conversion form together with the applicable conversion price (in U.S. Dollars) and applicable taxes.</w:t>
      </w:r>
    </w:p>
    <w:p>
      <w:pPr>
        <w:spacing w:after="0" w:line="170"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Holders of Class C ADSs who duly convert the Class C Shares represented by their Class C ADSs will receive the Class A Shares represented by Class A ADSs, subject in each case to the terms of the Class C Shares in the Polestar Articles and the applicable deposit agreement.</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w:t>
      </w:r>
    </w:p>
    <w:p>
      <w:pPr>
        <w:ind w:left="120" w:right="340" w:hanging="4"/>
        <w:spacing w:after="0" w:line="260" w:lineRule="auto"/>
        <w:tabs>
          <w:tab w:leader="none" w:pos="4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applicable conversion price and taxes. The form conversion instructions to be delivered to the applicable conversion agent, may be obtained from the Depositary.</w:t>
      </w:r>
    </w:p>
    <w:p>
      <w:pPr>
        <w:spacing w:after="0" w:line="185"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If the Company suspends the right to convert the Class C Shares at any time, the Company will give notice thereof to the depositary setting forth the term and reason for such suspension. Upon receipt of such notice, the depositary shall give notice thereof to the holders of Class C ADSs and shall refuse during the period of such suspension to accept instructions to cancel Class C ADSs for the purpose of converting Class C Shares.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Mandatory Conversion of Class C Shares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Whenever the Company decides to exercise its right to convert the Class C Shares in connection with a mandatory conversion, the Company will notify the depositary. If it is reasonably practicable and if the Company provides all of the documentation contemplated in the deposit agreement, the depositary will mail notice of the mandatory conversion to the holders of Class C Shares.</w:t>
      </w:r>
    </w:p>
    <w:p>
      <w:pPr>
        <w:spacing w:after="0" w:line="184"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Pursuant to Rule 144, a person who has beneficially owned restricted Class A ADSs or Class C ADSs for at least six months would be entitled to sell their securities; provided that (i) such person is not deemed to have been one of our affiliates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12 months (or such shorter period as it was required to file reports) preceding the sale.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Persons who have beneficially owned restricted Class A ADSs or Class C ADSs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one percent (1%) of the total number of Class A ADSs then issued and outstanding; or</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applicable ADSs during the four calendar weeks preceding the filing of a notice on Form 144 with respect to the sale.</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Form 20-F type information with the SEC, which we filed on June 29, 2022, reflecting its status as an entity that is not a shell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 foreign issuer as defined in Regulation S. As a foreign issuer, securities that we sell outside the United States pursuant to Regulation</w:t>
      </w:r>
    </w:p>
    <w:p>
      <w:pPr>
        <w:spacing w:after="0" w:line="4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our company or who are affiliates of our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our company other than by virtue of his or her status as an officer or director of our company.</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may issue warrants to purchase our ordinary shares represented by ADSs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applicable prospectus supplement will contain, where applicable, the following terms of and other information relating to the warrants:</w:t>
      </w:r>
    </w:p>
    <w:p>
      <w:pPr>
        <w:spacing w:after="0" w:line="142"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exercise price for our ADSs and the number of ADSs to be received upon exercise;</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warrants will be issued in fully registered form or bearer form, in definitive or global form or in any combination of these forms;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 and any applicable material UK tax consequences;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ADSs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320" w:top="459" w:right="5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PREFERRED SHARES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Polestar Articles contain provisions that authorize us to issue preferred shares. Preferred shares may be issued in one or more classes, with our Board to determine the existence of voting rights, if any, and the ranking of any such voting rights in relation to the other shares in our capital. Our Board may determine any other terms and conditions of the preferred shares, including with regards to their rights (i) to receive dividends (which may include the right to receive preferential or cumulative dividends), (ii) to distributions made on a winding up, and (iii) to be convertible into, or exercisable or exchangeable for, shares of any other class or classes of the same or any other class or classes of share or redeemable, at such price or prices or at such rates of exchange and with such adjustments as may be determined by our board of directors.</w:t>
      </w:r>
    </w:p>
    <w:p>
      <w:pPr>
        <w:spacing w:after="0" w:line="178"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Our Board may determine any other terms and conditions of the preferred shares that are not set forth in the Polestar Articles. The applicable prospectus supplement will contain, where applicable, the terms of and other information relating to the preferred shares.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issue rights to purchase certain of our securities under this prospectus. The applicable prospectus supplement will contain, where applicable, the terms of and other information relating to the rights.</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60"/>
          </w:cols>
          <w:pgMar w:left="320" w:top="459" w:right="111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may issue units consisting of our Class A Shares, Class C-1 Shares, ADSs, Preferred Stock, Warrants, Rights and/or any combination of such securities. The applicable prospectus supplement will contain, where applicable, the terms of and other information relating to the units.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320" w:top="459" w:right="5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use any one or more of the following methods when disposing of their securities or interests therein:</w:t>
      </w:r>
    </w:p>
    <w:p>
      <w:pPr>
        <w:spacing w:after="0" w:line="131"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 or more underwritten offerings;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exchange distribution or block transactions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broker-dealer solicits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short sales effected after the date of the registration statement of which this prospectus forms a part is declared effective by the SEC;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market transactions, including transactions on a national securities exchange or quotations service or over-the-counter market;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combination of any such methods of sale permitted by applicable law</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underwriters are used in the sale of any securities, the securities may be offered either to the public through underwriting syndicates represented by managing underwriters or directly by underwriters. Generally, the underwriters’ obligations to purchase the securities will be subject to certain conditions precedent. If an offering is on a firm-commitment basis, the underwriters will be obligated to purchase all of the securities if they purchase any of the securities.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Underwriters may engage in stabilizing and syndicate covering transactions in accordance with Rule 104 of Regulation M under the Exchange Act. Rule 104 of Regulation M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Stabilizing and syndicate covering transactions may cause the price of the offered securities to be higher than it would otherwise be in the absence of these transactions. These transactions, if commenced, may be discontinued at any time.</w:t>
      </w:r>
    </w:p>
    <w:p>
      <w:pPr>
        <w:spacing w:after="0" w:line="16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If indicated in an applicable prospectus supplement, we may sell securities through agents from time to time. The applicable prospectus supplement will name any agent involved in the offer or sale of the securities and any commissions that we pay to them. Generally, any agent will be acting on a best efforts basis for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9" w:right="4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period of its appointment. We may authorize underwriters, dealers or agents to solicit offers by certain purchasers to purchase securities at the public offering price set forth in the applicable prospectus supplement pursuant to delayed delivery contracts providing for payment and delivery on a specified date in the future. The delayed delivery contracts will be subject only to those conditions set forth in the applicable prospectus supplement, and the applicable prospectus supplement will set forth any commissions we pay for solicitation of these delayed delivery contracts.</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addition, the agents, underwriters and other third parties described above that participate in the distribution of the securities may be deemed to be underwriters. Agents, underwriters and other third parties described above may be entitled to indemnification by us against certain civil liabilities under the Securities Act,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offered shares to one or more purchasers directly, in which case no underwriters or agents would be involved.</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Registration Rights Agreement. We have agreed to pay all expenses in connection with this offering, other than underwriting fees, discounts, selling commissions, stock transfer taxes, and certain legal expenses.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required to pay all fees and expenses incident to the registration of ADSs to be offered and sold pursuant to this prospectus.</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can be no assurance that we will sell all or any of the securities offered by this prospectus.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U.S. Federal Income Tax Considerations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section describes the material U.S. federal income tax considerations to U.S. Holders (as defined below) of the ownership and disposition of ADS. This discussion is based on the Code, its legislative history, the Treasury Regulations,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ADS. This discussion also assumes that the Company will not be a “controlled foreign corporation” as defined in the Code. The Company has not sought and does not intend to seek any rulings from the IRS regarding the ADS. There is no assurance that the IRS will not take positions concerning certain tax consequences of the ownership and disposition of ADS that are different from those discussed below, or that any such different positions would not be sustained by a court.</w:t>
      </w:r>
    </w:p>
    <w:p>
      <w:pPr>
        <w:spacing w:after="0" w:line="16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Further, this discussion applies only to ADS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w:t>
      </w:r>
    </w:p>
    <w:p>
      <w:pPr>
        <w:spacing w:after="0" w:line="54"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person subject to the base erosion and anti-abuse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investors subject to the alternative minimum tax provisions of the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accrual method taxpayers that file applicable financial statements as described in Section 451(b) of the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investors subject to the U.S. “anti-inversion” rules;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qualified retirement plans, individual retirement accounts or other tax deferred accounts;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banks or other financial institutions, underwriters, insurance companies, real estate investment trusts or regulated investment companies;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persons that own (directly, indirectly, or by attribution) 5% or more (by vote or value) of any class of ADS or of the Company in the aggregate;</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persons holding ADS as part of a straddle, hedging or conversion transaction, constructive sale, or other arrangement involving more than one position;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persons that received ADS as compensation for services;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ADS, the tax treatment of a partner in such partnership will depend upon the status and activities of the partner and the activities of the partnership. Partners should consult their tax advisors regarding the U.S. federal income tax treatment of the ownership and disposition of ADS.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ALL HOLDERS OF ADS ARE URGED TO CONSULT THEIR TAX ADVISORS REGARDING THE TAX CONSIDERATIONS RELATING TO THE OWNERSHIP AND DISPOSITION OF ADS, INCLUDING THE EFFECTS OF U.S. FEDERAL, STATE, AND LOCAL AND NON-U.S. TAX LAWS.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Federal Income Tax Treatment of the Company</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England and Wales,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92" w:lineRule="exact"/>
        <w:rPr>
          <w:sz w:val="20"/>
          <w:szCs w:val="20"/>
          <w:color w:val="auto"/>
        </w:rPr>
      </w:pPr>
    </w:p>
    <w:p>
      <w:pPr>
        <w:ind w:left="120" w:right="120" w:firstLine="440"/>
        <w:spacing w:after="0" w:line="283" w:lineRule="auto"/>
        <w:rPr>
          <w:sz w:val="20"/>
          <w:szCs w:val="20"/>
          <w:color w:val="auto"/>
        </w:rPr>
      </w:pPr>
      <w:r>
        <w:rPr>
          <w:rFonts w:ascii="Arial" w:cs="Arial" w:eastAsia="Arial" w:hAnsi="Arial"/>
          <w:sz w:val="16"/>
          <w:szCs w:val="16"/>
          <w:color w:val="auto"/>
        </w:rPr>
        <w:t>Under Section 7874 of the Code, a corporation created or organized outside the United States (</w:t>
      </w:r>
      <w:r>
        <w:rPr>
          <w:rFonts w:ascii="Arial" w:cs="Arial" w:eastAsia="Arial" w:hAnsi="Arial"/>
          <w:sz w:val="16"/>
          <w:szCs w:val="16"/>
          <w:i w:val="1"/>
          <w:iCs w:val="1"/>
          <w:color w:val="auto"/>
        </w:rPr>
        <w:t>i.e.</w:t>
      </w:r>
      <w:r>
        <w:rPr>
          <w:rFonts w:ascii="Arial" w:cs="Arial" w:eastAsia="Arial" w:hAnsi="Arial"/>
          <w:sz w:val="16"/>
          <w:szCs w:val="16"/>
          <w:color w:val="auto"/>
        </w:rPr>
        <w:t>,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w:t>
      </w:r>
    </w:p>
    <w:p>
      <w:pPr>
        <w:spacing w:after="0" w:line="6"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“Section 7874 ownership percentage”) is at least 80% (by either vote or value) (this test is referred to as the “80% ownership test” and the three-prong test described in clauses (i)–(iii) above is referred to as the “Section 7874(b) expatriation test”).</w:t>
      </w: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and income from the license of any property that is either transferred or licensed as part of the acquisition or after 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Based upon the rules for determining share ownership under Section 7874 of the Code and the Treasury Regulations promulgated thereunder, the Section 7874 ownership percentage is not more than 60%. Accordingly, the Company is not treated as a U.S. corporation for U.S. federal income tax purposes, and the U.S. subsidiaries of the Company are not subject to the limitations and other rules described above under Section 7874 of the Code.</w:t>
      </w:r>
    </w:p>
    <w:p>
      <w:pPr>
        <w:spacing w:after="0" w:line="14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If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American Depositary Shares</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Each ADS represents the right to receive, and to exercise the beneficial ownership interests in, one Class A Share, one Class C-1 Share or Class C-2 Share (as applicable)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 because of legal restrictions or practical considerations.</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remainder of this discussion assumes that, for U.S. federal income tax purposes, ownership of ADS will be treated as ownership of the underlying Class A Shares or Class C Shares (as applicable).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Holders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this discussion, a U.S. Holder means a beneficial owner of ADS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Consequences to Holders of Class A ADSs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Distributions on Class A ADSs</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Subject to the discussion below under “—Passive Foreign Investment Company Rules,” the gross amount of any distribution on Class A ADSs generally will be taxable to a U.S. Holder as dividend income on the date such distribution is actually or constructively received, but only to the extent that the distribution is paid out of the Company’s current or accumulated earnings and profits (as determined under U.S. federal income tax principles).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Because the Company does not maintain, and it is not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 but they may nonetheless qualify for other dividend received deductions depending on the ownership by a U.S. Holder. Each U.S. Holder should consult its own tax advisor to determine whether a deduction under Section 245A of the Code, or other sections, is available based on its particular circumstances</w:t>
      </w:r>
    </w:p>
    <w:p>
      <w:pPr>
        <w:spacing w:after="0" w:line="16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or the Company qualifies for the benefits of certain U.S. income tax treaties. There can be no assurance that Class A ADSs will be considered readily tradable on an established securities market in future years or that the Company qualifies for the benefits of such a treaty. U.S. Holders should consult their own tax advisors regarding the potential availability of the lower rate for any dividends paid with respect to Class A ADSs.</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Sale, Exchange, Redemption or Other Taxable Disposition of Class A ADSs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Subject to the discussion below under “—Passive Foreign Investment Company Rules,” a U.S. Holder generally will recognize gain or loss on any sale, exchange or other taxable disposition of Class A ADSs in an amount equal to the difference between (i) the amount realized on the disposition and</w:t>
      </w:r>
    </w:p>
    <w:p>
      <w:pPr>
        <w:ind w:left="120" w:right="40" w:hanging="4"/>
        <w:spacing w:after="0" w:line="253" w:lineRule="auto"/>
        <w:tabs>
          <w:tab w:leader="none" w:pos="38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w:t>
      </w:r>
    </w:p>
    <w:p>
      <w:pPr>
        <w:spacing w:after="0" w:line="19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w:t>
      </w:r>
    </w:p>
    <w:p>
      <w:pPr>
        <w:spacing w:after="0" w:line="178"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ADS owned directly, ADS owned by certain related individuals and entities in which the U.S. Holder has an interest or that have an interest in such U.S. Holder, as well as any ADS the U.S. Holder has a right to acquire by exercise of an option.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ADS actually and constructively owned by the U.S. Holder immediately before the redemption. There will be a complete termination of a U.S. Holder’s interest if either all the ADS actually and constructively owned by the U.S. Holder are redeemed or ADS actually owned by the U.S. Holder are redeemed and the U.S. Holder is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eligible to waive, and effectively waives in accordance with specific rules, the attribution of stock owned by certain family members and the U.S. 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w:t>
      </w:r>
    </w:p>
    <w:p>
      <w:pPr>
        <w:spacing w:after="0" w:line="17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If the redemption qualifies as a sale of stock by the U.S. Holder under Section 302 of the Code, the U.S. Holder generally will be required to recognize gain or loss with the consequences described in the first paragraph under this heading.</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the redemption does not qualify as a sale of stock under Section 302 of the Code, then the U.S. Holder will be treated as receiving a distribution as described above in “—Distributions on Class A ADSs.”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Consequences to Holders of Class C ADSs</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Regardless, holders of Class C ADSs are urged to consult their tax advisors regarding the U.S. federal income tax considerations relating to the ownership, conversion or disposition of Class C ADSs.</w:t>
      </w:r>
    </w:p>
    <w:p>
      <w:pPr>
        <w:spacing w:after="0" w:line="180" w:lineRule="exact"/>
        <w:rPr>
          <w:sz w:val="20"/>
          <w:szCs w:val="20"/>
          <w:color w:val="auto"/>
        </w:rPr>
      </w:pPr>
    </w:p>
    <w:p>
      <w:pPr>
        <w:ind w:left="540" w:hanging="208"/>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Class C ADSs Treated as Stock</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following discussion assumes that the Class C ADSs are treated as stock for applicable U.S. federal income tax purposes.</w:t>
      </w:r>
    </w:p>
    <w:p>
      <w:pPr>
        <w:spacing w:after="0" w:line="252"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Sale, Exchange, Redemption or Other Taxable Disposition of Class C ADSs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the Class C ADSs are treated as stock for U.S. federal income tax purposes, then the consequences of a sale, exchange, redemption or other taxable disposition of a Class C ADSs are the same as described above under the heading “—Sale, Exchange, Redemption or Other Taxable Disposition of Class A ADSs.”</w:t>
      </w:r>
    </w:p>
    <w:p>
      <w:pPr>
        <w:spacing w:after="0" w:line="211"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Conversion of a Class C ADS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treatment of a conversion of Class C ADSs to Class A ADSs is unclear. Subject to the discussion below under “—Passive Foreign Investment Company Rules” and the discussion of cashless conversion discussed below, a U.S. Holder may be treated as in part exchanging the converted Class C ADSs for Class A ADSs and in part “exercising” such Class C ADSs. In this case, a U.S. Holder generally will not recognize gain or loss upon the conversion of a Class C ADS to a Class A ADS and would generally bifurcate its holding period in the Class A ADSs received upon conversion of the Class C ADSs with a portion of the holding period of the Class A ADSs including the holding period of the Class C ADSs converted thereto, and a portion of the holding period of the Class A ADSs beginning on the date following the conversion. The ratio of such portions should be equal to the ratio of the fair market value of the converted Class C ADSs to the amount of the conversion price. A U.S. Holder’s tax basis in a Class A ADS received upon conversion of a Class C ADS generally should be an amount equal to the sum of (i) the U.S. Holder’s tax basis in the Class C ADS exchanged therefor and (ii) the conversion price. In the event that a Class C ADS is not converted to a Class A ADS prior to the applicable expiration date (a “conversion expiration”), a U.S. Holder may be able to recognize a capital loss equal to such U.S. Holder’s tax basis in such Class C ADS.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tax-free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w:t>
      </w:r>
    </w:p>
    <w:p>
      <w:pPr>
        <w:spacing w:after="0" w:line="185"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w:t>
      </w:r>
    </w:p>
    <w:p>
      <w:pPr>
        <w:spacing w:after="0" w:line="2"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Accordingly, U.S. Holders are urged to consult their tax advisors regarding the tax consequences of a conversion of Class C ADSs or redemption of Class C ADSs for Class A ADSs.</w:t>
      </w:r>
    </w:p>
    <w:p>
      <w:pPr>
        <w:spacing w:after="0" w:line="208" w:lineRule="exact"/>
        <w:rPr>
          <w:sz w:val="20"/>
          <w:szCs w:val="20"/>
          <w:color w:val="auto"/>
        </w:rPr>
      </w:pPr>
    </w:p>
    <w:p>
      <w:pPr>
        <w:ind w:left="540" w:hanging="208"/>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Class C ADS Treated as Warrants</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following section assumes that the Class C ADSs are treated as warrants exercisable for Class A common stock, notwithstanding the Company’s position that the Class C ADSs are treated as stock.</w:t>
      </w:r>
    </w:p>
    <w:p>
      <w:pPr>
        <w:spacing w:after="0" w:line="197"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Sale, Exchange, Redemption or Other Taxable Disposition of Class C ADSs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If the Class C ADSs are treated as warrants for U.S. federal income tax purposes, then the consequences of a sale, exchange, redemption or other taxable disposition of a Class C ADSs are the same as described above under the heading “—Sale, Exchange, Redemption or Other Taxable Disposition of Class A ADSs.”</w:t>
      </w:r>
    </w:p>
    <w:p>
      <w:pPr>
        <w:spacing w:after="0" w:line="211"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Conversion of a Class C ADS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Class C ADSs are treated as warrants exercisable for Class A ADSs for U.S. federal income tax purposes, subject to the PFIC rules discussed below subject to the discussion below under “—Passive Foreign Investment Company Rules,”,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 ADSs will begin on the date following the date of conversion (or possibly the date of conversion) of the Class C ADSs and will not include the period during which the U.S. Holder held the Class C ADSs. If a Class C ADS is not converted to a Class A ADS prior to the applicable expiration date (a “conversion expiration”), a U.S. Holder generally will recognize a capital loss equal to such U.S. Holder’s tax basis in the Class C ADS.</w:t>
      </w:r>
    </w:p>
    <w:p>
      <w:pPr>
        <w:spacing w:after="0" w:line="16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w:t>
      </w:r>
      <w:r>
        <w:rPr>
          <w:rFonts w:ascii="Arial" w:cs="Arial" w:eastAsia="Arial" w:hAnsi="Arial"/>
          <w:sz w:val="18"/>
          <w:szCs w:val="18"/>
          <w:i w:val="1"/>
          <w:iCs w:val="1"/>
          <w:color w:val="auto"/>
        </w:rPr>
        <w:t>—Class C ADSs Treated as Stock</w:t>
      </w:r>
      <w:r>
        <w:rPr>
          <w:rFonts w:ascii="Arial" w:cs="Arial" w:eastAsia="Arial" w:hAnsi="Arial"/>
          <w:sz w:val="18"/>
          <w:szCs w:val="18"/>
          <w:color w:val="auto"/>
        </w:rPr>
        <w:t>.”</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“surrendered Class C ADSs”). The U.S. Holder would recognize capital gain or loss with respect to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surrendered Class C ADSs in an amount generally equal to the difference between (i) the fair market value of the Class C ADSs deemed surrendered and</w:t>
      </w:r>
    </w:p>
    <w:p>
      <w:pPr>
        <w:spacing w:after="0" w:line="46" w:lineRule="exact"/>
        <w:rPr>
          <w:sz w:val="20"/>
          <w:szCs w:val="20"/>
          <w:color w:val="auto"/>
        </w:rPr>
      </w:pPr>
    </w:p>
    <w:p>
      <w:pPr>
        <w:ind w:left="120" w:right="220" w:hanging="4"/>
        <w:spacing w:after="0" w:line="295" w:lineRule="auto"/>
        <w:tabs>
          <w:tab w:leader="none" w:pos="38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U.S. Holder’s tax basis in the surrendered Class C ADSs. In this case, a U.S. Holder’s tax basis in the Class A ADSs received would equal the U.S. Holder’s tax basis in the Class C ADSs 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w:t>
      </w:r>
    </w:p>
    <w:p>
      <w:pPr>
        <w:spacing w:after="0" w:line="16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Further, under certain conditions, the Company has the right to redeem Class C ADSs for cash or for Class A ADSs, as discussed in the sections titled “</w:t>
      </w:r>
      <w:r>
        <w:rPr>
          <w:rFonts w:ascii="Arial" w:cs="Arial" w:eastAsia="Arial" w:hAnsi="Arial"/>
          <w:sz w:val="18"/>
          <w:szCs w:val="18"/>
          <w:i w:val="1"/>
          <w:iCs w:val="1"/>
          <w:color w:val="auto"/>
        </w:rPr>
        <w:t>—Redemption of Class C Shares for Cash</w:t>
      </w:r>
      <w:r>
        <w:rPr>
          <w:rFonts w:ascii="Arial" w:cs="Arial" w:eastAsia="Arial" w:hAnsi="Arial"/>
          <w:sz w:val="18"/>
          <w:szCs w:val="18"/>
          <w:color w:val="auto"/>
        </w:rPr>
        <w:t>,” and “</w:t>
      </w:r>
      <w:r>
        <w:rPr>
          <w:rFonts w:ascii="Arial" w:cs="Arial" w:eastAsia="Arial" w:hAnsi="Arial"/>
          <w:sz w:val="18"/>
          <w:szCs w:val="18"/>
          <w:i w:val="1"/>
          <w:iCs w:val="1"/>
          <w:color w:val="auto"/>
        </w:rPr>
        <w:t>—Redemption of Class C Shares for Class A ADSs</w:t>
      </w:r>
      <w:r>
        <w:rPr>
          <w:rFonts w:ascii="Arial" w:cs="Arial" w:eastAsia="Arial" w:hAnsi="Arial"/>
          <w:sz w:val="18"/>
          <w:szCs w:val="18"/>
          <w:color w:val="auto"/>
        </w:rPr>
        <w:t>,” respectively. If the Class C ADSs are redeemed for cash, the tax consequences generally will be as described in the section titled “</w:t>
      </w:r>
      <w:r>
        <w:rPr>
          <w:rFonts w:ascii="Arial" w:cs="Arial" w:eastAsia="Arial" w:hAnsi="Arial"/>
          <w:sz w:val="18"/>
          <w:szCs w:val="18"/>
          <w:i w:val="1"/>
          <w:iCs w:val="1"/>
          <w:color w:val="auto"/>
        </w:rPr>
        <w:t>—Sale, Exchange, Redemption or Other Taxable</w:t>
      </w:r>
      <w:r>
        <w:rPr>
          <w:rFonts w:ascii="Arial" w:cs="Arial" w:eastAsia="Arial" w:hAnsi="Arial"/>
          <w:sz w:val="18"/>
          <w:szCs w:val="18"/>
          <w:color w:val="auto"/>
        </w:rPr>
        <w:t xml:space="preserve"> </w:t>
      </w:r>
      <w:r>
        <w:rPr>
          <w:rFonts w:ascii="Arial" w:cs="Arial" w:eastAsia="Arial" w:hAnsi="Arial"/>
          <w:sz w:val="18"/>
          <w:szCs w:val="18"/>
          <w:i w:val="1"/>
          <w:iCs w:val="1"/>
          <w:color w:val="auto"/>
        </w:rPr>
        <w:t>Disposition of Class A ADSs</w:t>
      </w:r>
      <w:r>
        <w:rPr>
          <w:rFonts w:ascii="Arial" w:cs="Arial" w:eastAsia="Arial" w:hAnsi="Arial"/>
          <w:sz w:val="18"/>
          <w:szCs w:val="18"/>
          <w:color w:val="auto"/>
        </w:rPr>
        <w:t>.”</w:t>
      </w:r>
    </w:p>
    <w:p>
      <w:pPr>
        <w:spacing w:after="0" w:line="18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terms of each Class C ADS provide for an adjustment to the number of Class A ADSs for which a Class C ADS may be exercised or converted, or to the exercise or conversion price of a Class C ADS in certain events, as discussed in the section entitled “Description of Company Share Capital and Articles of Association— Class C Shares.”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w:t>
      </w:r>
      <w:r>
        <w:rPr>
          <w:rFonts w:ascii="Arial" w:cs="Arial" w:eastAsia="Arial" w:hAnsi="Arial"/>
          <w:sz w:val="18"/>
          <w:szCs w:val="18"/>
          <w:i w:val="1"/>
          <w:iCs w:val="1"/>
          <w:color w:val="auto"/>
        </w:rPr>
        <w:t>—Distributions on Class A ADSs</w:t>
      </w:r>
      <w:r>
        <w:rPr>
          <w:rFonts w:ascii="Arial" w:cs="Arial" w:eastAsia="Arial" w:hAnsi="Arial"/>
          <w:sz w:val="18"/>
          <w:szCs w:val="18"/>
          <w:color w:val="auto"/>
        </w:rPr>
        <w:t>” above. Such constructive distributions would be subject to tax as described under that section in the same manner as if the U.S. holder received a cash distribution from the Company equal to the fair market value of such increased interest.</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treatment of U.S. Holders of the ADS could be materially different from that described above if the Company is treated as a passive foreign investment company, or “PFIC”, for U.S. federal income tax purposes. A 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 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 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Based on the projected composition of the Company’s income and assets (including the income and assets of each subsidiary for which the Company owns, directly or indirectly, 25% or more (by value) of its stock), the Company does not believe it was classified as a PFIC for its most recent taxable year ended on December 31, 2022, and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the Company is or becomes a PFIC during any year in which a U.S. Holder holds ADSs and such U.S. Holder does not make a mark-to-market election, as described below, the U.S. Holder will be subject to special tax rules with respect to (i) any gain realized on a sale or other disposition (including a pledge) of its ADSs,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w:t>
      </w:r>
    </w:p>
    <w:p>
      <w:pPr>
        <w:spacing w:after="0" w:line="93"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gain or excess distribution will be allocated ratably over the period during which the U.S. Holder held its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allocated to the current taxable year will be treated as ordinary income; and</w:t>
      </w:r>
    </w:p>
    <w:p>
      <w:pPr>
        <w:spacing w:after="0" w:line="130"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lieu of being subject to the special tax rules discussed above with regard to its Class A ADSs, a U.S. Holder may make a mark-to-market election with respect to its ADSs and with respect to its Class C ADSs if treated as stock. A U.S. Holder may make a mark-to-market election if such shares are treated as “marketable stock.” A mark-to-market election is not available with respect to the Class C ADSs if they are treated as warrants. The ADSs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ADSs are expected to be listed on Nasdaq, no assurance can be given that the ADSs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w:t>
      </w:r>
    </w:p>
    <w:p>
      <w:pPr>
        <w:spacing w:after="0" w:line="17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If the Company is classified as a PFIC for any taxable year, a U.S. Holder of ADSs will be required to file an annual report on IRS Form 8621. Failure to file IRS Form 8621 for each applicable taxable year may result in substantial penalties and result in the U.S. Holder’s taxable years being open to audit by the IRS until such Forms are properly filed.</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U.S. Holders are urged to consult their tax advisors concerning the U.S. federal income tax consequences of holding ADSs in the event that the Company is considered a PFIC in any taxable year.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1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U.S. Holders who are individuals and certain entities will be required to report information with respect to such U.S. Holder’s investment in “specified foreign financial assets” on IRS Form 8938 (Statement of Specified Foreign Financial Assets), subject to certain exceptions (including an exception for ADSs held in accounts maintained at certain financial institutions). An interest in ADSs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ADSs.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 related financial intermediaries are subject to information reporting and may be subject to backup withholding. Backup withholding generally will not apply, however, to a U.S. Holder if</w:t>
      </w:r>
    </w:p>
    <w:p>
      <w:pPr>
        <w:ind w:left="120" w:right="40" w:hanging="4"/>
        <w:spacing w:after="0" w:line="253"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U.S. Holder is a corporation or other exempt recipient or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is intended as a general guide to current United Kingdom tax law and HMRC published practice applying as at the date of this prospectus (both of which are subject to change at any time, possibly with retrospective effect) relating to (i) the United Kingdom withholding tax implications of dividends paid by the Company in respect of Class A Shares and Class C Shares and (ii) the United Kingdom stamp duty and SDRT implications of transfers of, and agreements to transfer, ADS. It does not constitute legal or tax advice and does not purport to be an analysis of any other United Kingdom tax considerations relating to the acquisition, holding or disposing of ADS or any other shares or securities that may be issued by the Company from time to time.</w:t>
      </w:r>
    </w:p>
    <w:p>
      <w:pPr>
        <w:spacing w:after="0" w:line="19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THESE PARAGRAPHS ARE A SUMMARY OF MATERIAL UNITED KINGDOM TAX CONSIDERATIONS AND ARE INTENDED AS A GENERAL GUIDE ONLY. IT IS RECOMMENDED THAT ALL HOLDERS OF ADS OBTAIN ADVICE AS TO THE CONSEQUENCES OF THE ACQUISITION, OWNERSHIP AND DISPOSAL OF THE ADS IN THEIR OWN SPECIFIC CIRCUMSTANCES FROM THEIR OWN TAX ADVISORS.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Dividends paid by the Company in respect of Class A Shares and Class C Shares should not be subject to any withholding or deduction for or on account of United Kingdom income tax.</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Tax—Transfers of ADS</w:t>
      </w:r>
    </w:p>
    <w:p>
      <w:pPr>
        <w:spacing w:after="0" w:line="117" w:lineRule="exact"/>
        <w:rPr>
          <w:sz w:val="20"/>
          <w:szCs w:val="20"/>
          <w:color w:val="auto"/>
        </w:rPr>
      </w:pPr>
    </w:p>
    <w:p>
      <w:pPr>
        <w:ind w:left="120" w:right="460" w:firstLine="440"/>
        <w:spacing w:after="0" w:line="286" w:lineRule="auto"/>
        <w:rPr>
          <w:sz w:val="20"/>
          <w:szCs w:val="20"/>
          <w:color w:val="auto"/>
        </w:rPr>
      </w:pPr>
      <w:r>
        <w:rPr>
          <w:rFonts w:ascii="Arial" w:cs="Arial" w:eastAsia="Arial" w:hAnsi="Arial"/>
          <w:sz w:val="17"/>
          <w:szCs w:val="17"/>
          <w:i w:val="1"/>
          <w:iCs w:val="1"/>
          <w:color w:val="auto"/>
        </w:rPr>
        <w:t>The statement in this section assumes that the ADS are held at all relevant times through the clearance service facilities of DTC and that all transfers of the ADS take place in paperless form without the creation of any written instrument of transfer. This section does not consider the implications of transfers of, or agreements to transfer, any Company securities held in certificated form.</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SDRT should be required to be paid on a paperless transfer of ADS through the clearance service facilities of DTC, provided that DTC has not made an election under section 97A of the United Kingdom Finance Act 1986, and such ADS are held through DTC at the time of any agreement for their transfer.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ENFORCEABILITY OF CERTAIN CIVIL LIABILITIES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are incorporated and currently existing under the laws of England and Wales. In addition, certain of our directors and officers reside outside of the United States and most of the assets of our non-U.S.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131" w:lineRule="exact"/>
        <w:rPr>
          <w:sz w:val="20"/>
          <w:szCs w:val="20"/>
          <w:color w:val="auto"/>
        </w:rPr>
      </w:pPr>
    </w:p>
    <w:p>
      <w:pPr>
        <w:ind w:left="1080" w:right="1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been advised by Alston &amp; Bird LLP and Alston &amp; Bird (City) LLP that there is currently no treaty between: (i) the United States; and</w:t>
      </w:r>
    </w:p>
    <w:p>
      <w:pPr>
        <w:spacing w:after="0" w:line="35" w:lineRule="exact"/>
        <w:rPr>
          <w:sz w:val="20"/>
          <w:szCs w:val="20"/>
          <w:color w:val="auto"/>
        </w:rPr>
      </w:pPr>
    </w:p>
    <w:p>
      <w:pPr>
        <w:ind w:left="120" w:right="60" w:hanging="4"/>
        <w:spacing w:after="0" w:line="252" w:lineRule="auto"/>
        <w:tabs>
          <w:tab w:leader="none" w:pos="3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England and Wales providing for reciprocal recognition and enforcement of judgments of United States courts in civil and commercial matters (although the United States and the UK are both parties to the New York Convention on the Recognition and Enforcement of Foreign Arbitral Awards) and that a final judgment for the payment of money rendered by any general or state court in the United States based on civil liability, whether or not predicated solely upon the United States securities laws, would not be automatically enforceable in England and Wales. We have also been advised by Alston &amp; Bird LLP and Alston &amp; Bird (City)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97" w:lineRule="exact"/>
        <w:rPr>
          <w:rFonts w:ascii="Arial" w:cs="Arial" w:eastAsia="Arial" w:hAnsi="Arial"/>
          <w:sz w:val="18"/>
          <w:szCs w:val="18"/>
          <w:color w:val="auto"/>
        </w:rPr>
      </w:pPr>
    </w:p>
    <w:p>
      <w:pPr>
        <w:ind w:left="1080" w:right="300" w:hanging="424"/>
        <w:spacing w:after="0" w:line="277" w:lineRule="auto"/>
        <w:tabs>
          <w:tab w:leader="none" w:pos="1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courts of England and Wales had jurisdiction over the matter on enforcement and we either submitted to such jurisdiction or were resident or carrying on business within such jurisdiction and were duly served with process;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75" w:lineRule="exact"/>
        <w:rPr>
          <w:rFonts w:ascii="Arial" w:cs="Arial" w:eastAsia="Arial" w:hAnsi="Arial"/>
          <w:sz w:val="18"/>
          <w:szCs w:val="18"/>
          <w:color w:val="auto"/>
        </w:rPr>
      </w:pPr>
    </w:p>
    <w:p>
      <w:pPr>
        <w:ind w:left="1080" w:right="20" w:hanging="424"/>
        <w:spacing w:after="0" w:line="308" w:lineRule="auto"/>
        <w:tabs>
          <w:tab w:leader="none" w:pos="10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judgment given by the courts was not in respect of penalties, taxes, fines or similar fiscal or revenue obligations (or otherwise based on a U.S. law that the courts of England and Wales consider to relate to a penal, revenue or other public law);</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judgment was not procured by fraud;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recognition or enforcement of the judgment in England and Wales would not be contrary to public policy or the Human Rights Act 1998;</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proceedings pursuant to which judgment was obtained were not contrary to natural justice;</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there is not a prior decision of the courts of England and Wales or the court of another jurisdiction on the issues in question between the same parties;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English enforcement proceedings were commenced within the limitation period.</w:t>
      </w:r>
    </w:p>
    <w:p>
      <w:pPr>
        <w:spacing w:after="0" w:line="225"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the courts of England and Wales give a judgment for the sum payable under a U.S. judgment, the English judgment will be enforceable by methods generally available for this purpose. These methods generally permit the courts of England and Wales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 It should also be noted that in the courts system of England and Wales the usual rule is that the losing party is ordered to pay the legal costs of the litigation that were incurred by the successful party. These costs are assessed by the courts of England and Wales at the conclusion of the litigation.</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320" w:top="459" w:right="5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EXPENSES RELATED TO THE OFFERING</w:t>
      </w:r>
    </w:p>
    <w:p>
      <w:pPr>
        <w:spacing w:after="0" w:line="22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estimate the following expenses in connection with the possible offer and sale of securities registered under this registration statement, all of which are to be paid by us. With the exception of the SEC Filing Fee, all amounts are estimates. Each prospectus supplement describing an offering of securities will reflect the estimated expenses related to the offering of securities under that prospectus supplement.</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US Securities and Exchange Commission Filing Fee</w:t>
            </w:r>
          </w:p>
        </w:tc>
        <w:tc>
          <w:tcPr>
            <w:tcW w:w="2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$ 147,600.00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FINRA Filing Fee</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10" w:lineRule="exact"/>
        <w:rPr>
          <w:sz w:val="20"/>
          <w:szCs w:val="20"/>
          <w:color w:val="auto"/>
        </w:rPr>
      </w:pPr>
    </w:p>
    <w:p>
      <w:pPr>
        <w:ind w:left="5540" w:right="2540" w:hanging="5424"/>
        <w:spacing w:after="0" w:line="449" w:lineRule="auto"/>
        <w:tabs>
          <w:tab w:leader="none" w:pos="5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amounts cannot be estimated at this time and will be provided in an applicable prospectus supplement. 61</w:t>
      </w:r>
    </w:p>
    <w:p>
      <w:pPr>
        <w:sectPr>
          <w:pgSz w:w="11900" w:h="16838" w:orient="portrait"/>
          <w:cols w:equalWidth="0" w:num="1">
            <w:col w:w="10940"/>
          </w:cols>
          <w:pgMar w:left="320" w:top="459" w:right="6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CHANGES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previously disclosed in the 2022 Annual Report, in connection with the preparation of Polestar’s financial statements as of the year ended December 31, 2022, management concluded that there were several material weaknesses in internal control over financial reporting as of December 31, 2022.</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connection with the preparation of Polestar’s unaudited financial statements for the quarter ended June 30, 2023, management identified an additional material weakness in Polestar’s internal control over financial reporting related to its current versus non-current classification of its liability to repurchase vehicles sold under its sales of vehicles with repurchase obligations arrangements.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defined in standards established by the PCAOB, a “material weakness” is a deficiency, or a combination of deficiencies, in internal control over financial reporting, such that there is a reasonable possibility that a material misstatement of Polestar’s annual or interim financial statements will not be prevented or detected on a timely basis.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with the Company’s other material weaknesses, the Company has developed a remediation plan, including designing and implementing enhanced controls around review of repurchase obligation classification, and providing additional and continuing training for employees to ensure information is appropriately communicated to all relevant personnel in connection with SEC filings and/or the preparation of our consolidated financial statements,</w:t>
      </w:r>
    </w:p>
    <w:p>
      <w:pPr>
        <w:spacing w:after="0" w:line="1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Company is continuously actively engaging in remediation efforts towards remediating its existing material weaknesses. See the Risk Factors related to material weaknesses and Item 15 in the 2022 Annual Report. 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Due to this ongoing testing, we cannot provide assurance that the measures we have taken to date, and are continuing to implement, will be sufficient to remediate the material weakness we have identified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validity of our Class A and Class C-1 Shares shall be passed upon for us by Alston &amp; Bird (City) LLP, as our counsel with respect to certain legal matters as to English law.</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financial statements of Polestar Automotive Holding UK PLC incorporated by reference in this registration statement have been audited by Deloitte AB, an independent registered public accounting firm, as stated in their report. Such financial statements are incorporated by reference in reliance upon the report of such firm, given their authority as experts in accounting and auditing.</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320" w:top="459" w:right="6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have filed with the SEC a registration statement (including amendments and exhibits to the registration statement) on Form F-3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77"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We are subject to certain of the informational filing requirements of the Exchange Act. As a foreign private issuer,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expect to submit interim consolidated financial data to the SEC under cover of the SEC’s Form 6-K, we are not required to file periodic reports and financial statements with the SEC as frequently or as promptly as U.S. public companies and are not required to file quarterly reports on Form 10-Q or current reports on Form 8-K under the Exchange Act. The SEC maintains a website at http://www.sec.gov that contains reports and other information that we file with or furnish electronically with the SEC.</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mailing address of Polestar’s principal executive office is Assar Gabrielssons Väg 9, 405 31 Gothenburg, Sweden and its telephone number is +1 (949) 735-1834. Polestar also maintains a website at https://www.polestar.com/us/. In this prospectus, the website addresses of the SEC and Polestar are provided solely for information and are not intended to be active links. Polestar is not incorporating the contents of the websites of the SEC and Polestar or any other entity into this prospectus.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20"/>
        <w:spacing w:after="0"/>
        <w:rPr>
          <w:sz w:val="20"/>
          <w:szCs w:val="20"/>
          <w:color w:val="auto"/>
        </w:rPr>
      </w:pPr>
      <w:r>
        <w:rPr>
          <w:rFonts w:ascii="Arial" w:cs="Arial" w:eastAsia="Arial" w:hAnsi="Arial"/>
          <w:sz w:val="29"/>
          <w:szCs w:val="29"/>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494665</wp:posOffset>
            </wp:positionV>
            <wp:extent cx="1071245" cy="4883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10712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Ordinary Shares</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American Depositary Shares</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Rights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1485900</wp:posOffset>
            </wp:positionV>
            <wp:extent cx="1474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437515</wp:posOffset>
            </wp:positionV>
            <wp:extent cx="6995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Subject to the Companies Act, and without prejudice to any indemnity to which he or she may otherwise be entitled, members of the registrant’s board of directors and its officers shall have the benefit of the following indemnification provisions in the registrant’s articles of association:</w:t>
      </w:r>
    </w:p>
    <w:p>
      <w:pPr>
        <w:spacing w:after="0" w:line="1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Current and former members of the registrant’s board of directors or officers (other than any person, whether or not an officer of the registrant or an associated company (as defined in the Companies Act), engaged by the registrant or an associated company as auditor) shall be indemnified for all costs, charges, losses, expenses and liabilities sustained or incurred by them in connection with their duties or powers in relation to the registrant, any associated company or any pension fund or employee share scheme of ours or an associated company and in relation to the registrant’s (or an associated company’s) activities as trustee of an occupational pension scheme, including any liability incurred in defending any criminal or civil proceedings in which judgement is given in his or her favor or in which he or she is acquitted or the proceedings are otherwise disposed of without any finding or admission of any material breach of duty on his or her behalf or in connection with any application in which the court grants him or her relief from liability for negligence, default, breach of duty or breach of trust in relation to the registrant’s or its group’s affairs.</w:t>
      </w:r>
    </w:p>
    <w:p>
      <w:pPr>
        <w:spacing w:after="0" w:line="165" w:lineRule="exact"/>
        <w:rPr>
          <w:sz w:val="20"/>
          <w:szCs w:val="20"/>
          <w:color w:val="auto"/>
        </w:rPr>
      </w:pPr>
    </w:p>
    <w:p>
      <w:pPr>
        <w:ind w:left="120" w:right="240" w:firstLine="440"/>
        <w:spacing w:after="0" w:line="287" w:lineRule="auto"/>
        <w:rPr>
          <w:sz w:val="20"/>
          <w:szCs w:val="20"/>
          <w:color w:val="auto"/>
        </w:rPr>
      </w:pPr>
      <w:r>
        <w:rPr>
          <w:rFonts w:ascii="Arial" w:cs="Arial" w:eastAsia="Arial" w:hAnsi="Arial"/>
          <w:sz w:val="16"/>
          <w:szCs w:val="16"/>
          <w:color w:val="auto"/>
        </w:rPr>
        <w:t>In the case of current or former members of the registrant’s board of directors, in compliance with the Companies Act, there shall be no entitlement to indemnification as referred to above for (i) any liability incurred to the registrant or any associated company, (ii) the payment of a fine imposed in any criminal proceeding or a penalty imposed by a regulatory authority for non-compliance with any requirement of a regulatory nature,</w:t>
      </w:r>
    </w:p>
    <w:p>
      <w:pPr>
        <w:spacing w:after="0" w:line="2" w:lineRule="exact"/>
        <w:rPr>
          <w:sz w:val="20"/>
          <w:szCs w:val="20"/>
          <w:color w:val="auto"/>
        </w:rPr>
      </w:pPr>
    </w:p>
    <w:p>
      <w:pPr>
        <w:ind w:left="120" w:right="320" w:hanging="4"/>
        <w:spacing w:after="0" w:line="255" w:lineRule="auto"/>
        <w:tabs>
          <w:tab w:leader="none" w:pos="4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defense of any criminal proceeding if the member of the registrant’s board of directors is convicted, (iv) the defense of any civil proceeding brought by the registrant or an associated company in which judgement is given against the director and (v) any application for relief under the Companies Act in which the court refuses to grant relief to the director.</w:t>
      </w:r>
    </w:p>
    <w:p>
      <w:pPr>
        <w:spacing w:after="0" w:line="19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registrant may provide any current or former director or officer with funds to meet expenditure incurred or to be incurred by them in connection with any proceedings or application referred to above and otherwise may take any action to enable any such relevant officer to avoid incurring such expenditure. Members of the registrant’s board of directors and its officers who have received payment from the registrant under the relevant indemnification provisions must repay the amount they received in accordance with the Companies Act or in any other circumstances that the registrant may prescribe or where the registrant has reserved the right to require repayment.</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the registrant entered into deeds of indemnity with its directors, officers and certain members of Polestar Group’s senior management pursuant to which the registrant agrees to indemnify each such person in connection with threatened, pending or completed actions, suits or proceedings to which such person has been made a party or in which such person becomes involved.</w:t>
      </w:r>
    </w:p>
    <w:p>
      <w:pPr>
        <w:spacing w:after="0" w:line="32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list of exhibits filed with this registration statement is set forth on the Exhibit Index and is incorporated herein by reference.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60"/>
          </w:cols>
          <w:pgMar w:left="320" w:top="459" w:right="5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439"/>
        <w:spacing w:after="0" w:line="272" w:lineRule="auto"/>
        <w:tabs>
          <w:tab w:leader="none" w:pos="1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2" w:lineRule="exact"/>
        <w:rPr>
          <w:rFonts w:ascii="Arial" w:cs="Arial" w:eastAsia="Arial" w:hAnsi="Arial"/>
          <w:sz w:val="17"/>
          <w:szCs w:val="17"/>
          <w:color w:val="auto"/>
        </w:rPr>
      </w:pPr>
    </w:p>
    <w:p>
      <w:pPr>
        <w:ind w:left="1540" w:right="160" w:hanging="439"/>
        <w:spacing w:after="0" w:line="277" w:lineRule="auto"/>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92" w:lineRule="exact"/>
        <w:rPr>
          <w:sz w:val="20"/>
          <w:szCs w:val="20"/>
          <w:color w:val="auto"/>
        </w:rPr>
      </w:pPr>
    </w:p>
    <w:p>
      <w:pPr>
        <w:ind w:left="1080" w:right="20" w:hanging="532"/>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right="20" w:hanging="532"/>
        <w:spacing w:after="0" w:line="25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 (3)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if such financial statements and information are contained in periodic reports filed with or furnished to the SEC by the registrant pursuant to Section 13 or Section 15(d) of the Securities Exchange Act of 1934 that are incorporated by reference in the registration statement;</w:t>
      </w:r>
    </w:p>
    <w:p>
      <w:pPr>
        <w:spacing w:after="0" w:line="102" w:lineRule="exact"/>
        <w:rPr>
          <w:sz w:val="20"/>
          <w:szCs w:val="20"/>
          <w:color w:val="auto"/>
        </w:rPr>
      </w:pPr>
    </w:p>
    <w:p>
      <w:pPr>
        <w:ind w:left="540"/>
        <w:spacing w:after="0"/>
        <w:tabs>
          <w:tab w:leader="none" w:pos="1520" w:val="left"/>
        </w:tabs>
        <w:rPr>
          <w:sz w:val="20"/>
          <w:szCs w:val="20"/>
          <w:color w:val="auto"/>
        </w:rPr>
      </w:pPr>
      <w:r>
        <w:rPr>
          <w:rFonts w:ascii="Arial" w:cs="Arial" w:eastAsia="Arial" w:hAnsi="Arial"/>
          <w:sz w:val="18"/>
          <w:szCs w:val="18"/>
          <w:color w:val="auto"/>
        </w:rPr>
        <w:t>(5) (i)</w:t>
      </w:r>
      <w:r>
        <w:rPr>
          <w:sz w:val="20"/>
          <w:szCs w:val="20"/>
          <w:color w:val="auto"/>
        </w:rPr>
        <w:tab/>
      </w:r>
      <w:r>
        <w:rPr>
          <w:rFonts w:ascii="Arial" w:cs="Arial" w:eastAsia="Arial" w:hAnsi="Arial"/>
          <w:sz w:val="16"/>
          <w:szCs w:val="16"/>
          <w:color w:val="auto"/>
        </w:rPr>
        <w:t>That, for the purpose of determining liability under the Securities Act of 1933 to any purchaser:</w:t>
      </w:r>
    </w:p>
    <w:p>
      <w:pPr>
        <w:spacing w:after="0" w:line="131" w:lineRule="exact"/>
        <w:rPr>
          <w:sz w:val="20"/>
          <w:szCs w:val="20"/>
          <w:color w:val="auto"/>
        </w:rPr>
      </w:pPr>
    </w:p>
    <w:p>
      <w:pPr>
        <w:ind w:left="2080" w:right="60" w:hanging="533"/>
        <w:spacing w:after="0" w:line="277" w:lineRule="auto"/>
        <w:tabs>
          <w:tab w:leader="none" w:pos="2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2080" w:right="40" w:hanging="533"/>
        <w:spacing w:after="0" w:line="293" w:lineRule="auto"/>
        <w:tabs>
          <w:tab w:leader="none" w:pos="2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080" w:right="60"/>
        <w:spacing w:after="0" w:line="272" w:lineRule="auto"/>
        <w:rPr>
          <w:sz w:val="20"/>
          <w:szCs w:val="20"/>
          <w:color w:val="auto"/>
        </w:rPr>
      </w:pPr>
      <w:r>
        <w:rPr>
          <w:rFonts w:ascii="Arial" w:cs="Arial" w:eastAsia="Arial" w:hAnsi="Arial"/>
          <w:sz w:val="17"/>
          <w:szCs w:val="17"/>
          <w:color w:val="auto"/>
        </w:rPr>
        <w:t>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3" w:lineRule="exact"/>
        <w:rPr>
          <w:sz w:val="20"/>
          <w:szCs w:val="20"/>
          <w:color w:val="auto"/>
        </w:rPr>
      </w:pPr>
    </w:p>
    <w:p>
      <w:pPr>
        <w:ind w:left="1080" w:hanging="532"/>
        <w:spacing w:after="0" w:line="275" w:lineRule="auto"/>
        <w:tabs>
          <w:tab w:leader="none" w:pos="10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1540" w:right="140" w:hanging="439"/>
        <w:spacing w:after="0" w:line="277" w:lineRule="auto"/>
        <w:tabs>
          <w:tab w:leader="none" w:pos="15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200" w:hanging="439"/>
        <w:spacing w:after="0" w:line="277" w:lineRule="auto"/>
        <w:tabs>
          <w:tab w:leader="none" w:pos="15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500" w:hanging="439"/>
        <w:spacing w:after="0" w:line="277" w:lineRule="auto"/>
        <w:tabs>
          <w:tab w:leader="none" w:pos="15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540" w:right="20" w:hanging="424"/>
        <w:spacing w:after="0" w:line="257"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sz w:val="20"/>
          <w:szCs w:val="20"/>
          <w:color w:val="auto"/>
        </w:rPr>
      </w:pPr>
    </w:p>
    <w:p>
      <w:pPr>
        <w:ind w:left="540" w:right="60" w:hanging="424"/>
        <w:spacing w:after="0" w:line="271"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tcBorders>
              <w:bottom w:val="single" w:sz="8" w:color="auto"/>
            </w:tcBorders>
            <w:gridSpan w:val="5"/>
          </w:tcPr>
          <w:p>
            <w:pPr>
              <w:jc w:val="right"/>
              <w:ind w:right="455"/>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5"/>
        </w:trPr>
        <w:tc>
          <w:tcPr>
            <w:tcW w:w="4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160" w:type="dxa"/>
            <w:vAlign w:val="bottom"/>
            <w:gridSpan w:val="2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10"/>
                <w:szCs w:val="10"/>
                <w:color w:val="auto"/>
              </w:rPr>
            </w:pPr>
          </w:p>
        </w:tc>
        <w:tc>
          <w:tcPr>
            <w:tcW w:w="86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Schedule</w:t>
            </w:r>
          </w:p>
        </w:tc>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260" w:type="dxa"/>
            <w:vAlign w:val="bottom"/>
            <w:vMerge w:val="restart"/>
          </w:tcPr>
          <w:p>
            <w:pPr>
              <w:spacing w:after="0"/>
              <w:rPr>
                <w:sz w:val="10"/>
                <w:szCs w:val="10"/>
                <w:color w:val="auto"/>
              </w:rPr>
            </w:pPr>
          </w:p>
        </w:tc>
        <w:tc>
          <w:tcPr>
            <w:tcW w:w="680" w:type="dxa"/>
            <w:vAlign w:val="bottom"/>
          </w:tcPr>
          <w:p>
            <w:pPr>
              <w:jc w:val="right"/>
              <w:ind w:right="75"/>
              <w:spacing w:after="0" w:line="115" w:lineRule="exact"/>
              <w:rPr>
                <w:sz w:val="20"/>
                <w:szCs w:val="20"/>
                <w:color w:val="auto"/>
              </w:rPr>
            </w:pPr>
            <w:r>
              <w:rPr>
                <w:rFonts w:ascii="Arial" w:cs="Arial" w:eastAsia="Arial" w:hAnsi="Arial"/>
                <w:sz w:val="13"/>
                <w:szCs w:val="13"/>
                <w:b w:val="1"/>
                <w:bCs w:val="1"/>
                <w:color w:val="auto"/>
              </w:rPr>
              <w:t>Filing</w:t>
            </w:r>
          </w:p>
        </w:tc>
        <w:tc>
          <w:tcPr>
            <w:tcW w:w="0" w:type="dxa"/>
            <w:vAlign w:val="bottom"/>
          </w:tcPr>
          <w:p>
            <w:pPr>
              <w:spacing w:after="0"/>
              <w:rPr>
                <w:sz w:val="1"/>
                <w:szCs w:val="1"/>
                <w:color w:val="auto"/>
              </w:rPr>
            </w:pPr>
          </w:p>
        </w:tc>
      </w:tr>
      <w:tr>
        <w:trPr>
          <w:trHeight w:val="169"/>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4"/>
                <w:szCs w:val="14"/>
                <w:color w:val="auto"/>
              </w:rPr>
            </w:pPr>
          </w:p>
        </w:tc>
        <w:tc>
          <w:tcPr>
            <w:tcW w:w="7160" w:type="dxa"/>
            <w:vAlign w:val="bottom"/>
            <w:tcBorders>
              <w:bottom w:val="single" w:sz="8" w:color="auto"/>
            </w:tcBorders>
            <w:gridSpan w:val="21"/>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Form</w:t>
            </w:r>
          </w:p>
        </w:tc>
        <w:tc>
          <w:tcPr>
            <w:tcW w:w="28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 1.1*</w:t>
            </w:r>
          </w:p>
        </w:tc>
        <w:tc>
          <w:tcPr>
            <w:tcW w:w="360" w:type="dxa"/>
            <w:vAlign w:val="bottom"/>
          </w:tcPr>
          <w:p>
            <w:pPr>
              <w:spacing w:after="0"/>
              <w:rPr>
                <w:sz w:val="24"/>
                <w:szCs w:val="24"/>
                <w:color w:val="auto"/>
              </w:rPr>
            </w:pPr>
          </w:p>
        </w:tc>
        <w:tc>
          <w:tcPr>
            <w:tcW w:w="7380" w:type="dxa"/>
            <w:vAlign w:val="bottom"/>
            <w:gridSpan w:val="22"/>
          </w:tcPr>
          <w:p>
            <w:pPr>
              <w:spacing w:after="0"/>
              <w:rPr>
                <w:sz w:val="20"/>
                <w:szCs w:val="20"/>
                <w:color w:val="auto"/>
              </w:rPr>
            </w:pPr>
            <w:r>
              <w:rPr>
                <w:rFonts w:ascii="Arial" w:cs="Arial" w:eastAsia="Arial" w:hAnsi="Arial"/>
                <w:sz w:val="18"/>
                <w:szCs w:val="18"/>
                <w:color w:val="auto"/>
              </w:rPr>
              <w:t>Form of Underwriting Agreement.</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 2.1</w:t>
            </w:r>
          </w:p>
        </w:tc>
        <w:tc>
          <w:tcPr>
            <w:tcW w:w="360" w:type="dxa"/>
            <w:vAlign w:val="bottom"/>
          </w:tcPr>
          <w:p>
            <w:pPr>
              <w:spacing w:after="0"/>
              <w:rPr>
                <w:sz w:val="24"/>
                <w:szCs w:val="24"/>
                <w:color w:val="auto"/>
              </w:rPr>
            </w:pPr>
          </w:p>
        </w:tc>
        <w:tc>
          <w:tcPr>
            <w:tcW w:w="6460" w:type="dxa"/>
            <w:vAlign w:val="bottom"/>
            <w:tcBorders>
              <w:bottom w:val="single" w:sz="8" w:color="0000EE"/>
            </w:tcBorders>
            <w:gridSpan w:val="13"/>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Business Combination Agreement, dated as of September 27, 2021, by and among Gores</w:t>
              </w:r>
            </w:hyperlink>
          </w:p>
        </w:tc>
        <w:tc>
          <w:tcPr>
            <w:tcW w:w="920" w:type="dxa"/>
            <w:vAlign w:val="bottom"/>
            <w:gridSpan w:val="9"/>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F-1/A</w:t>
            </w:r>
          </w:p>
        </w:tc>
        <w:tc>
          <w:tcPr>
            <w:tcW w:w="940" w:type="dxa"/>
            <w:vAlign w:val="bottom"/>
          </w:tcPr>
          <w:p>
            <w:pPr>
              <w:ind w:left="4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8/18/22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80" w:type="dxa"/>
            <w:vAlign w:val="bottom"/>
            <w:gridSpan w:val="22"/>
          </w:tcPr>
          <w:p>
            <w:pPr>
              <w:spacing w:after="0" w:line="196" w:lineRule="exact"/>
              <w:rPr>
                <w:rFonts w:ascii="Arial" w:cs="Arial" w:eastAsia="Arial" w:hAnsi="Arial"/>
                <w:sz w:val="18"/>
                <w:szCs w:val="18"/>
                <w:color w:val="0000EE"/>
                <w:w w:val="98"/>
              </w:rPr>
            </w:pPr>
            <w:hyperlink r:id="rId128">
              <w:r>
                <w:rPr>
                  <w:rFonts w:ascii="Arial" w:cs="Arial" w:eastAsia="Arial" w:hAnsi="Arial"/>
                  <w:sz w:val="18"/>
                  <w:szCs w:val="18"/>
                  <w:color w:val="0000EE"/>
                  <w:w w:val="98"/>
                </w:rPr>
                <w:t>Guggenheim Inc., Polestar Automotive Holding Limited, Polestar Automotive (Singapore) Pte.</w:t>
              </w:r>
            </w:hyperlink>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6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Ltd., Polestar Holding AB, Inc., Polestar Automotive Holding UK Limited and PAH UK Merger</w:t>
              </w:r>
            </w:hyperlink>
          </w:p>
        </w:tc>
        <w:tc>
          <w:tcPr>
            <w:tcW w:w="4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28">
              <w:r>
                <w:rPr>
                  <w:rFonts w:ascii="Arial" w:cs="Arial" w:eastAsia="Arial" w:hAnsi="Arial"/>
                  <w:sz w:val="18"/>
                  <w:szCs w:val="18"/>
                  <w:color w:val="0000EE"/>
                  <w:w w:val="87"/>
                </w:rPr>
                <w:t>Sub Inc.</w:t>
              </w:r>
            </w:hyperlink>
          </w:p>
        </w:tc>
        <w:tc>
          <w:tcPr>
            <w:tcW w:w="6780" w:type="dxa"/>
            <w:vAlign w:val="bottom"/>
            <w:gridSpan w:val="21"/>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 2.2</w:t>
            </w:r>
          </w:p>
        </w:tc>
        <w:tc>
          <w:tcPr>
            <w:tcW w:w="360" w:type="dxa"/>
            <w:vAlign w:val="bottom"/>
          </w:tcPr>
          <w:p>
            <w:pPr>
              <w:spacing w:after="0"/>
              <w:rPr>
                <w:sz w:val="24"/>
                <w:szCs w:val="24"/>
                <w:color w:val="auto"/>
              </w:rPr>
            </w:pPr>
          </w:p>
        </w:tc>
        <w:tc>
          <w:tcPr>
            <w:tcW w:w="6940" w:type="dxa"/>
            <w:vAlign w:val="bottom"/>
            <w:tcBorders>
              <w:bottom w:val="single" w:sz="8" w:color="0000EE"/>
            </w:tcBorders>
            <w:gridSpan w:val="18"/>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Amendment No. 1 to the Business Combination Agreement, dated as of December 17, 2021, by</w:t>
              </w:r>
            </w:hyperlink>
          </w:p>
        </w:tc>
        <w:tc>
          <w:tcPr>
            <w:tcW w:w="440" w:type="dxa"/>
            <w:vAlign w:val="bottom"/>
            <w:gridSpan w:val="4"/>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F-1/A</w:t>
            </w:r>
          </w:p>
        </w:tc>
        <w:tc>
          <w:tcPr>
            <w:tcW w:w="940" w:type="dxa"/>
            <w:vAlign w:val="bottom"/>
          </w:tcPr>
          <w:p>
            <w:pPr>
              <w:ind w:left="4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8/18/22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80" w:type="dxa"/>
            <w:vAlign w:val="bottom"/>
            <w:gridSpan w:val="22"/>
          </w:tcPr>
          <w:p>
            <w:pPr>
              <w:spacing w:after="0" w:line="196" w:lineRule="exact"/>
              <w:rPr>
                <w:rFonts w:ascii="Arial" w:cs="Arial" w:eastAsia="Arial" w:hAnsi="Arial"/>
                <w:sz w:val="18"/>
                <w:szCs w:val="18"/>
                <w:color w:val="0000EE"/>
                <w:w w:val="97"/>
              </w:rPr>
            </w:pPr>
            <w:hyperlink r:id="rId129">
              <w:r>
                <w:rPr>
                  <w:rFonts w:ascii="Arial" w:cs="Arial" w:eastAsia="Arial" w:hAnsi="Arial"/>
                  <w:sz w:val="18"/>
                  <w:szCs w:val="18"/>
                  <w:color w:val="0000EE"/>
                  <w:w w:val="97"/>
                </w:rPr>
                <w:t>and among Gores Guggenheim Inc., Polestar Automotive Holding Limited, Polestar Automotive</w:t>
              </w:r>
            </w:hyperlink>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60" w:type="dxa"/>
            <w:vAlign w:val="bottom"/>
            <w:tcBorders>
              <w:top w:val="single" w:sz="8" w:color="0000EE"/>
            </w:tcBorders>
            <w:gridSpan w:val="19"/>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(Singapore) Pte. Ltd., Polestar Holding AB, Inc., Polestar Automotive Holding UK Limited and</w:t>
              </w:r>
            </w:hyperlink>
          </w:p>
        </w:tc>
        <w:tc>
          <w:tcPr>
            <w:tcW w:w="4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PAH UK Merger Sub Inc.</w:t>
              </w:r>
            </w:hyperlink>
          </w:p>
        </w:tc>
        <w:tc>
          <w:tcPr>
            <w:tcW w:w="5020" w:type="dxa"/>
            <w:vAlign w:val="bottom"/>
            <w:tcBorders>
              <w:top w:val="single" w:sz="8" w:color="0000EE"/>
            </w:tcBorders>
            <w:gridSpan w:val="12"/>
          </w:tcPr>
          <w:p>
            <w:pPr>
              <w:spacing w:after="0"/>
              <w:rPr>
                <w:sz w:val="17"/>
                <w:szCs w:val="17"/>
                <w:color w:val="auto"/>
              </w:rPr>
            </w:pPr>
          </w:p>
        </w:tc>
        <w:tc>
          <w:tcPr>
            <w:tcW w:w="48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 2.3</w:t>
            </w:r>
          </w:p>
        </w:tc>
        <w:tc>
          <w:tcPr>
            <w:tcW w:w="360" w:type="dxa"/>
            <w:vAlign w:val="bottom"/>
          </w:tcPr>
          <w:p>
            <w:pPr>
              <w:spacing w:after="0"/>
              <w:rPr>
                <w:sz w:val="24"/>
                <w:szCs w:val="24"/>
                <w:color w:val="auto"/>
              </w:rPr>
            </w:pPr>
          </w:p>
        </w:tc>
        <w:tc>
          <w:tcPr>
            <w:tcW w:w="6980" w:type="dxa"/>
            <w:vAlign w:val="bottom"/>
            <w:tcBorders>
              <w:bottom w:val="single" w:sz="8" w:color="0000EE"/>
            </w:tcBorders>
            <w:gridSpan w:val="20"/>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Amendment No. 2 to the Business Combination Agreement, dated as of March 24, 2022, by and</w:t>
              </w:r>
            </w:hyperlink>
          </w:p>
        </w:tc>
        <w:tc>
          <w:tcPr>
            <w:tcW w:w="400" w:type="dxa"/>
            <w:vAlign w:val="bottom"/>
            <w:gridSpan w:val="2"/>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F-1/A</w:t>
            </w:r>
          </w:p>
        </w:tc>
        <w:tc>
          <w:tcPr>
            <w:tcW w:w="940" w:type="dxa"/>
            <w:vAlign w:val="bottom"/>
          </w:tcPr>
          <w:p>
            <w:pPr>
              <w:ind w:left="4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8/18/22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among Gores Guggenheim Inc., Polestar Automotive Holding Limited, Polestar Automotive</w:t>
              </w:r>
            </w:hyperlink>
          </w:p>
        </w:tc>
        <w:tc>
          <w:tcPr>
            <w:tcW w:w="72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80" w:type="dxa"/>
            <w:vAlign w:val="bottom"/>
            <w:gridSpan w:val="22"/>
          </w:tcPr>
          <w:p>
            <w:pPr>
              <w:spacing w:after="0" w:line="196" w:lineRule="exact"/>
              <w:rPr>
                <w:rFonts w:ascii="Arial" w:cs="Arial" w:eastAsia="Arial" w:hAnsi="Arial"/>
                <w:sz w:val="18"/>
                <w:szCs w:val="18"/>
                <w:color w:val="0000EE"/>
                <w:w w:val="99"/>
              </w:rPr>
            </w:pPr>
            <w:hyperlink r:id="rId130">
              <w:r>
                <w:rPr>
                  <w:rFonts w:ascii="Arial" w:cs="Arial" w:eastAsia="Arial" w:hAnsi="Arial"/>
                  <w:sz w:val="18"/>
                  <w:szCs w:val="18"/>
                  <w:color w:val="0000EE"/>
                  <w:w w:val="99"/>
                </w:rPr>
                <w:t>(Singapore) Pte. Ltd., Polestar Holding AB, Inc., Polestar Automotive Holding UK Limited and</w:t>
              </w:r>
            </w:hyperlink>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PAH UK Merger Sub Inc.</w:t>
              </w:r>
            </w:hyperlink>
          </w:p>
        </w:tc>
        <w:tc>
          <w:tcPr>
            <w:tcW w:w="48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 2.4</w:t>
            </w:r>
          </w:p>
        </w:tc>
        <w:tc>
          <w:tcPr>
            <w:tcW w:w="360" w:type="dxa"/>
            <w:vAlign w:val="bottom"/>
          </w:tcPr>
          <w:p>
            <w:pPr>
              <w:spacing w:after="0"/>
              <w:rPr>
                <w:sz w:val="24"/>
                <w:szCs w:val="24"/>
                <w:color w:val="auto"/>
              </w:rPr>
            </w:pPr>
          </w:p>
        </w:tc>
        <w:tc>
          <w:tcPr>
            <w:tcW w:w="7380" w:type="dxa"/>
            <w:vAlign w:val="bottom"/>
            <w:gridSpan w:val="22"/>
          </w:tcPr>
          <w:p>
            <w:pPr>
              <w:spacing w:after="0"/>
              <w:rPr>
                <w:rFonts w:ascii="Arial" w:cs="Arial" w:eastAsia="Arial" w:hAnsi="Arial"/>
                <w:sz w:val="18"/>
                <w:szCs w:val="18"/>
                <w:color w:val="0000EE"/>
                <w:w w:val="97"/>
              </w:rPr>
            </w:pPr>
            <w:hyperlink r:id="rId131">
              <w:r>
                <w:rPr>
                  <w:rFonts w:ascii="Arial" w:cs="Arial" w:eastAsia="Arial" w:hAnsi="Arial"/>
                  <w:sz w:val="18"/>
                  <w:szCs w:val="18"/>
                  <w:color w:val="0000EE"/>
                  <w:w w:val="97"/>
                </w:rPr>
                <w:t>Amendment No. 3 to the Business Combination Agreement, dated as of April 21, 2022, by and</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F-1/A</w:t>
            </w:r>
          </w:p>
        </w:tc>
        <w:tc>
          <w:tcPr>
            <w:tcW w:w="940" w:type="dxa"/>
            <w:vAlign w:val="bottom"/>
          </w:tcPr>
          <w:p>
            <w:pPr>
              <w:ind w:left="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8/18/22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among Gores Guggenheim Inc., Polestar Automotive Holding Limited, Polestar Automotive</w:t>
              </w:r>
            </w:hyperlink>
          </w:p>
        </w:tc>
        <w:tc>
          <w:tcPr>
            <w:tcW w:w="220" w:type="dxa"/>
            <w:vAlign w:val="bottom"/>
            <w:tcBorders>
              <w:top w:val="single" w:sz="8" w:color="0000EE"/>
            </w:tcBorders>
            <w:gridSpan w:val="2"/>
          </w:tcPr>
          <w:p>
            <w:pPr>
              <w:spacing w:after="0"/>
              <w:rPr>
                <w:sz w:val="17"/>
                <w:szCs w:val="17"/>
                <w:color w:val="auto"/>
              </w:rPr>
            </w:pPr>
          </w:p>
        </w:tc>
        <w:tc>
          <w:tcPr>
            <w:tcW w:w="50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80" w:type="dxa"/>
            <w:vAlign w:val="bottom"/>
            <w:gridSpan w:val="22"/>
          </w:tcPr>
          <w:p>
            <w:pPr>
              <w:spacing w:after="0" w:line="196" w:lineRule="exact"/>
              <w:rPr>
                <w:rFonts w:ascii="Arial" w:cs="Arial" w:eastAsia="Arial" w:hAnsi="Arial"/>
                <w:sz w:val="18"/>
                <w:szCs w:val="18"/>
                <w:color w:val="0000EE"/>
                <w:w w:val="99"/>
              </w:rPr>
            </w:pPr>
            <w:hyperlink r:id="rId131">
              <w:r>
                <w:rPr>
                  <w:rFonts w:ascii="Arial" w:cs="Arial" w:eastAsia="Arial" w:hAnsi="Arial"/>
                  <w:sz w:val="18"/>
                  <w:szCs w:val="18"/>
                  <w:color w:val="0000EE"/>
                  <w:w w:val="99"/>
                </w:rPr>
                <w:t>(Singapore) Pte. Ltd., Polestar Holding AB, Inc., Polestar Automotive Holding UK Limited and</w:t>
              </w:r>
            </w:hyperlink>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PAH UK Merger Sub Inc.</w:t>
              </w:r>
            </w:hyperlink>
          </w:p>
        </w:tc>
        <w:tc>
          <w:tcPr>
            <w:tcW w:w="48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 4.1</w:t>
            </w:r>
          </w:p>
        </w:tc>
        <w:tc>
          <w:tcPr>
            <w:tcW w:w="360" w:type="dxa"/>
            <w:vAlign w:val="bottom"/>
          </w:tcPr>
          <w:p>
            <w:pPr>
              <w:spacing w:after="0"/>
              <w:rPr>
                <w:sz w:val="24"/>
                <w:szCs w:val="24"/>
                <w:color w:val="auto"/>
              </w:rPr>
            </w:pPr>
          </w:p>
        </w:tc>
        <w:tc>
          <w:tcPr>
            <w:tcW w:w="16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r:id="rId132">
              <w:r>
                <w:rPr>
                  <w:rFonts w:ascii="Arial" w:cs="Arial" w:eastAsia="Arial" w:hAnsi="Arial"/>
                  <w:sz w:val="18"/>
                  <w:szCs w:val="18"/>
                  <w:color w:val="0000EE"/>
                  <w:w w:val="93"/>
                </w:rPr>
                <w:t>Articles of Association</w:t>
              </w:r>
            </w:hyperlink>
          </w:p>
        </w:tc>
        <w:tc>
          <w:tcPr>
            <w:tcW w:w="200" w:type="dxa"/>
            <w:vAlign w:val="bottom"/>
            <w:tcBorders>
              <w:top w:val="single" w:sz="8" w:color="0000EE"/>
            </w:tcBorders>
            <w:gridSpan w:val="2"/>
          </w:tcPr>
          <w:p>
            <w:pPr>
              <w:spacing w:after="0"/>
              <w:rPr>
                <w:sz w:val="24"/>
                <w:szCs w:val="24"/>
                <w:color w:val="auto"/>
              </w:rPr>
            </w:pPr>
          </w:p>
        </w:tc>
        <w:tc>
          <w:tcPr>
            <w:tcW w:w="5520" w:type="dxa"/>
            <w:vAlign w:val="bottom"/>
            <w:gridSpan w:val="18"/>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20-F</w:t>
            </w:r>
          </w:p>
        </w:tc>
        <w:tc>
          <w:tcPr>
            <w:tcW w:w="940" w:type="dxa"/>
            <w:vAlign w:val="bottom"/>
          </w:tcPr>
          <w:p>
            <w:pPr>
              <w:ind w:left="4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4/21/23</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 4.2</w:t>
            </w:r>
          </w:p>
        </w:tc>
        <w:tc>
          <w:tcPr>
            <w:tcW w:w="360" w:type="dxa"/>
            <w:vAlign w:val="bottom"/>
          </w:tcPr>
          <w:p>
            <w:pPr>
              <w:spacing w:after="0"/>
              <w:rPr>
                <w:sz w:val="24"/>
                <w:szCs w:val="24"/>
                <w:color w:val="auto"/>
              </w:rPr>
            </w:pPr>
          </w:p>
        </w:tc>
        <w:tc>
          <w:tcPr>
            <w:tcW w:w="7380" w:type="dxa"/>
            <w:vAlign w:val="bottom"/>
            <w:gridSpan w:val="22"/>
          </w:tcPr>
          <w:p>
            <w:pPr>
              <w:spacing w:after="0"/>
              <w:rPr>
                <w:rFonts w:ascii="Arial" w:cs="Arial" w:eastAsia="Arial" w:hAnsi="Arial"/>
                <w:sz w:val="18"/>
                <w:szCs w:val="18"/>
                <w:color w:val="0000EE"/>
                <w:w w:val="99"/>
              </w:rPr>
            </w:pPr>
            <w:hyperlink r:id="rId133">
              <w:r>
                <w:rPr>
                  <w:rFonts w:ascii="Arial" w:cs="Arial" w:eastAsia="Arial" w:hAnsi="Arial"/>
                  <w:sz w:val="18"/>
                  <w:szCs w:val="18"/>
                  <w:color w:val="0000EE"/>
                  <w:w w:val="99"/>
                </w:rPr>
                <w:t xml:space="preserve">ADS Deposit Agreement – Class A ADSs </w:t>
              </w:r>
            </w:hyperlink>
            <w:r>
              <w:rPr>
                <w:rFonts w:ascii="Arial" w:cs="Arial" w:eastAsia="Arial" w:hAnsi="Arial"/>
                <w:sz w:val="18"/>
                <w:szCs w:val="18"/>
                <w:color w:val="000000"/>
                <w:w w:val="99"/>
              </w:rPr>
              <w:t>and</w:t>
            </w:r>
            <w:r>
              <w:rPr>
                <w:rFonts w:ascii="Arial" w:cs="Arial" w:eastAsia="Arial" w:hAnsi="Arial"/>
                <w:sz w:val="18"/>
                <w:szCs w:val="18"/>
                <w:color w:val="0000EE"/>
                <w:w w:val="99"/>
              </w:rPr>
              <w:t xml:space="preserve"> </w:t>
            </w:r>
            <w:hyperlink r:id="rId134">
              <w:r>
                <w:rPr>
                  <w:rFonts w:ascii="Arial" w:cs="Arial" w:eastAsia="Arial" w:hAnsi="Arial"/>
                  <w:sz w:val="18"/>
                  <w:szCs w:val="18"/>
                  <w:color w:val="0000EE"/>
                  <w:w w:val="99"/>
                </w:rPr>
                <w:t>Form of Class A American Depositary Receipt</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20-F</w:t>
            </w:r>
          </w:p>
        </w:tc>
        <w:tc>
          <w:tcPr>
            <w:tcW w:w="1200" w:type="dxa"/>
            <w:vAlign w:val="bottom"/>
            <w:gridSpan w:val="2"/>
          </w:tcPr>
          <w:p>
            <w:pPr>
              <w:ind w:left="40"/>
              <w:spacing w:after="0"/>
              <w:rPr>
                <w:sz w:val="20"/>
                <w:szCs w:val="20"/>
                <w:color w:val="auto"/>
              </w:rPr>
            </w:pPr>
            <w:r>
              <w:rPr>
                <w:rFonts w:ascii="Arial" w:cs="Arial" w:eastAsia="Arial" w:hAnsi="Arial"/>
                <w:sz w:val="18"/>
                <w:szCs w:val="18"/>
                <w:color w:val="auto"/>
              </w:rPr>
              <w:t>2.1 and 2.2</w:t>
            </w:r>
          </w:p>
        </w:tc>
        <w:tc>
          <w:tcPr>
            <w:tcW w:w="680" w:type="dxa"/>
            <w:vAlign w:val="bottom"/>
          </w:tcPr>
          <w:p>
            <w:pPr>
              <w:jc w:val="right"/>
              <w:spacing w:after="0"/>
              <w:rPr>
                <w:sz w:val="20"/>
                <w:szCs w:val="20"/>
                <w:color w:val="auto"/>
              </w:rPr>
            </w:pPr>
            <w:r>
              <w:rPr>
                <w:rFonts w:ascii="Arial" w:cs="Arial" w:eastAsia="Arial" w:hAnsi="Arial"/>
                <w:sz w:val="18"/>
                <w:szCs w:val="18"/>
                <w:color w:val="auto"/>
              </w:rPr>
              <w:t>4/21/23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 4.3</w:t>
            </w:r>
          </w:p>
        </w:tc>
        <w:tc>
          <w:tcPr>
            <w:tcW w:w="360" w:type="dxa"/>
            <w:vAlign w:val="bottom"/>
          </w:tcPr>
          <w:p>
            <w:pPr>
              <w:spacing w:after="0"/>
              <w:rPr>
                <w:sz w:val="24"/>
                <w:szCs w:val="24"/>
                <w:color w:val="auto"/>
              </w:rPr>
            </w:pPr>
          </w:p>
        </w:tc>
        <w:tc>
          <w:tcPr>
            <w:tcW w:w="7380" w:type="dxa"/>
            <w:vAlign w:val="bottom"/>
            <w:gridSpan w:val="22"/>
          </w:tcPr>
          <w:p>
            <w:pPr>
              <w:spacing w:after="0"/>
              <w:rPr>
                <w:rFonts w:ascii="Arial" w:cs="Arial" w:eastAsia="Arial" w:hAnsi="Arial"/>
                <w:sz w:val="18"/>
                <w:szCs w:val="18"/>
                <w:color w:val="0000EE"/>
              </w:rPr>
            </w:pPr>
            <w:hyperlink r:id="rId135">
              <w:r>
                <w:rPr>
                  <w:rFonts w:ascii="Arial" w:cs="Arial" w:eastAsia="Arial" w:hAnsi="Arial"/>
                  <w:sz w:val="18"/>
                  <w:szCs w:val="18"/>
                  <w:color w:val="0000EE"/>
                </w:rPr>
                <w:t xml:space="preserve">ADS Deposit Agreement – Class C-1 ADSs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136">
              <w:r>
                <w:rPr>
                  <w:rFonts w:ascii="Arial" w:cs="Arial" w:eastAsia="Arial" w:hAnsi="Arial"/>
                  <w:sz w:val="18"/>
                  <w:szCs w:val="18"/>
                  <w:color w:val="0000EE"/>
                </w:rPr>
                <w:t>Form of Class C-1 Depositary Receipt</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20-F</w:t>
            </w:r>
          </w:p>
        </w:tc>
        <w:tc>
          <w:tcPr>
            <w:tcW w:w="1200" w:type="dxa"/>
            <w:vAlign w:val="bottom"/>
            <w:gridSpan w:val="2"/>
          </w:tcPr>
          <w:p>
            <w:pPr>
              <w:ind w:left="40"/>
              <w:spacing w:after="0"/>
              <w:rPr>
                <w:sz w:val="20"/>
                <w:szCs w:val="20"/>
                <w:color w:val="auto"/>
              </w:rPr>
            </w:pPr>
            <w:r>
              <w:rPr>
                <w:rFonts w:ascii="Arial" w:cs="Arial" w:eastAsia="Arial" w:hAnsi="Arial"/>
                <w:sz w:val="18"/>
                <w:szCs w:val="18"/>
                <w:color w:val="auto"/>
              </w:rPr>
              <w:t>2.3 and 2.4</w:t>
            </w:r>
          </w:p>
        </w:tc>
        <w:tc>
          <w:tcPr>
            <w:tcW w:w="680" w:type="dxa"/>
            <w:vAlign w:val="bottom"/>
          </w:tcPr>
          <w:p>
            <w:pPr>
              <w:jc w:val="right"/>
              <w:spacing w:after="0"/>
              <w:rPr>
                <w:sz w:val="20"/>
                <w:szCs w:val="20"/>
                <w:color w:val="auto"/>
              </w:rPr>
            </w:pPr>
            <w:r>
              <w:rPr>
                <w:rFonts w:ascii="Arial" w:cs="Arial" w:eastAsia="Arial" w:hAnsi="Arial"/>
                <w:sz w:val="18"/>
                <w:szCs w:val="18"/>
                <w:color w:val="auto"/>
              </w:rPr>
              <w:t>4/21/23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0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 4.4*</w:t>
            </w:r>
          </w:p>
        </w:tc>
        <w:tc>
          <w:tcPr>
            <w:tcW w:w="360" w:type="dxa"/>
            <w:vAlign w:val="bottom"/>
          </w:tcPr>
          <w:p>
            <w:pPr>
              <w:spacing w:after="0"/>
              <w:rPr>
                <w:sz w:val="24"/>
                <w:szCs w:val="24"/>
                <w:color w:val="auto"/>
              </w:rPr>
            </w:pPr>
          </w:p>
        </w:tc>
        <w:tc>
          <w:tcPr>
            <w:tcW w:w="7380" w:type="dxa"/>
            <w:vAlign w:val="bottom"/>
            <w:gridSpan w:val="22"/>
          </w:tcPr>
          <w:p>
            <w:pPr>
              <w:spacing w:after="0"/>
              <w:rPr>
                <w:sz w:val="20"/>
                <w:szCs w:val="20"/>
                <w:color w:val="auto"/>
              </w:rPr>
            </w:pPr>
            <w:r>
              <w:rPr>
                <w:rFonts w:ascii="Arial" w:cs="Arial" w:eastAsia="Arial" w:hAnsi="Arial"/>
                <w:sz w:val="18"/>
                <w:szCs w:val="18"/>
                <w:color w:val="auto"/>
              </w:rPr>
              <w:t>Form of Warrant Agreement (including Warrant Certificate).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 4.5*</w:t>
            </w:r>
          </w:p>
        </w:tc>
        <w:tc>
          <w:tcPr>
            <w:tcW w:w="360" w:type="dxa"/>
            <w:vAlign w:val="bottom"/>
          </w:tcPr>
          <w:p>
            <w:pPr>
              <w:spacing w:after="0"/>
              <w:rPr>
                <w:sz w:val="24"/>
                <w:szCs w:val="24"/>
                <w:color w:val="auto"/>
              </w:rPr>
            </w:pPr>
          </w:p>
        </w:tc>
        <w:tc>
          <w:tcPr>
            <w:tcW w:w="7380" w:type="dxa"/>
            <w:vAlign w:val="bottom"/>
            <w:gridSpan w:val="22"/>
          </w:tcPr>
          <w:p>
            <w:pPr>
              <w:spacing w:after="0"/>
              <w:rPr>
                <w:sz w:val="20"/>
                <w:szCs w:val="20"/>
                <w:color w:val="auto"/>
              </w:rPr>
            </w:pPr>
            <w:r>
              <w:rPr>
                <w:rFonts w:ascii="Arial" w:cs="Arial" w:eastAsia="Arial" w:hAnsi="Arial"/>
                <w:sz w:val="18"/>
                <w:szCs w:val="18"/>
                <w:color w:val="auto"/>
              </w:rPr>
              <w:t>Form of Unit Agreement.</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 5.1</w:t>
            </w:r>
          </w:p>
        </w:tc>
        <w:tc>
          <w:tcPr>
            <w:tcW w:w="360" w:type="dxa"/>
            <w:vAlign w:val="bottom"/>
          </w:tcPr>
          <w:p>
            <w:pPr>
              <w:spacing w:after="0"/>
              <w:rPr>
                <w:sz w:val="24"/>
                <w:szCs w:val="24"/>
                <w:color w:val="auto"/>
              </w:rPr>
            </w:pPr>
          </w:p>
        </w:tc>
        <w:tc>
          <w:tcPr>
            <w:tcW w:w="7380" w:type="dxa"/>
            <w:vAlign w:val="bottom"/>
            <w:gridSpan w:val="22"/>
          </w:tcPr>
          <w:p>
            <w:pPr>
              <w:spacing w:after="0"/>
              <w:rPr>
                <w:sz w:val="20"/>
                <w:szCs w:val="20"/>
                <w:color w:val="auto"/>
              </w:rPr>
            </w:pPr>
            <w:r>
              <w:rPr>
                <w:rFonts w:ascii="Arial" w:cs="Arial" w:eastAsia="Arial" w:hAnsi="Arial"/>
                <w:sz w:val="18"/>
                <w:szCs w:val="18"/>
                <w:color w:val="0000EE"/>
              </w:rPr>
              <w:t>Opinion of Alston &amp; Bird (City) LLP.</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27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Consent of Deloitte AB.</w:t>
            </w:r>
          </w:p>
        </w:tc>
        <w:tc>
          <w:tcPr>
            <w:tcW w:w="4660" w:type="dxa"/>
            <w:vAlign w:val="bottom"/>
            <w:gridSpan w:val="16"/>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2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45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4"/>
              </w:rPr>
              <w:t>Consent of Alston &amp; Bird (City) LLP (included in Exhibit 5.1).</w:t>
            </w:r>
          </w:p>
        </w:tc>
        <w:tc>
          <w:tcPr>
            <w:tcW w:w="2820" w:type="dxa"/>
            <w:vAlign w:val="bottom"/>
            <w:gridSpan w:val="11"/>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4"/>
                <w:szCs w:val="24"/>
                <w:color w:val="auto"/>
              </w:rPr>
            </w:pPr>
          </w:p>
        </w:tc>
        <w:tc>
          <w:tcPr>
            <w:tcW w:w="35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Powers of Attorney (included on signature page).</w:t>
            </w:r>
          </w:p>
        </w:tc>
        <w:tc>
          <w:tcPr>
            <w:tcW w:w="3820" w:type="dxa"/>
            <w:vAlign w:val="bottom"/>
            <w:gridSpan w:val="12"/>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940" w:hanging="824"/>
        <w:spacing w:after="0"/>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252" w:lineRule="exact"/>
        <w:rPr>
          <w:sz w:val="20"/>
          <w:szCs w:val="20"/>
          <w:color w:val="auto"/>
        </w:rPr>
      </w:pPr>
    </w:p>
    <w:p>
      <w:pPr>
        <w:ind w:left="340" w:right="680" w:hanging="224"/>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be filed, if necessary, as an exhibit to a post-effective amendment to this registration statement or as an exhibit to a report filed under the Securities Exchange Act of 1934, as amended, and incorporated herein by reference.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60"/>
          </w:cols>
          <w:pgMar w:left="320" w:top="459" w:right="51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the City of Gothenburg, Sweden, on October 10, 2023.</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POLOESTAR AUTOMOTIVE HOLDING UK PLC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151765</wp:posOffset>
            </wp:positionV>
            <wp:extent cx="2562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Thomas Ingenlath</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780"/>
          </w:cols>
          <w:pgMar w:left="320" w:top="459" w:right="79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KNOW ALL PERSONS BY THESE PRESENTS, that each person whose signature appears below severally constitutes and appoints each of Thomas Ingenlath or Johan Malmqvist (with full power to each of them to act alone), his or her true and lawful attorney-in-fact and agents, with full power of substitution and re-substitution, for him or her and in his or her name, place and stead, in any and all capacities to do any and all things and execute any and all instruments that such attorney may deem necessary or advisable under the Securities Act, and any rules, regulations and requirements of the SEC in connection with the registration under the Securities Act of the securities and any blue sky laws or other securities laws of any of the states of the United States of America in order to effect the registration or qualification (or exemption therefrom) of the said securities for issue, offer, sale or trade under the blue sky laws or other securities laws of any of such states and in connection therewith to execute, acknowledge, verify, deliver, file and cause to be published applications, reports, consents to service of process, appointments of attorneys to receive service of process and other papers and instruments which may be required under such laws, including specifically, but without limiting the generality of the foregoing, the power and authority to sign his or her name in his or her capacity as an attorney-in-fact or in any other capacity with respect to this Registration Statement and any registration statement in respect of the securities that is to be effective upon filing pursuant to Rule 462(b) and/or such other form or forms as may be appropriate to be filed with the SEC or under or in connection with any blue sky laws or other securities laws of any state of the United States of America or with such other regulatory bodies and agencies as any of them may deem appropriate in respect of the securities, and with respect to any and all amendments, including post-effective amendments, to this Registration Statement and to any and all instruments and documents filed as part of or in connection with this Registration Statement.</w:t>
      </w:r>
    </w:p>
    <w:p>
      <w:pPr>
        <w:spacing w:after="0" w:line="16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Title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09"/>
        </w:trPr>
        <w:tc>
          <w:tcPr>
            <w:tcW w:w="4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/s/ Thomas Ingenlath</w:t>
            </w:r>
          </w:p>
        </w:tc>
        <w:tc>
          <w:tcPr>
            <w:tcW w:w="120" w:type="dxa"/>
            <w:vAlign w:val="bottom"/>
          </w:tcPr>
          <w:p>
            <w:pPr>
              <w:spacing w:after="0"/>
              <w:rPr>
                <w:sz w:val="18"/>
                <w:szCs w:val="18"/>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Chief Executive Officer &amp; Director</w:t>
            </w:r>
          </w:p>
        </w:tc>
        <w:tc>
          <w:tcPr>
            <w:tcW w:w="200" w:type="dxa"/>
            <w:vAlign w:val="bottom"/>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Thomas Ingenlath</w:t>
            </w:r>
          </w:p>
        </w:tc>
        <w:tc>
          <w:tcPr>
            <w:tcW w:w="120" w:type="dxa"/>
            <w:vAlign w:val="bottom"/>
          </w:tcPr>
          <w:p>
            <w:pPr>
              <w:spacing w:after="0"/>
              <w:rPr>
                <w:sz w:val="19"/>
                <w:szCs w:val="19"/>
                <w:color w:val="auto"/>
              </w:rPr>
            </w:pPr>
          </w:p>
        </w:tc>
        <w:tc>
          <w:tcPr>
            <w:tcW w:w="40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(Principal Executive Officer)</w:t>
            </w: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Johan Malmqvist</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5"/>
              </w:rPr>
              <w:t>Chief Financial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182"/>
        </w:trPr>
        <w:tc>
          <w:tcPr>
            <w:tcW w:w="4960" w:type="dxa"/>
            <w:vAlign w:val="bottom"/>
          </w:tcPr>
          <w:p>
            <w:pPr>
              <w:jc w:val="center"/>
              <w:spacing w:after="0" w:line="182" w:lineRule="exact"/>
              <w:rPr>
                <w:sz w:val="20"/>
                <w:szCs w:val="20"/>
                <w:color w:val="auto"/>
              </w:rPr>
            </w:pPr>
            <w:r>
              <w:rPr>
                <w:rFonts w:ascii="Arial" w:cs="Arial" w:eastAsia="Arial" w:hAnsi="Arial"/>
                <w:sz w:val="18"/>
                <w:szCs w:val="18"/>
                <w:color w:val="auto"/>
                <w:w w:val="91"/>
              </w:rPr>
              <w:t>Johan Malmqvist</w:t>
            </w:r>
          </w:p>
        </w:tc>
        <w:tc>
          <w:tcPr>
            <w:tcW w:w="120" w:type="dxa"/>
            <w:vAlign w:val="bottom"/>
          </w:tcPr>
          <w:p>
            <w:pPr>
              <w:spacing w:after="0"/>
              <w:rPr>
                <w:sz w:val="15"/>
                <w:szCs w:val="15"/>
                <w:color w:val="auto"/>
              </w:rPr>
            </w:pPr>
          </w:p>
        </w:tc>
        <w:tc>
          <w:tcPr>
            <w:tcW w:w="4060" w:type="dxa"/>
            <w:vAlign w:val="bottom"/>
            <w:gridSpan w:val="2"/>
          </w:tcPr>
          <w:p>
            <w:pPr>
              <w:jc w:val="center"/>
              <w:ind w:right="20"/>
              <w:spacing w:after="0" w:line="182" w:lineRule="exact"/>
              <w:rPr>
                <w:sz w:val="20"/>
                <w:szCs w:val="20"/>
                <w:color w:val="auto"/>
              </w:rPr>
            </w:pPr>
            <w:r>
              <w:rPr>
                <w:rFonts w:ascii="Arial" w:cs="Arial" w:eastAsia="Arial" w:hAnsi="Arial"/>
                <w:sz w:val="18"/>
                <w:szCs w:val="18"/>
                <w:color w:val="auto"/>
                <w:w w:val="95"/>
              </w:rPr>
              <w:t>(Principal Financial Officer &amp; Principal</w:t>
            </w:r>
          </w:p>
        </w:tc>
        <w:tc>
          <w:tcPr>
            <w:tcW w:w="1880" w:type="dxa"/>
            <w:vAlign w:val="bottom"/>
          </w:tcPr>
          <w:p>
            <w:pPr>
              <w:spacing w:after="0"/>
              <w:rPr>
                <w:sz w:val="15"/>
                <w:szCs w:val="15"/>
                <w:color w:val="auto"/>
              </w:rPr>
            </w:pPr>
          </w:p>
        </w:tc>
      </w:tr>
      <w:tr>
        <w:trPr>
          <w:trHeight w:val="230"/>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Accounting Officer)</w:t>
            </w:r>
          </w:p>
        </w:tc>
        <w:tc>
          <w:tcPr>
            <w:tcW w:w="1880" w:type="dxa"/>
            <w:vAlign w:val="bottom"/>
          </w:tcPr>
          <w:p>
            <w:pPr>
              <w:spacing w:after="0"/>
              <w:rPr>
                <w:sz w:val="20"/>
                <w:szCs w:val="20"/>
                <w:color w:val="auto"/>
              </w:rPr>
            </w:pPr>
          </w:p>
        </w:tc>
      </w:tr>
      <w:tr>
        <w:trPr>
          <w:trHeight w:val="43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Håkan Samuelsson</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8"/>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87"/>
              </w:rPr>
              <w:t>Håkan Samuelsson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Carla De Geyseleer</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8"/>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88"/>
              </w:rPr>
              <w:t>Carla De Geyseleer</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Karen C. Francis</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8"/>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Karen C. Francis</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Donghui (Daniel) Li</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8"/>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6"/>
              </w:rPr>
              <w:t>Donghui (Daniel) Li</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Dr. Karl-Thomas Neumann</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8"/>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Dr. Karl-Thomas Neumann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Arial" w:cs="Arial" w:eastAsia="Arial" w:hAnsi="Arial"/>
                <w:sz w:val="18"/>
                <w:szCs w:val="18"/>
                <w:color w:val="auto"/>
              </w:rPr>
              <w:t>II-6</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Richter</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8"/>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2"/>
              </w:rPr>
              <w:t>David Richter</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James Rowan</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8"/>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87"/>
              </w:rPr>
              <w:t>James Rowan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Zhe (David) Wei</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8"/>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2"/>
              </w:rPr>
              <w:t>Zhe (David) Wei</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Arial" w:cs="Arial" w:eastAsia="Arial" w:hAnsi="Arial"/>
                <w:sz w:val="18"/>
                <w:szCs w:val="18"/>
                <w:color w:val="auto"/>
              </w:rPr>
              <w:t>II-7</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undersigned, the duly authorized representative of Polestar Automotive Holding UK PLC in the United States, has signed this registration statement, on October 10, 2023.</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Automotive USA Inc.,</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Authorized Representative in the United States</w:t>
      </w:r>
    </w:p>
    <w:p>
      <w:pPr>
        <w:spacing w:after="0" w:line="24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Michael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Michael Whittington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340"/>
          </w:cols>
          <w:pgMar w:left="320" w:top="459" w:right="1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171450</wp:posOffset>
            </wp:positionV>
            <wp:extent cx="1825625" cy="2489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182562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LDN:W, 3 Noble Street</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London EC2V 7EE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Tel: +44 (0)20 8161-4000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Polestar Automotive Holding UK PLC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Pavilions, Bridgwater Road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Bristol, United Kingdom BS13 8AE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10 October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Polestar Automotive Holding UK PLC Registration Statement on Form F-3</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have acted as English legal advisers to Polestar Automotive Holding UK PLC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preparation and filing on</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date hereof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of a registration statement on Form F-3 (the “</w:t>
      </w:r>
      <w:r>
        <w:rPr>
          <w:rFonts w:ascii="Arial" w:cs="Arial" w:eastAsia="Arial" w:hAnsi="Arial"/>
          <w:sz w:val="18"/>
          <w:szCs w:val="18"/>
          <w:b w:val="1"/>
          <w:bCs w:val="1"/>
          <w:color w:val="auto"/>
        </w:rPr>
        <w:t>Registration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Statement</w:t>
      </w:r>
      <w:r>
        <w:rPr>
          <w:rFonts w:ascii="Arial" w:cs="Arial" w:eastAsia="Arial" w:hAnsi="Arial"/>
          <w:sz w:val="16"/>
          <w:szCs w:val="16"/>
          <w:color w:val="auto"/>
        </w:rPr>
        <w:t>”), including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which provides that it will be supplemented by one or more prospectus supplements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(each such prospectus supplement, together with the Base Prospectus, a “</w:t>
      </w:r>
      <w:r>
        <w:rPr>
          <w:rFonts w:ascii="Arial" w:cs="Arial" w:eastAsia="Arial" w:hAnsi="Arial"/>
          <w:sz w:val="16"/>
          <w:szCs w:val="16"/>
          <w:b w:val="1"/>
          <w:bCs w:val="1"/>
          <w:color w:val="auto"/>
        </w:rPr>
        <w:t>Prospectus</w:t>
      </w:r>
      <w:r>
        <w:rPr>
          <w:rFonts w:ascii="Arial" w:cs="Arial" w:eastAsia="Arial" w:hAnsi="Arial"/>
          <w:sz w:val="16"/>
          <w:szCs w:val="16"/>
          <w:color w:val="auto"/>
        </w:rPr>
        <w:t>”), pursuant to the U.S. Securities Act of 1933, as amended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We have taken instructions solely from the Company.</w:t>
      </w:r>
    </w:p>
    <w:p>
      <w:pPr>
        <w:spacing w:after="0" w:line="211" w:lineRule="exact"/>
        <w:rPr>
          <w:sz w:val="20"/>
          <w:szCs w:val="20"/>
          <w:color w:val="auto"/>
        </w:rPr>
      </w:pPr>
    </w:p>
    <w:p>
      <w:pPr>
        <w:ind w:left="4" w:right="40"/>
        <w:spacing w:after="0" w:line="272" w:lineRule="auto"/>
        <w:rPr>
          <w:sz w:val="20"/>
          <w:szCs w:val="20"/>
          <w:color w:val="auto"/>
        </w:rPr>
      </w:pPr>
      <w:r>
        <w:rPr>
          <w:rFonts w:ascii="Arial" w:cs="Arial" w:eastAsia="Arial" w:hAnsi="Arial"/>
          <w:sz w:val="17"/>
          <w:szCs w:val="17"/>
          <w:color w:val="auto"/>
        </w:rPr>
        <w:t>The Registration Statement relates to the registration for issue and sale by the Company of up to an aggregate of $1,000,000,000 in various securities of the Company, including (A) Class A ordinary shares of $0.01 each (the “</w:t>
      </w:r>
      <w:r>
        <w:rPr>
          <w:rFonts w:ascii="Arial" w:cs="Arial" w:eastAsia="Arial" w:hAnsi="Arial"/>
          <w:sz w:val="17"/>
          <w:szCs w:val="17"/>
          <w:b w:val="1"/>
          <w:bCs w:val="1"/>
          <w:color w:val="auto"/>
        </w:rPr>
        <w:t>Class A Shares</w:t>
      </w:r>
      <w:r>
        <w:rPr>
          <w:rFonts w:ascii="Arial" w:cs="Arial" w:eastAsia="Arial" w:hAnsi="Arial"/>
          <w:sz w:val="17"/>
          <w:szCs w:val="17"/>
          <w:color w:val="auto"/>
        </w:rPr>
        <w:t>”); (B) Class C-1 ordinary shares of $0.10 each (“</w:t>
      </w:r>
      <w:r>
        <w:rPr>
          <w:rFonts w:ascii="Arial" w:cs="Arial" w:eastAsia="Arial" w:hAnsi="Arial"/>
          <w:sz w:val="17"/>
          <w:szCs w:val="17"/>
          <w:b w:val="1"/>
          <w:bCs w:val="1"/>
          <w:color w:val="auto"/>
        </w:rPr>
        <w:t>Class C-1</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and together with the Class A Shares, the “</w:t>
      </w:r>
      <w:r>
        <w:rPr>
          <w:rFonts w:ascii="Arial" w:cs="Arial" w:eastAsia="Arial" w:hAnsi="Arial"/>
          <w:sz w:val="17"/>
          <w:szCs w:val="17"/>
          <w:b w:val="1"/>
          <w:bCs w:val="1"/>
          <w:color w:val="auto"/>
        </w:rPr>
        <w:t>Shares</w:t>
      </w:r>
      <w:r>
        <w:rPr>
          <w:rFonts w:ascii="Arial" w:cs="Arial" w:eastAsia="Arial" w:hAnsi="Arial"/>
          <w:sz w:val="17"/>
          <w:szCs w:val="17"/>
          <w:color w:val="auto"/>
        </w:rPr>
        <w:t>”); (C) Class A American Depositary Shares representing Class A Shares; (D) Class C-1</w:t>
      </w:r>
      <w:r>
        <w:rPr>
          <w:rFonts w:ascii="Arial" w:cs="Arial" w:eastAsia="Arial" w:hAnsi="Arial"/>
          <w:sz w:val="17"/>
          <w:szCs w:val="17"/>
          <w:b w:val="1"/>
          <w:bCs w:val="1"/>
          <w:color w:val="auto"/>
        </w:rPr>
        <w:t xml:space="preserve"> </w:t>
      </w:r>
      <w:r>
        <w:rPr>
          <w:rFonts w:ascii="Arial" w:cs="Arial" w:eastAsia="Arial" w:hAnsi="Arial"/>
          <w:sz w:val="17"/>
          <w:szCs w:val="17"/>
          <w:color w:val="auto"/>
        </w:rPr>
        <w:t>American Depositary Shares representing Class C-1 Shares; (E) shares or fractional shares of preferred stock (including shares convertible into or exchangeable for other securities) (the “</w:t>
      </w:r>
      <w:r>
        <w:rPr>
          <w:rFonts w:ascii="Arial" w:cs="Arial" w:eastAsia="Arial" w:hAnsi="Arial"/>
          <w:sz w:val="17"/>
          <w:szCs w:val="17"/>
          <w:b w:val="1"/>
          <w:bCs w:val="1"/>
          <w:color w:val="auto"/>
        </w:rPr>
        <w:t>Preferred Shares</w:t>
      </w:r>
      <w:r>
        <w:rPr>
          <w:rFonts w:ascii="Arial" w:cs="Arial" w:eastAsia="Arial" w:hAnsi="Arial"/>
          <w:sz w:val="17"/>
          <w:szCs w:val="17"/>
          <w:color w:val="auto"/>
        </w:rPr>
        <w:t>”); (F) warrants; (G) rights; (H) units; (I) such other securities or obligations as the Authorised Officers (as defined below) or any of them may determine from time to time are appropriate or desirable to include in the Registration Statement; and (J) a combination of any of the foregoing (collectively, the “</w:t>
      </w:r>
      <w:r>
        <w:rPr>
          <w:rFonts w:ascii="Arial" w:cs="Arial" w:eastAsia="Arial" w:hAnsi="Arial"/>
          <w:sz w:val="17"/>
          <w:szCs w:val="17"/>
          <w:b w:val="1"/>
          <w:bCs w:val="1"/>
          <w:color w:val="auto"/>
        </w:rPr>
        <w:t>Securities</w:t>
      </w:r>
      <w:r>
        <w:rPr>
          <w:rFonts w:ascii="Arial" w:cs="Arial" w:eastAsia="Arial" w:hAnsi="Arial"/>
          <w:sz w:val="17"/>
          <w:szCs w:val="17"/>
          <w:color w:val="auto"/>
        </w:rPr>
        <w:t>”).</w:t>
      </w:r>
    </w:p>
    <w:p>
      <w:pPr>
        <w:spacing w:after="0" w:line="322" w:lineRule="exact"/>
        <w:rPr>
          <w:sz w:val="20"/>
          <w:szCs w:val="20"/>
          <w:color w:val="auto"/>
        </w:rPr>
      </w:pPr>
    </w:p>
    <w:p>
      <w:pPr>
        <w:ind w:left="544" w:hanging="544"/>
        <w:spacing w:after="0"/>
        <w:tabs>
          <w:tab w:leader="none" w:pos="544"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AND SEARCHES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 the purposes of this opinion, we have examined:</w:t>
      </w:r>
    </w:p>
    <w:p>
      <w:pPr>
        <w:spacing w:after="0" w:line="131" w:lineRule="exact"/>
        <w:rPr>
          <w:sz w:val="20"/>
          <w:szCs w:val="20"/>
          <w:color w:val="auto"/>
        </w:rPr>
      </w:pPr>
    </w:p>
    <w:p>
      <w:pPr>
        <w:ind w:left="1184" w:hanging="644"/>
        <w:spacing w:after="0"/>
        <w:tabs>
          <w:tab w:leader="none" w:pos="118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Registration Statement (including the Base Prospectus) filed with the SEC on 10 October 2023;</w:t>
      </w:r>
    </w:p>
    <w:p>
      <w:pPr>
        <w:spacing w:after="0" w:line="153" w:lineRule="exact"/>
        <w:rPr>
          <w:sz w:val="20"/>
          <w:szCs w:val="20"/>
          <w:color w:val="auto"/>
        </w:rPr>
      </w:pPr>
    </w:p>
    <w:p>
      <w:pPr>
        <w:ind w:left="4" w:right="200"/>
        <w:spacing w:after="0" w:line="233" w:lineRule="auto"/>
        <w:rPr>
          <w:sz w:val="20"/>
          <w:szCs w:val="20"/>
          <w:color w:val="auto"/>
        </w:rPr>
      </w:pPr>
      <w:r>
        <w:rPr>
          <w:rFonts w:ascii="Arial" w:cs="Arial" w:eastAsia="Arial" w:hAnsi="Arial"/>
          <w:sz w:val="14"/>
          <w:szCs w:val="14"/>
          <w:color w:val="auto"/>
        </w:rPr>
        <w:t>Alston &amp; Bird (City) LLP (“Alston &amp; Bird UK”) is a limited liability partnership registered in the U.S., but which practices in the UK from LDN:W, 3 Noble Street, London EC2V 7EE (“firm’s office”). A list of Alston &amp; Bird UK’s members is available for inspection at the firm’s office. Alston &amp; Bird UK is authorised and regulated by the Solicitors Regulation Authority with registered number 658074. Alston &amp; Bird UK is connected with its affiliate in the U.S., Alston &amp; Bird LLP, although they are two separate legal entities. The word “partner” denotes a member of Alston &amp; Bird UK or an employee or consultant with equivalent standing and qualifications.</w:t>
      </w:r>
    </w:p>
    <w:p>
      <w:pPr>
        <w:spacing w:after="0" w:line="225" w:lineRule="exact"/>
        <w:rPr>
          <w:sz w:val="20"/>
          <w:szCs w:val="20"/>
          <w:color w:val="auto"/>
        </w:rPr>
      </w:pPr>
    </w:p>
    <w:p>
      <w:pPr>
        <w:ind w:left="4"/>
        <w:spacing w:after="0"/>
        <w:tabs>
          <w:tab w:leader="none" w:pos="10024" w:val="left"/>
        </w:tabs>
        <w:rPr>
          <w:sz w:val="20"/>
          <w:szCs w:val="20"/>
          <w:color w:val="auto"/>
        </w:rPr>
      </w:pPr>
      <w:r>
        <w:rPr>
          <w:rFonts w:ascii="Arial" w:cs="Arial" w:eastAsia="Arial" w:hAnsi="Arial"/>
          <w:sz w:val="14"/>
          <w:szCs w:val="14"/>
          <w:color w:val="auto"/>
        </w:rPr>
        <w:t>Alston &amp; Bird LLP</w:t>
      </w:r>
      <w:r>
        <w:rPr>
          <w:sz w:val="20"/>
          <w:szCs w:val="20"/>
          <w:color w:val="auto"/>
        </w:rPr>
        <w:tab/>
      </w:r>
      <w:r>
        <w:rPr>
          <w:rFonts w:ascii="Arial" w:cs="Arial" w:eastAsia="Arial" w:hAnsi="Arial"/>
          <w:sz w:val="13"/>
          <w:szCs w:val="13"/>
          <w:color w:val="auto"/>
        </w:rPr>
        <w:t>www.alston.com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6995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Atlanta | Beijing | Brussels | Charlotte | Dallas | London | Los Angeles | New York | Raleigh | San Francisco | Silicon Valley | Washington, D.C.</w:t>
      </w:r>
    </w:p>
    <w:p>
      <w:pPr>
        <w:sectPr>
          <w:pgSz w:w="11900" w:h="16838" w:orient="portrait"/>
          <w:cols w:equalWidth="0" w:num="1">
            <w:col w:w="11024"/>
          </w:cols>
          <w:pgMar w:left="436" w:top="121" w:right="439" w:bottom="1440" w:gutter="0" w:footer="0" w:header="0"/>
        </w:sectPr>
      </w:pPr>
    </w:p>
    <w:bookmarkStart w:id="84" w:name="page85"/>
    <w:bookmarkEnd w:id="84"/>
    <w:p>
      <w:pPr>
        <w:ind w:left="1180" w:right="240" w:hanging="644"/>
        <w:spacing w:after="0" w:line="266"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the certificate of incorporation of the Company issued by the Registrar of Companies for England and Wales (“</w:t>
      </w:r>
      <w:r>
        <w:rPr>
          <w:rFonts w:ascii="Arial" w:cs="Arial" w:eastAsia="Arial" w:hAnsi="Arial"/>
          <w:sz w:val="18"/>
          <w:szCs w:val="18"/>
          <w:b w:val="1"/>
          <w:bCs w:val="1"/>
          <w:color w:val="auto"/>
        </w:rPr>
        <w:t>Companies</w:t>
      </w:r>
      <w:r>
        <w:rPr>
          <w:rFonts w:ascii="Arial" w:cs="Arial" w:eastAsia="Arial" w:hAnsi="Arial"/>
          <w:sz w:val="18"/>
          <w:szCs w:val="18"/>
          <w:color w:val="auto"/>
        </w:rPr>
        <w:t xml:space="preserve"> </w:t>
      </w:r>
      <w:r>
        <w:rPr>
          <w:rFonts w:ascii="Arial" w:cs="Arial" w:eastAsia="Arial" w:hAnsi="Arial"/>
          <w:sz w:val="18"/>
          <w:szCs w:val="18"/>
          <w:b w:val="1"/>
          <w:bCs w:val="1"/>
          <w:color w:val="auto"/>
        </w:rPr>
        <w:t>House</w:t>
      </w:r>
      <w:r>
        <w:rPr>
          <w:rFonts w:ascii="Arial" w:cs="Arial" w:eastAsia="Arial" w:hAnsi="Arial"/>
          <w:sz w:val="18"/>
          <w:szCs w:val="18"/>
          <w:color w:val="auto"/>
        </w:rPr>
        <w:t>”) on 15 September 2021 and a copy of the certificate of incorporation on re-registration of a private company as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the Company issued by Companies House on 5 May 2022;</w:t>
      </w:r>
    </w:p>
    <w:p>
      <w:pPr>
        <w:spacing w:after="0" w:line="81" w:lineRule="exact"/>
        <w:rPr>
          <w:rFonts w:ascii="Arial" w:cs="Arial" w:eastAsia="Arial" w:hAnsi="Arial"/>
          <w:sz w:val="18"/>
          <w:szCs w:val="18"/>
          <w:color w:val="auto"/>
        </w:rPr>
      </w:pPr>
    </w:p>
    <w:p>
      <w:pPr>
        <w:ind w:left="1180" w:hanging="644"/>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articles of association of the Company filed at Companies House on 5 May 2022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line="266"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copy of the unsigned and redacted minutes of a meeting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held on 27 September 2023 (i) approving the Registration Statement; and (ii) authorising the executive officers of the Company (each an “</w:t>
      </w:r>
      <w:r>
        <w:rPr>
          <w:rFonts w:ascii="Arial" w:cs="Arial" w:eastAsia="Arial" w:hAnsi="Arial"/>
          <w:sz w:val="18"/>
          <w:szCs w:val="18"/>
          <w:b w:val="1"/>
          <w:bCs w:val="1"/>
          <w:color w:val="auto"/>
        </w:rPr>
        <w:t>Authorised</w:t>
      </w:r>
      <w:r>
        <w:rPr>
          <w:rFonts w:ascii="Arial" w:cs="Arial" w:eastAsia="Arial" w:hAnsi="Arial"/>
          <w:sz w:val="18"/>
          <w:szCs w:val="18"/>
          <w:color w:val="auto"/>
        </w:rPr>
        <w:t xml:space="preserve"> </w:t>
      </w:r>
      <w:r>
        <w:rPr>
          <w:rFonts w:ascii="Arial" w:cs="Arial" w:eastAsia="Arial" w:hAnsi="Arial"/>
          <w:sz w:val="18"/>
          <w:szCs w:val="18"/>
          <w:b w:val="1"/>
          <w:bCs w:val="1"/>
          <w:color w:val="auto"/>
        </w:rPr>
        <w:t>Officer</w:t>
      </w:r>
      <w:r>
        <w:rPr>
          <w:rFonts w:ascii="Arial" w:cs="Arial" w:eastAsia="Arial" w:hAnsi="Arial"/>
          <w:sz w:val="18"/>
          <w:szCs w:val="18"/>
          <w:color w:val="auto"/>
        </w:rPr>
        <w:t>”) to cause the Registration Statement to be prepared, executed and filed with the SEC;</w:t>
      </w:r>
    </w:p>
    <w:p>
      <w:pPr>
        <w:spacing w:after="0" w:line="85" w:lineRule="exact"/>
        <w:rPr>
          <w:rFonts w:ascii="Arial" w:cs="Arial" w:eastAsia="Arial" w:hAnsi="Arial"/>
          <w:sz w:val="18"/>
          <w:szCs w:val="18"/>
          <w:color w:val="auto"/>
        </w:rPr>
      </w:pPr>
    </w:p>
    <w:p>
      <w:pPr>
        <w:ind w:left="1180" w:right="60" w:hanging="644"/>
        <w:spacing w:after="0" w:line="259"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 copy of the minutes of the general meeting of the Company held at 9:25am (UK time) on 23 June 2022 at which it was resolved,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alia</w:t>
      </w:r>
      <w:r>
        <w:rPr>
          <w:rFonts w:ascii="Arial" w:cs="Arial" w:eastAsia="Arial" w:hAnsi="Arial"/>
          <w:sz w:val="18"/>
          <w:szCs w:val="18"/>
          <w:color w:val="auto"/>
        </w:rPr>
        <w:t>, to authorise the directors to (i) allot up to a maximum amount of 5,000,000,000 Class A Shares and 16,000,000 Class C-1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(ii) allot equity securities pursuant to such authority as if the statutory pre-emption rights contained in section 561(1) of the Companies Act 2006 (the “</w:t>
      </w:r>
      <w:r>
        <w:rPr>
          <w:rFonts w:ascii="Arial" w:cs="Arial" w:eastAsia="Arial" w:hAnsi="Arial"/>
          <w:sz w:val="18"/>
          <w:szCs w:val="18"/>
          <w:b w:val="1"/>
          <w:bCs w:val="1"/>
          <w:color w:val="auto"/>
        </w:rPr>
        <w:t>Companies Act</w:t>
      </w:r>
      <w:r>
        <w:rPr>
          <w:rFonts w:ascii="Arial" w:cs="Arial" w:eastAsia="Arial" w:hAnsi="Arial"/>
          <w:sz w:val="18"/>
          <w:szCs w:val="18"/>
          <w:color w:val="auto"/>
        </w:rPr>
        <w:t>”) did not apply to such allotment; and</w:t>
      </w:r>
    </w:p>
    <w:p>
      <w:pPr>
        <w:spacing w:after="0" w:line="88" w:lineRule="exact"/>
        <w:rPr>
          <w:rFonts w:ascii="Arial" w:cs="Arial" w:eastAsia="Arial" w:hAnsi="Arial"/>
          <w:sz w:val="18"/>
          <w:szCs w:val="18"/>
          <w:color w:val="auto"/>
        </w:rPr>
      </w:pPr>
    </w:p>
    <w:p>
      <w:pPr>
        <w:ind w:left="1180" w:hanging="644"/>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copy of the officers’ certificate dated 9 October 2023 of the Company addressed to us (the “</w:t>
      </w:r>
      <w:r>
        <w:rPr>
          <w:rFonts w:ascii="Arial" w:cs="Arial" w:eastAsia="Arial" w:hAnsi="Arial"/>
          <w:sz w:val="18"/>
          <w:szCs w:val="18"/>
          <w:b w:val="1"/>
          <w:bCs w:val="1"/>
          <w:color w:val="auto"/>
        </w:rPr>
        <w:t>Certificate</w:t>
      </w:r>
      <w:r>
        <w:rPr>
          <w:rFonts w:ascii="Arial" w:cs="Arial" w:eastAsia="Arial" w:hAnsi="Arial"/>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documents at paragraphs 1.1(a) to (f) above being the “</w:t>
      </w:r>
      <w:r>
        <w:rPr>
          <w:rFonts w:ascii="Arial" w:cs="Arial" w:eastAsia="Arial" w:hAnsi="Arial"/>
          <w:sz w:val="18"/>
          <w:szCs w:val="18"/>
          <w:b w:val="1"/>
          <w:bCs w:val="1"/>
          <w:color w:val="auto"/>
        </w:rPr>
        <w:t>Documents</w:t>
      </w:r>
      <w:r>
        <w:rPr>
          <w:rFonts w:ascii="Arial" w:cs="Arial" w:eastAsia="Arial" w:hAnsi="Arial"/>
          <w:sz w:val="18"/>
          <w:szCs w:val="18"/>
          <w:color w:val="auto"/>
        </w:rPr>
        <w:t>”. We have not examined any other documents.</w:t>
      </w:r>
    </w:p>
    <w:p>
      <w:pPr>
        <w:spacing w:after="0" w:line="256"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Using the name of the Company as it appears in this opinion, the searches described in paragraphs 1.3 and 1.4 below have been undertaken. We have not carried out any other searches or enquiries.</w:t>
      </w:r>
    </w:p>
    <w:p>
      <w:pPr>
        <w:spacing w:after="0" w:line="197" w:lineRule="exact"/>
        <w:rPr>
          <w:sz w:val="20"/>
          <w:szCs w:val="20"/>
          <w:color w:val="auto"/>
        </w:rPr>
      </w:pPr>
    </w:p>
    <w:p>
      <w:pPr>
        <w:ind w:left="540" w:right="200" w:hanging="539"/>
        <w:spacing w:after="0" w:line="255" w:lineRule="auto"/>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At approximately 11:10 am (UK time) today we (by telephone or by using services provided by Legalinx Limited trading as GlobalX) made a search of the winding up register and the administration register of the Central Registry of Winding Up Petitions at the Companies Court in London (“</w:t>
      </w:r>
      <w:r>
        <w:rPr>
          <w:rFonts w:ascii="Arial" w:cs="Arial" w:eastAsia="Arial" w:hAnsi="Arial"/>
          <w:sz w:val="18"/>
          <w:szCs w:val="18"/>
          <w:b w:val="1"/>
          <w:bCs w:val="1"/>
          <w:color w:val="auto"/>
        </w:rPr>
        <w:t>Central Registry Search</w:t>
      </w:r>
      <w:r>
        <w:rPr>
          <w:rFonts w:ascii="Arial" w:cs="Arial" w:eastAsia="Arial" w:hAnsi="Arial"/>
          <w:sz w:val="18"/>
          <w:szCs w:val="18"/>
          <w:color w:val="auto"/>
        </w:rPr>
        <w:t>”). This search did not reveal that any winding-up petition had been presented or winding-up order made against the Company in England and Wales. Nor did the search reveal that a notice of intention to appoint an administrator, a notice of appointment of an administrator, an administration order or an application for the making of an administration order had been filed at the High Court of Justice in London in respect of the Company.</w:t>
      </w:r>
    </w:p>
    <w:p>
      <w:pPr>
        <w:spacing w:after="0" w:line="215"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At approximately 11:10 am (UK time) today, we carried out a search of the Company’s insolvency files at Companies House (the “</w:t>
      </w:r>
      <w:r>
        <w:rPr>
          <w:rFonts w:ascii="Arial" w:cs="Arial" w:eastAsia="Arial" w:hAnsi="Arial"/>
          <w:sz w:val="18"/>
          <w:szCs w:val="18"/>
          <w:b w:val="1"/>
          <w:bCs w:val="1"/>
          <w:color w:val="auto"/>
        </w:rPr>
        <w:t>Companies</w:t>
      </w:r>
      <w:r>
        <w:rPr>
          <w:rFonts w:ascii="Arial" w:cs="Arial" w:eastAsia="Arial" w:hAnsi="Arial"/>
          <w:sz w:val="18"/>
          <w:szCs w:val="18"/>
          <w:color w:val="auto"/>
        </w:rPr>
        <w:t xml:space="preserve"> </w:t>
      </w:r>
      <w:r>
        <w:rPr>
          <w:rFonts w:ascii="Arial" w:cs="Arial" w:eastAsia="Arial" w:hAnsi="Arial"/>
          <w:sz w:val="18"/>
          <w:szCs w:val="18"/>
          <w:b w:val="1"/>
          <w:bCs w:val="1"/>
          <w:color w:val="auto"/>
        </w:rPr>
        <w:t>Registry Search</w:t>
      </w:r>
      <w:r>
        <w:rPr>
          <w:rFonts w:ascii="Arial" w:cs="Arial" w:eastAsia="Arial" w:hAnsi="Arial"/>
          <w:sz w:val="18"/>
          <w:szCs w:val="18"/>
          <w:color w:val="auto"/>
        </w:rPr>
        <w:t>”). The Companies Registry Search did not reveal that any order or resolution for the winding-up of the Company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made, nor that any administration order has been made in respect of the Company, nor that any administrator, receiver, administrative receiver or liquidator has been appointed.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85" w:name="page86"/>
    <w:bookmarkEnd w:id="85"/>
    <w:p>
      <w:pPr>
        <w:ind w:left="544" w:hanging="544"/>
        <w:spacing w:after="0"/>
        <w:tabs>
          <w:tab w:leader="none" w:pos="54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SCOPE</w:t>
      </w:r>
    </w:p>
    <w:p>
      <w:pPr>
        <w:spacing w:after="0" w:line="134" w:lineRule="exact"/>
        <w:rPr>
          <w:rFonts w:ascii="Arial" w:cs="Arial" w:eastAsia="Arial" w:hAnsi="Arial"/>
          <w:sz w:val="18"/>
          <w:szCs w:val="18"/>
          <w:b w:val="1"/>
          <w:bCs w:val="1"/>
          <w:color w:val="auto"/>
        </w:rPr>
      </w:pPr>
    </w:p>
    <w:p>
      <w:pPr>
        <w:ind w:left="1184" w:right="260" w:hanging="644"/>
        <w:spacing w:after="0" w:line="259" w:lineRule="auto"/>
        <w:tabs>
          <w:tab w:leader="none" w:pos="118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opinion is confined to matters of English law as in force and as interpreted at the date of this opinion and is given solely in connection with the Registration Statement. We have no obligation or duty to (i) advise you of any changes in any such laws or interpretation which may arise and/or take place after the date of this opinion and/or (ii) update this opinion by reference to any such changes. We express no opinion on matters of fact.</w:t>
      </w:r>
    </w:p>
    <w:p>
      <w:pPr>
        <w:spacing w:after="0" w:line="92" w:lineRule="exact"/>
        <w:rPr>
          <w:rFonts w:ascii="Arial" w:cs="Arial" w:eastAsia="Arial" w:hAnsi="Arial"/>
          <w:sz w:val="18"/>
          <w:szCs w:val="18"/>
          <w:color w:val="auto"/>
        </w:rPr>
      </w:pPr>
    </w:p>
    <w:p>
      <w:pPr>
        <w:ind w:left="1184" w:hanging="644"/>
        <w:spacing w:after="0" w:line="342" w:lineRule="auto"/>
        <w:tabs>
          <w:tab w:leader="none" w:pos="1184" w:val="left"/>
        </w:tabs>
        <w:numPr>
          <w:ilvl w:val="1"/>
          <w:numId w:val="70"/>
        </w:numPr>
        <w:rPr>
          <w:rFonts w:ascii="Arial" w:cs="Arial" w:eastAsia="Arial" w:hAnsi="Arial"/>
          <w:sz w:val="16"/>
          <w:szCs w:val="16"/>
          <w:color w:val="auto"/>
        </w:rPr>
      </w:pPr>
      <w:r>
        <w:rPr>
          <w:rFonts w:ascii="Arial" w:cs="Arial" w:eastAsia="Arial" w:hAnsi="Arial"/>
          <w:sz w:val="16"/>
          <w:szCs w:val="16"/>
          <w:color w:val="auto"/>
        </w:rPr>
        <w:t>We are not qualified to, and we do not, express an opinion on the laws of any other jurisdiction and we have not investigated the laws of any other country other than England and Wales and we assume that no foreign law affects any of the opinions stated in paragraph 4.</w:t>
      </w:r>
    </w:p>
    <w:p>
      <w:pPr>
        <w:spacing w:after="0" w:line="29" w:lineRule="exact"/>
        <w:rPr>
          <w:rFonts w:ascii="Arial" w:cs="Arial" w:eastAsia="Arial" w:hAnsi="Arial"/>
          <w:sz w:val="16"/>
          <w:szCs w:val="16"/>
          <w:color w:val="auto"/>
        </w:rPr>
      </w:pPr>
    </w:p>
    <w:p>
      <w:pPr>
        <w:ind w:left="1184" w:hanging="644"/>
        <w:spacing w:after="0"/>
        <w:tabs>
          <w:tab w:leader="none" w:pos="1184"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opinion is expressed with respect to taxation in the United Kingdom or otherwise in this opinion.</w:t>
      </w:r>
    </w:p>
    <w:p>
      <w:pPr>
        <w:spacing w:after="0" w:line="130" w:lineRule="exact"/>
        <w:rPr>
          <w:rFonts w:ascii="Arial" w:cs="Arial" w:eastAsia="Arial" w:hAnsi="Arial"/>
          <w:sz w:val="18"/>
          <w:szCs w:val="18"/>
          <w:color w:val="auto"/>
        </w:rPr>
      </w:pPr>
    </w:p>
    <w:p>
      <w:pPr>
        <w:jc w:val="both"/>
        <w:ind w:left="1184" w:right="80" w:hanging="644"/>
        <w:spacing w:after="0" w:line="342" w:lineRule="auto"/>
        <w:tabs>
          <w:tab w:leader="none" w:pos="1184" w:val="left"/>
        </w:tabs>
        <w:numPr>
          <w:ilvl w:val="1"/>
          <w:numId w:val="70"/>
        </w:numPr>
        <w:rPr>
          <w:rFonts w:ascii="Arial" w:cs="Arial" w:eastAsia="Arial" w:hAnsi="Arial"/>
          <w:sz w:val="16"/>
          <w:szCs w:val="16"/>
          <w:color w:val="auto"/>
        </w:rPr>
      </w:pPr>
      <w:r>
        <w:rPr>
          <w:rFonts w:ascii="Arial" w:cs="Arial" w:eastAsia="Arial" w:hAnsi="Arial"/>
          <w:sz w:val="16"/>
          <w:szCs w:val="16"/>
          <w:color w:val="auto"/>
        </w:rPr>
        <w:t>We have not been responsible for investigating or verifying the accuracy of the facts or the reasonableness of any statement of opinion or intention, contained in or relevant to any document referred to in this opinion, or that no material facts have been omitted therefrom.</w:t>
      </w:r>
    </w:p>
    <w:p>
      <w:pPr>
        <w:spacing w:after="0" w:line="29" w:lineRule="exact"/>
        <w:rPr>
          <w:rFonts w:ascii="Arial" w:cs="Arial" w:eastAsia="Arial" w:hAnsi="Arial"/>
          <w:sz w:val="16"/>
          <w:szCs w:val="16"/>
          <w:color w:val="auto"/>
        </w:rPr>
      </w:pPr>
    </w:p>
    <w:p>
      <w:pPr>
        <w:ind w:left="1184" w:right="240" w:hanging="644"/>
        <w:spacing w:after="0" w:line="263" w:lineRule="auto"/>
        <w:tabs>
          <w:tab w:leader="none" w:pos="1184" w:val="left"/>
        </w:tabs>
        <w:numPr>
          <w:ilvl w:val="1"/>
          <w:numId w:val="70"/>
        </w:numPr>
        <w:rPr>
          <w:rFonts w:ascii="Arial" w:cs="Arial" w:eastAsia="Arial" w:hAnsi="Arial"/>
          <w:sz w:val="18"/>
          <w:szCs w:val="18"/>
          <w:color w:val="auto"/>
        </w:rPr>
      </w:pPr>
      <w:r>
        <w:rPr>
          <w:rFonts w:ascii="Arial" w:cs="Arial" w:eastAsia="Arial" w:hAnsi="Arial"/>
          <w:sz w:val="18"/>
          <w:szCs w:val="18"/>
          <w:color w:val="auto"/>
        </w:rPr>
        <w:t>We have not been responsible for investigation or verification of statements of fact (including statements as to foreign law) or the reasonableness of any statements of opinion in the Registration Statement and any relevant Prospectus, or that no material facts have been omitted therefrom.</w:t>
      </w:r>
    </w:p>
    <w:p>
      <w:pPr>
        <w:spacing w:after="0" w:line="89" w:lineRule="exact"/>
        <w:rPr>
          <w:rFonts w:ascii="Arial" w:cs="Arial" w:eastAsia="Arial" w:hAnsi="Arial"/>
          <w:sz w:val="18"/>
          <w:szCs w:val="18"/>
          <w:color w:val="auto"/>
        </w:rPr>
      </w:pPr>
    </w:p>
    <w:p>
      <w:pPr>
        <w:ind w:left="1184" w:right="60" w:hanging="644"/>
        <w:spacing w:after="0" w:line="277" w:lineRule="auto"/>
        <w:tabs>
          <w:tab w:leader="none" w:pos="118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opinion is given by Alston &amp; Bird (City) LLP and no partner or employee assumes any personal responsibility for it nor shall owe any duty of care in respect of it.</w:t>
      </w:r>
    </w:p>
    <w:p>
      <w:pPr>
        <w:spacing w:after="0" w:line="314" w:lineRule="exact"/>
        <w:rPr>
          <w:rFonts w:ascii="Arial" w:cs="Arial" w:eastAsia="Arial" w:hAnsi="Arial"/>
          <w:sz w:val="18"/>
          <w:szCs w:val="18"/>
          <w:color w:val="auto"/>
        </w:rPr>
      </w:pPr>
    </w:p>
    <w:p>
      <w:pPr>
        <w:ind w:left="544" w:hanging="544"/>
        <w:spacing w:after="0"/>
        <w:tabs>
          <w:tab w:leader="none" w:pos="54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In giving this opinion we have assumed without investigation or enquiry that:</w:t>
      </w:r>
    </w:p>
    <w:p>
      <w:pPr>
        <w:spacing w:after="0" w:line="130" w:lineRule="exact"/>
        <w:rPr>
          <w:rFonts w:ascii="Arial" w:cs="Arial" w:eastAsia="Arial" w:hAnsi="Arial"/>
          <w:sz w:val="18"/>
          <w:szCs w:val="18"/>
          <w:b w:val="1"/>
          <w:bCs w:val="1"/>
          <w:color w:val="auto"/>
        </w:rPr>
      </w:pPr>
    </w:p>
    <w:p>
      <w:pPr>
        <w:ind w:left="1184" w:hanging="644"/>
        <w:spacing w:after="0"/>
        <w:tabs>
          <w:tab w:leader="none" w:pos="1184" w:val="left"/>
        </w:tabs>
        <w:numPr>
          <w:ilvl w:val="1"/>
          <w:numId w:val="70"/>
        </w:numPr>
        <w:rPr>
          <w:rFonts w:ascii="Arial" w:cs="Arial" w:eastAsia="Arial" w:hAnsi="Arial"/>
          <w:sz w:val="18"/>
          <w:szCs w:val="18"/>
          <w:color w:val="auto"/>
        </w:rPr>
      </w:pPr>
      <w:r>
        <w:rPr>
          <w:rFonts w:ascii="Arial" w:cs="Arial" w:eastAsia="Arial" w:hAnsi="Arial"/>
          <w:sz w:val="18"/>
          <w:szCs w:val="18"/>
          <w:color w:val="auto"/>
        </w:rPr>
        <w:t>where any document or agreement is examined by us in draft form, it has been executed in the form of that draft;</w:t>
      </w:r>
    </w:p>
    <w:p>
      <w:pPr>
        <w:spacing w:after="0" w:line="130" w:lineRule="exact"/>
        <w:rPr>
          <w:rFonts w:ascii="Arial" w:cs="Arial" w:eastAsia="Arial" w:hAnsi="Arial"/>
          <w:sz w:val="18"/>
          <w:szCs w:val="18"/>
          <w:color w:val="auto"/>
        </w:rPr>
      </w:pPr>
    </w:p>
    <w:p>
      <w:pPr>
        <w:ind w:left="1184" w:right="120" w:hanging="644"/>
        <w:spacing w:after="0" w:line="277" w:lineRule="auto"/>
        <w:tabs>
          <w:tab w:leader="none" w:pos="1184" w:val="left"/>
        </w:tabs>
        <w:numPr>
          <w:ilvl w:val="1"/>
          <w:numId w:val="70"/>
        </w:numPr>
        <w:rPr>
          <w:rFonts w:ascii="Arial" w:cs="Arial" w:eastAsia="Arial" w:hAnsi="Arial"/>
          <w:sz w:val="18"/>
          <w:szCs w:val="18"/>
          <w:color w:val="auto"/>
        </w:rPr>
      </w:pPr>
      <w:r>
        <w:rPr>
          <w:rFonts w:ascii="Arial" w:cs="Arial" w:eastAsia="Arial" w:hAnsi="Arial"/>
          <w:sz w:val="18"/>
          <w:szCs w:val="18"/>
          <w:color w:val="auto"/>
        </w:rPr>
        <w:t>each of the individuals who signs as, or otherwise claims to be, an officer of the Company is the individual whom they claim to be and holds the office that they claim to hold;</w:t>
      </w:r>
    </w:p>
    <w:p>
      <w:pPr>
        <w:spacing w:after="0" w:line="75" w:lineRule="exact"/>
        <w:rPr>
          <w:rFonts w:ascii="Arial" w:cs="Arial" w:eastAsia="Arial" w:hAnsi="Arial"/>
          <w:sz w:val="18"/>
          <w:szCs w:val="18"/>
          <w:color w:val="auto"/>
        </w:rPr>
      </w:pPr>
    </w:p>
    <w:p>
      <w:pPr>
        <w:ind w:left="1184" w:right="180" w:hanging="644"/>
        <w:spacing w:after="0" w:line="277" w:lineRule="auto"/>
        <w:tabs>
          <w:tab w:leader="none" w:pos="1184" w:val="left"/>
        </w:tabs>
        <w:numPr>
          <w:ilvl w:val="1"/>
          <w:numId w:val="70"/>
        </w:numPr>
        <w:rPr>
          <w:rFonts w:ascii="Arial" w:cs="Arial" w:eastAsia="Arial" w:hAnsi="Arial"/>
          <w:sz w:val="18"/>
          <w:szCs w:val="18"/>
          <w:color w:val="auto"/>
        </w:rPr>
      </w:pPr>
      <w:r>
        <w:rPr>
          <w:rFonts w:ascii="Arial" w:cs="Arial" w:eastAsia="Arial" w:hAnsi="Arial"/>
          <w:sz w:val="18"/>
          <w:szCs w:val="18"/>
          <w:color w:val="auto"/>
        </w:rPr>
        <w:t>where a document is required to be delivered, each party to it has delivered the same without it being subject to any escrow or similar arrangement;</w:t>
      </w:r>
    </w:p>
    <w:p>
      <w:pPr>
        <w:spacing w:after="0" w:line="75" w:lineRule="exact"/>
        <w:rPr>
          <w:rFonts w:ascii="Arial" w:cs="Arial" w:eastAsia="Arial" w:hAnsi="Arial"/>
          <w:sz w:val="18"/>
          <w:szCs w:val="18"/>
          <w:color w:val="auto"/>
        </w:rPr>
      </w:pPr>
    </w:p>
    <w:p>
      <w:pPr>
        <w:ind w:left="1184" w:right="180" w:hanging="644"/>
        <w:spacing w:after="0" w:line="279" w:lineRule="auto"/>
        <w:tabs>
          <w:tab w:leader="none" w:pos="1184" w:val="left"/>
        </w:tabs>
        <w:numPr>
          <w:ilvl w:val="1"/>
          <w:numId w:val="70"/>
        </w:numPr>
        <w:rPr>
          <w:rFonts w:ascii="Arial" w:cs="Arial" w:eastAsia="Arial" w:hAnsi="Arial"/>
          <w:sz w:val="17"/>
          <w:szCs w:val="17"/>
          <w:color w:val="auto"/>
        </w:rPr>
      </w:pPr>
      <w:r>
        <w:rPr>
          <w:rFonts w:ascii="Arial" w:cs="Arial" w:eastAsia="Arial" w:hAnsi="Arial"/>
          <w:sz w:val="17"/>
          <w:szCs w:val="17"/>
          <w:color w:val="auto"/>
        </w:rPr>
        <w:t>where a person executing a Document has used the Docusign platform (or any other electronic signature platform) to execute such Document, the relevant individual signing has executed the relevant Document by application of that individual’s electronic signature within the Docusign platform (or other electronic signature platform) and that individual’s signature was applied using a method that identifies the individual who provided the signature and indicates that individual’s approval of the Document;</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86" w:name="page87"/>
    <w:bookmarkEnd w:id="86"/>
    <w:p>
      <w:pPr>
        <w:ind w:left="644" w:right="320" w:hanging="644"/>
        <w:spacing w:after="0" w:line="263"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documents submitted to us as originals or copies are authentic and complete, all signatures, stamps and seals are genuine, and all copies conform to the original documents, and a copy includes any fax copy, any portable document format copy and any other electronic or other copy;</w:t>
      </w:r>
    </w:p>
    <w:p>
      <w:pPr>
        <w:spacing w:after="0" w:line="89" w:lineRule="exact"/>
        <w:rPr>
          <w:rFonts w:ascii="Arial" w:cs="Arial" w:eastAsia="Arial" w:hAnsi="Arial"/>
          <w:sz w:val="18"/>
          <w:szCs w:val="18"/>
          <w:color w:val="auto"/>
        </w:rPr>
      </w:pPr>
    </w:p>
    <w:p>
      <w:pPr>
        <w:ind w:left="644" w:right="40" w:hanging="644"/>
        <w:spacing w:after="0" w:line="277"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documents, forms and notices which should have been delivered to Companies House in respect of the Company have been and will be so delivered;</w:t>
      </w:r>
    </w:p>
    <w:p>
      <w:pPr>
        <w:spacing w:after="0" w:line="75" w:lineRule="exact"/>
        <w:rPr>
          <w:rFonts w:ascii="Arial" w:cs="Arial" w:eastAsia="Arial" w:hAnsi="Arial"/>
          <w:sz w:val="18"/>
          <w:szCs w:val="18"/>
          <w:color w:val="auto"/>
        </w:rPr>
      </w:pPr>
    </w:p>
    <w:p>
      <w:pPr>
        <w:ind w:left="644" w:right="60" w:hanging="644"/>
        <w:spacing w:after="0" w:line="301" w:lineRule="auto"/>
        <w:tabs>
          <w:tab w:leader="none" w:pos="6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Companies Registry Search revealed all matters required by law to be notified to Companies House and the information revealed is complete and accurate as of the date of the Companies Registry Search and will be complete and accurate as at the date of the Registration Statement and as at each date on which the Company allots or issues Securities (each, a “</w:t>
      </w:r>
      <w:r>
        <w:rPr>
          <w:rFonts w:ascii="Arial" w:cs="Arial" w:eastAsia="Arial" w:hAnsi="Arial"/>
          <w:sz w:val="16"/>
          <w:szCs w:val="16"/>
          <w:b w:val="1"/>
          <w:bCs w:val="1"/>
          <w:color w:val="auto"/>
        </w:rPr>
        <w:t>Bring-Down Date</w:t>
      </w:r>
      <w:r>
        <w:rPr>
          <w:rFonts w:ascii="Arial" w:cs="Arial" w:eastAsia="Arial" w:hAnsi="Arial"/>
          <w:sz w:val="16"/>
          <w:szCs w:val="16"/>
          <w:color w:val="auto"/>
        </w:rPr>
        <w:t>”); and further searches would not have revealed additional or different matters that could have affected the opinions contained in this opinion;</w:t>
      </w:r>
    </w:p>
    <w:p>
      <w:pPr>
        <w:spacing w:after="0" w:line="62" w:lineRule="exact"/>
        <w:rPr>
          <w:rFonts w:ascii="Arial" w:cs="Arial" w:eastAsia="Arial" w:hAnsi="Arial"/>
          <w:sz w:val="16"/>
          <w:szCs w:val="16"/>
          <w:color w:val="auto"/>
        </w:rPr>
      </w:pPr>
    </w:p>
    <w:p>
      <w:pPr>
        <w:ind w:left="644" w:right="20" w:hanging="644"/>
        <w:spacing w:after="0" w:line="263"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revealed by the Central Registry Search is complete and accurate as of the date of such search and will be complete and accurate as at each Bring-Down Date and further searches would not have revealed additional or different matters that could have affected the opinions contained in this opinion;</w:t>
      </w:r>
    </w:p>
    <w:p>
      <w:pPr>
        <w:spacing w:after="0" w:line="89" w:lineRule="exact"/>
        <w:rPr>
          <w:rFonts w:ascii="Arial" w:cs="Arial" w:eastAsia="Arial" w:hAnsi="Arial"/>
          <w:sz w:val="18"/>
          <w:szCs w:val="18"/>
          <w:color w:val="auto"/>
        </w:rPr>
      </w:pPr>
    </w:p>
    <w:p>
      <w:pPr>
        <w:ind w:left="644" w:hanging="644"/>
        <w:spacing w:after="0" w:line="263"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contents of the Certificate and all certifications, facts, statements and confirmations contained therein were true when given and will remain true, complete and up to date as at each Bring-Down Date and there is no matter not referred to in the Certificate which would make any of the information in the Certificate incorrect or misleading;</w:t>
      </w:r>
    </w:p>
    <w:p>
      <w:pPr>
        <w:spacing w:after="0" w:line="89" w:lineRule="exact"/>
        <w:rPr>
          <w:rFonts w:ascii="Arial" w:cs="Arial" w:eastAsia="Arial" w:hAnsi="Arial"/>
          <w:sz w:val="18"/>
          <w:szCs w:val="18"/>
          <w:color w:val="auto"/>
        </w:rPr>
      </w:pPr>
    </w:p>
    <w:p>
      <w:pPr>
        <w:ind w:left="644" w:right="100" w:hanging="644"/>
        <w:spacing w:after="0" w:line="277"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Articles remain in full force and effect and no alteration has been made or will be made to the Articles as at the date of this opinion and as at each Bring-Down Date;</w:t>
      </w:r>
    </w:p>
    <w:p>
      <w:pPr>
        <w:spacing w:after="0" w:line="75" w:lineRule="exact"/>
        <w:rPr>
          <w:rFonts w:ascii="Arial" w:cs="Arial" w:eastAsia="Arial" w:hAnsi="Arial"/>
          <w:sz w:val="18"/>
          <w:szCs w:val="18"/>
          <w:color w:val="auto"/>
        </w:rPr>
      </w:pPr>
    </w:p>
    <w:p>
      <w:pPr>
        <w:ind w:left="644" w:right="80" w:hanging="644"/>
        <w:spacing w:after="0" w:line="259"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Securities Act and such effectiveness shall not have been terminated or rescinded prior to each Bring-Down Date, and the Prospectus has been filed with the SEC and an appropriate prospectus supplement with respect to the Securities has been prepared, delivered and filed in compliance with the Securities Act and the rules and regulations thereunder prior to any issue of Securities;</w:t>
      </w:r>
    </w:p>
    <w:p>
      <w:pPr>
        <w:spacing w:after="0" w:line="92" w:lineRule="exact"/>
        <w:rPr>
          <w:rFonts w:ascii="Arial" w:cs="Arial" w:eastAsia="Arial" w:hAnsi="Arial"/>
          <w:sz w:val="18"/>
          <w:szCs w:val="18"/>
          <w:color w:val="auto"/>
        </w:rPr>
      </w:pPr>
    </w:p>
    <w:p>
      <w:pPr>
        <w:ind w:left="644" w:hanging="644"/>
        <w:spacing w:after="0" w:line="273" w:lineRule="auto"/>
        <w:tabs>
          <w:tab w:leader="none" w:pos="64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the extent that the obligations of the Company under any purchase, underwriting or similar agreement pursuant to which Securities will be sold or issued or any other document to be entered into in connection with any offering of Securities pursuant to the Registration Statement and any relevant Prospectus (each a “</w:t>
      </w:r>
      <w:r>
        <w:rPr>
          <w:rFonts w:ascii="Arial" w:cs="Arial" w:eastAsia="Arial" w:hAnsi="Arial"/>
          <w:sz w:val="17"/>
          <w:szCs w:val="17"/>
          <w:b w:val="1"/>
          <w:bCs w:val="1"/>
          <w:color w:val="auto"/>
        </w:rPr>
        <w:t>Relevant Agreement</w:t>
      </w:r>
      <w:r>
        <w:rPr>
          <w:rFonts w:ascii="Arial" w:cs="Arial" w:eastAsia="Arial" w:hAnsi="Arial"/>
          <w:sz w:val="17"/>
          <w:szCs w:val="17"/>
          <w:color w:val="auto"/>
        </w:rPr>
        <w:t>” and collectively, the “</w:t>
      </w:r>
      <w:r>
        <w:rPr>
          <w:rFonts w:ascii="Arial" w:cs="Arial" w:eastAsia="Arial" w:hAnsi="Arial"/>
          <w:sz w:val="17"/>
          <w:szCs w:val="17"/>
          <w:b w:val="1"/>
          <w:bCs w:val="1"/>
          <w:color w:val="auto"/>
        </w:rPr>
        <w:t>Relevant Agreements</w:t>
      </w:r>
      <w:r>
        <w:rPr>
          <w:rFonts w:ascii="Arial" w:cs="Arial" w:eastAsia="Arial" w:hAnsi="Arial"/>
          <w:sz w:val="17"/>
          <w:szCs w:val="17"/>
          <w:color w:val="auto"/>
        </w:rPr>
        <w:t>”) may be dependent upon such matters, each of the parties to such Relevant Agreement: (i) is duly incorporated or established and validly existing under the jurisdiction of its incorporation or establishment; (ii) had at the time of entry into each of the Relevant Agreements the capacity, power and authority to enter into and to exercise its rights</w:t>
      </w:r>
    </w:p>
    <w:p>
      <w:pPr>
        <w:spacing w:after="0" w:line="110"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4"/>
          </w:cols>
          <w:pgMar w:left="976" w:top="274" w:right="479" w:bottom="1440" w:gutter="0" w:footer="0" w:header="0"/>
        </w:sectPr>
      </w:pPr>
    </w:p>
    <w:bookmarkStart w:id="87" w:name="page88"/>
    <w:bookmarkEnd w:id="87"/>
    <w:p>
      <w:pPr>
        <w:ind w:left="66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perform its obligations under such Relevant Agreement; and (iii) has taken all actions and obtained all necessary consents required to authorise the execution, delivery and performance of the Relevant Agreements to which it is a party and that such party has duly authorised, executed and delivered such Relevant Agreements in accordance with such authorisations and all other applicable requirements, and the foregoing remains the case as at each Bring-Down Date;</w:t>
      </w:r>
    </w:p>
    <w:p>
      <w:pPr>
        <w:spacing w:after="0" w:line="92" w:lineRule="exact"/>
        <w:rPr>
          <w:sz w:val="20"/>
          <w:szCs w:val="20"/>
          <w:color w:val="auto"/>
        </w:rPr>
      </w:pPr>
    </w:p>
    <w:p>
      <w:pPr>
        <w:ind w:left="644" w:right="640" w:hanging="644"/>
        <w:spacing w:after="0" w:line="277" w:lineRule="auto"/>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Relevant Agreements are on bona fide arm’s length commercial terms and have been entered into for bona fide commercial purposes and for full value;</w:t>
      </w:r>
    </w:p>
    <w:p>
      <w:pPr>
        <w:spacing w:after="0" w:line="75" w:lineRule="exact"/>
        <w:rPr>
          <w:rFonts w:ascii="Arial" w:cs="Arial" w:eastAsia="Arial" w:hAnsi="Arial"/>
          <w:sz w:val="18"/>
          <w:szCs w:val="18"/>
          <w:color w:val="auto"/>
        </w:rPr>
      </w:pPr>
    </w:p>
    <w:p>
      <w:pPr>
        <w:ind w:left="644" w:hanging="644"/>
        <w:spacing w:after="0" w:line="259" w:lineRule="auto"/>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parties to the Relevant Agreements (and their respective directors, officers, employees, agents and advisers) are dealing in good faith and in the absence of fraud, coercion, duress, undue influence, breach of duty or breach of trust and there are no such matters which might affect the allotment and issue of any Securities that may be issued pursuant to the Registration Statement and any relevant Prospectus;</w:t>
      </w:r>
    </w:p>
    <w:p>
      <w:pPr>
        <w:spacing w:after="0" w:line="92" w:lineRule="exact"/>
        <w:rPr>
          <w:rFonts w:ascii="Arial" w:cs="Arial" w:eastAsia="Arial" w:hAnsi="Arial"/>
          <w:sz w:val="18"/>
          <w:szCs w:val="18"/>
          <w:color w:val="auto"/>
        </w:rPr>
      </w:pPr>
    </w:p>
    <w:p>
      <w:pPr>
        <w:ind w:left="644" w:right="260" w:hanging="644"/>
        <w:spacing w:after="0" w:line="311" w:lineRule="auto"/>
        <w:tabs>
          <w:tab w:leader="none" w:pos="64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parties to the Relevant Agreements have complied (and will continue to comply as at each Bring-Down Date) with all applicable anti-terrorism, anti-corruption, anti-money laundering, national security, sanctions and human rights laws and regulations, and performance and enforcement of each Relevant Agreement is, and will continue to be, consistent with all such laws and regulations;</w:t>
      </w:r>
    </w:p>
    <w:p>
      <w:pPr>
        <w:spacing w:after="0" w:line="54" w:lineRule="exact"/>
        <w:rPr>
          <w:rFonts w:ascii="Arial" w:cs="Arial" w:eastAsia="Arial" w:hAnsi="Arial"/>
          <w:sz w:val="16"/>
          <w:szCs w:val="16"/>
          <w:color w:val="auto"/>
        </w:rPr>
      </w:pPr>
    </w:p>
    <w:p>
      <w:pPr>
        <w:ind w:left="644" w:hanging="644"/>
        <w:spacing w:after="0" w:line="255" w:lineRule="auto"/>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are no provisions of the laws of any jurisdiction outside England which would be contravened by the execution, delivery or performance of the Relevant Agreements and, in so far as any obligation under the Relevant Agreements falls to be performed in any jurisdiction outside England, its performance will not be illegal or adversely affected by virtue of the laws (including public policy) or regulations of or applicable in that jurisdiction and all agreements and documents examined by us that are governed by the laws of any jurisdiction other than England are on the date of this opinion legal, valid and binding under the laws by which they are (or are expected to be) governed;</w:t>
      </w:r>
    </w:p>
    <w:p>
      <w:pPr>
        <w:spacing w:after="0" w:line="97" w:lineRule="exact"/>
        <w:rPr>
          <w:rFonts w:ascii="Arial" w:cs="Arial" w:eastAsia="Arial" w:hAnsi="Arial"/>
          <w:sz w:val="18"/>
          <w:szCs w:val="18"/>
          <w:color w:val="auto"/>
        </w:rPr>
      </w:pPr>
    </w:p>
    <w:p>
      <w:pPr>
        <w:ind w:left="644" w:right="360" w:hanging="644"/>
        <w:spacing w:after="0" w:line="277" w:lineRule="auto"/>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Securities will be sold or issued in accordance with a duly authorised, executed and delivered purchase, underwriting or similar agreement;</w:t>
      </w:r>
    </w:p>
    <w:p>
      <w:pPr>
        <w:spacing w:after="0" w:line="75" w:lineRule="exact"/>
        <w:rPr>
          <w:rFonts w:ascii="Arial" w:cs="Arial" w:eastAsia="Arial" w:hAnsi="Arial"/>
          <w:sz w:val="18"/>
          <w:szCs w:val="18"/>
          <w:color w:val="auto"/>
        </w:rPr>
      </w:pPr>
    </w:p>
    <w:p>
      <w:pPr>
        <w:ind w:left="644" w:right="800" w:hanging="644"/>
        <w:spacing w:after="0" w:line="277" w:lineRule="auto"/>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Relevant Agreement (and any other documents referred to therein) constitutes or will constitute legal, valid and binding obligations of each of the parties thereto enforceable under all applicable laws;</w:t>
      </w:r>
    </w:p>
    <w:p>
      <w:pPr>
        <w:spacing w:after="0" w:line="75" w:lineRule="exact"/>
        <w:rPr>
          <w:rFonts w:ascii="Arial" w:cs="Arial" w:eastAsia="Arial" w:hAnsi="Arial"/>
          <w:sz w:val="18"/>
          <w:szCs w:val="18"/>
          <w:color w:val="auto"/>
        </w:rPr>
      </w:pPr>
    </w:p>
    <w:p>
      <w:pPr>
        <w:ind w:left="644" w:right="440" w:hanging="644"/>
        <w:spacing w:after="0" w:line="277" w:lineRule="auto"/>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secondary legislation relevant to this opinion is valid, effective and enacted within the scope of the powers of the relevant rule-making authorities;</w:t>
      </w:r>
    </w:p>
    <w:p>
      <w:pPr>
        <w:spacing w:after="0" w:line="75" w:lineRule="exact"/>
        <w:rPr>
          <w:rFonts w:ascii="Arial" w:cs="Arial" w:eastAsia="Arial" w:hAnsi="Arial"/>
          <w:sz w:val="18"/>
          <w:szCs w:val="18"/>
          <w:color w:val="auto"/>
        </w:rPr>
      </w:pPr>
    </w:p>
    <w:p>
      <w:pPr>
        <w:ind w:left="644" w:right="20" w:hanging="644"/>
        <w:spacing w:after="0" w:line="257" w:lineRule="auto"/>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respect of the Company, as at the date hereof and each Bring-Down Date: (i) it is not unable to pay its debts within the meaning of Section 123 of the Insolvency Act 1986; (ii) no receiver or administrative receiver has been appointed in relation to any of its assets or undertaking; (iii) no resolution has been passed and no petition has been filed for its winding-up; (iv) no steps have been taken for its dissolution or for its striking off, no application has been made for the appointment of a liquidator or provisional liquidator in respect of it; (v) no application for an</w:t>
      </w:r>
    </w:p>
    <w:p>
      <w:pPr>
        <w:spacing w:after="0" w:line="120"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44"/>
          </w:cols>
          <w:pgMar w:left="976" w:top="274" w:right="479" w:bottom="1440" w:gutter="0" w:footer="0" w:header="0"/>
        </w:sectPr>
      </w:pPr>
    </w:p>
    <w:bookmarkStart w:id="88" w:name="page89"/>
    <w:bookmarkEnd w:id="88"/>
    <w:p>
      <w:pPr>
        <w:ind w:left="66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 order or filing of a notice of intention to appoint an administrator has been presented in relation to it and no administration order has been made or administrator has been appointed in relation to it; (vi) no steps have been taken to obtain a moratorium; and (vii) no analogous event, step or procedure to those set out in this paragraph has occurred or been taken in respect of it in any other jurisdiction;</w:t>
      </w:r>
    </w:p>
    <w:p>
      <w:pPr>
        <w:spacing w:after="0" w:line="92" w:lineRule="exact"/>
        <w:rPr>
          <w:sz w:val="20"/>
          <w:szCs w:val="20"/>
          <w:color w:val="auto"/>
        </w:rPr>
      </w:pPr>
    </w:p>
    <w:p>
      <w:pPr>
        <w:ind w:left="644" w:hanging="644"/>
        <w:spacing w:after="0" w:line="259"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authorising the Registration Statement and any relevant Prospectus and the transactions contemplated thereby, the directors of the Company exercised their powers in accordance with their duties under all applicable laws and the Articles and, without limitation, in the belief that the issuance of Securities pursuant to the Registration Statement and any relevant Prospectus would be most likely to promote the success of the Company for the benefit of its members as a whole;</w:t>
      </w:r>
    </w:p>
    <w:p>
      <w:pPr>
        <w:spacing w:after="0" w:line="92" w:lineRule="exact"/>
        <w:rPr>
          <w:rFonts w:ascii="Arial" w:cs="Arial" w:eastAsia="Arial" w:hAnsi="Arial"/>
          <w:sz w:val="18"/>
          <w:szCs w:val="18"/>
          <w:color w:val="auto"/>
        </w:rPr>
      </w:pPr>
    </w:p>
    <w:p>
      <w:pPr>
        <w:ind w:left="644" w:right="100" w:hanging="644"/>
        <w:spacing w:after="0" w:line="257"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resolutions of the shareholders of the Company referred to in paragraph 1.1(e) above were duly passed by the requisite number of members of the Company in accordance with the requirements of the Company’s Articles and all other applicable requirements at a properly convened general meeting of the members of the Company at which a quorum was presented throughout and that the resolutions passed and decisions taken at such general meeting have not been amended or rescinded and are, and will remain as at each Bring-Down Date, in full force and effect;</w:t>
      </w:r>
    </w:p>
    <w:p>
      <w:pPr>
        <w:spacing w:after="0" w:line="93" w:lineRule="exact"/>
        <w:rPr>
          <w:rFonts w:ascii="Arial" w:cs="Arial" w:eastAsia="Arial" w:hAnsi="Arial"/>
          <w:sz w:val="18"/>
          <w:szCs w:val="18"/>
          <w:color w:val="auto"/>
        </w:rPr>
      </w:pPr>
    </w:p>
    <w:p>
      <w:pPr>
        <w:ind w:left="644" w:hanging="644"/>
        <w:spacing w:after="0" w:line="291" w:lineRule="auto"/>
        <w:tabs>
          <w:tab w:leader="none" w:pos="644"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Shares contemplated to be offered under the Registration Statement and any relevant Prospectus will be allotted and issued pursuant to the authority and power granted to the directors of the Company pursuant to section 551 and section 570 of the Companies Act, respectively, and that authority and that power are and shall remain unutilized to a sufficient extent to enable the allotment and issue of any Shares contemplated to be issued pursuant to the Registration Statement and any relevant Prospectus, and that the directors shall not allot or issue (or purport to allot or issue) any Shares and shall not grant rights (or purport to grant rights) to subscribe for any Shares, or convert any security into Shares, in excess of such authorities or powers or in breach of any other limitation on their authority or power to allot and issue shares or grant rights to subscribe for, or convert any security into, Shares;</w:t>
      </w:r>
    </w:p>
    <w:p>
      <w:pPr>
        <w:spacing w:after="0" w:line="71" w:lineRule="exact"/>
        <w:rPr>
          <w:rFonts w:ascii="Arial" w:cs="Arial" w:eastAsia="Arial" w:hAnsi="Arial"/>
          <w:sz w:val="16"/>
          <w:szCs w:val="16"/>
          <w:color w:val="auto"/>
        </w:rPr>
      </w:pPr>
    </w:p>
    <w:p>
      <w:pPr>
        <w:ind w:left="644" w:right="100" w:hanging="644"/>
        <w:spacing w:after="0" w:line="277"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issue of Securities shall have been duly approved by the Board or a duly authorised committee of the Board in accordance with the Articles and the requirements of all applicable laws;</w:t>
      </w:r>
    </w:p>
    <w:p>
      <w:pPr>
        <w:spacing w:after="0" w:line="75" w:lineRule="exact"/>
        <w:rPr>
          <w:rFonts w:ascii="Arial" w:cs="Arial" w:eastAsia="Arial" w:hAnsi="Arial"/>
          <w:sz w:val="18"/>
          <w:szCs w:val="18"/>
          <w:color w:val="auto"/>
        </w:rPr>
      </w:pPr>
    </w:p>
    <w:p>
      <w:pPr>
        <w:ind w:left="644" w:right="20" w:hanging="644"/>
        <w:spacing w:after="0" w:line="273" w:lineRule="auto"/>
        <w:tabs>
          <w:tab w:leader="none" w:pos="64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minutes of the meeting of the Board referred to in paragraph 1.1(d) above are a true record of the proceedings at such meeting, including the resolutions passed at such meeting, and the signed version of the minutes of such meeting will be identical to those which we have received, examined and are attached to the Certificate and that such meeting and any meeting to approve the issue of Securities as referred to in paragraph 3(x) was and will be a duly conducted and duly constituted and convened meeting of duly appointed directors of the Company at which a quorum was or will be present throughout, that the proceedings at each relevant meeting were or will be conducted in accordance with the Companies Act</w:t>
      </w:r>
    </w:p>
    <w:p>
      <w:pPr>
        <w:spacing w:after="0" w:line="110"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4"/>
          </w:cols>
          <w:pgMar w:left="976" w:top="274" w:right="459" w:bottom="1440" w:gutter="0" w:footer="0" w:header="0"/>
        </w:sectPr>
      </w:pPr>
    </w:p>
    <w:bookmarkStart w:id="89" w:name="page90"/>
    <w:bookmarkEnd w:id="89"/>
    <w:p>
      <w:pPr>
        <w:ind w:left="66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Articles and the resolutions passed and decisions taken at such relevant meeting have not been, and will not be, amended or rescinded and will remain as at each Bring-Down Date in full force and effect and the minutes have been duly signed by the chairman of the meeting and filed in the Company’s statutory books;</w:t>
      </w:r>
    </w:p>
    <w:p>
      <w:pPr>
        <w:spacing w:after="0" w:line="89" w:lineRule="exact"/>
        <w:rPr>
          <w:sz w:val="20"/>
          <w:szCs w:val="20"/>
          <w:color w:val="auto"/>
        </w:rPr>
      </w:pPr>
    </w:p>
    <w:p>
      <w:pPr>
        <w:ind w:left="644" w:right="80" w:hanging="644"/>
        <w:spacing w:after="0" w:line="277" w:lineRule="auto"/>
        <w:tabs>
          <w:tab w:leader="none" w:pos="6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Shares will be allotted or issued, or are or shall be committed to be allotted and issued, at a discount to their nominal value (whether in dollars or equivalent in any other currency);</w:t>
      </w:r>
    </w:p>
    <w:p>
      <w:pPr>
        <w:spacing w:after="0" w:line="76" w:lineRule="exact"/>
        <w:rPr>
          <w:sz w:val="20"/>
          <w:szCs w:val="20"/>
          <w:color w:val="auto"/>
        </w:rPr>
      </w:pPr>
    </w:p>
    <w:p>
      <w:pPr>
        <w:ind w:left="644" w:right="40" w:hanging="644"/>
        <w:spacing w:after="0" w:line="257"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the time of each allotment and issue of Shares, the Company shall have received in full payment for such shares in an amount of “cash consideration” (as defined in section 583(3) of the Companies Act) equal to the aggregate subscription price for such shares, such amount not being less than the aggregate nominal value for such shares, and the Company shall have entered the holder or holders thereof in the register of members of the Company showing that all such shares have been fully paid up as to their nominal value and any premium thereon as at the date of each such allotment;</w:t>
      </w:r>
    </w:p>
    <w:p>
      <w:pPr>
        <w:spacing w:after="0" w:line="93" w:lineRule="exact"/>
        <w:rPr>
          <w:rFonts w:ascii="Arial" w:cs="Arial" w:eastAsia="Arial" w:hAnsi="Arial"/>
          <w:sz w:val="18"/>
          <w:szCs w:val="18"/>
          <w:color w:val="auto"/>
        </w:rPr>
      </w:pPr>
    </w:p>
    <w:p>
      <w:pPr>
        <w:ind w:left="644" w:right="400" w:hanging="644"/>
        <w:spacing w:after="0" w:line="277"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right to purchase Shares will be exercised, and Shares to which holders of Securities are entitled thereupon will be allotted and issued, in accordance with the terms of the Relevant Agreements and the relevant Securities;</w:t>
      </w:r>
    </w:p>
    <w:p>
      <w:pPr>
        <w:spacing w:after="0" w:line="75" w:lineRule="exact"/>
        <w:rPr>
          <w:rFonts w:ascii="Arial" w:cs="Arial" w:eastAsia="Arial" w:hAnsi="Arial"/>
          <w:sz w:val="18"/>
          <w:szCs w:val="18"/>
          <w:color w:val="auto"/>
        </w:rPr>
      </w:pPr>
    </w:p>
    <w:p>
      <w:pPr>
        <w:ind w:left="644" w:right="100" w:hanging="644"/>
        <w:spacing w:after="0" w:line="263"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consents, licenses, approvals, authorisations, notices, filings and registrations that are necessary under any applicable laws or regulations in connection with the transactions contemplated by the Registration Statement have been or will be duly made or obtained and are, or will be, in full force and effect;</w:t>
      </w:r>
    </w:p>
    <w:p>
      <w:pPr>
        <w:spacing w:after="0" w:line="89" w:lineRule="exact"/>
        <w:rPr>
          <w:rFonts w:ascii="Arial" w:cs="Arial" w:eastAsia="Arial" w:hAnsi="Arial"/>
          <w:sz w:val="18"/>
          <w:szCs w:val="18"/>
          <w:color w:val="auto"/>
        </w:rPr>
      </w:pPr>
    </w:p>
    <w:p>
      <w:pPr>
        <w:ind w:left="644" w:hanging="644"/>
        <w:spacing w:after="0" w:line="254"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Securities have been or shall be offered to the public in the United Kingdom in breach of the Financial Services and Markets Act 2000, as amended (the “</w:t>
      </w:r>
      <w:r>
        <w:rPr>
          <w:rFonts w:ascii="Arial" w:cs="Arial" w:eastAsia="Arial" w:hAnsi="Arial"/>
          <w:sz w:val="18"/>
          <w:szCs w:val="18"/>
          <w:b w:val="1"/>
          <w:bCs w:val="1"/>
          <w:color w:val="auto"/>
        </w:rPr>
        <w:t>FSMA</w:t>
      </w:r>
      <w:r>
        <w:rPr>
          <w:rFonts w:ascii="Arial" w:cs="Arial" w:eastAsia="Arial" w:hAnsi="Arial"/>
          <w:sz w:val="18"/>
          <w:szCs w:val="18"/>
          <w:color w:val="auto"/>
        </w:rPr>
        <w:t>”), the EU Prospectus Regulation (Regulation (EU) 2017/1129) as it forms part of domestic law in the United Kingdom by virtue of the European Union (Withdrawal) Act 2018 (the “</w:t>
      </w:r>
      <w:r>
        <w:rPr>
          <w:rFonts w:ascii="Arial" w:cs="Arial" w:eastAsia="Arial" w:hAnsi="Arial"/>
          <w:sz w:val="18"/>
          <w:szCs w:val="18"/>
          <w:b w:val="1"/>
          <w:bCs w:val="1"/>
          <w:color w:val="auto"/>
        </w:rPr>
        <w:t>Withdrawal Act</w:t>
      </w:r>
      <w:r>
        <w:rPr>
          <w:rFonts w:ascii="Arial" w:cs="Arial" w:eastAsia="Arial" w:hAnsi="Arial"/>
          <w:sz w:val="18"/>
          <w:szCs w:val="18"/>
          <w:color w:val="auto"/>
        </w:rPr>
        <w:t>”) (the “</w:t>
      </w:r>
      <w:r>
        <w:rPr>
          <w:rFonts w:ascii="Arial" w:cs="Arial" w:eastAsia="Arial" w:hAnsi="Arial"/>
          <w:sz w:val="18"/>
          <w:szCs w:val="18"/>
          <w:b w:val="1"/>
          <w:bCs w:val="1"/>
          <w:color w:val="auto"/>
        </w:rPr>
        <w:t>UK Prospectus Regulation</w:t>
      </w:r>
      <w:r>
        <w:rPr>
          <w:rFonts w:ascii="Arial" w:cs="Arial" w:eastAsia="Arial" w:hAnsi="Arial"/>
          <w:sz w:val="18"/>
          <w:szCs w:val="18"/>
          <w:color w:val="auto"/>
        </w:rPr>
        <w:t>”) or of any other United Kingdom laws or regulations concerning offers of securities to the public, and no communication has been or shall be made in relation to the Securities in breach of section 21 (Restrictions on financial promotion) of the FSMA or any other United Kingdom laws or regulations relating to offers or invitations to subscribe for, or to acquire rights to subscribe for or otherwise acquire, shares or other securities;</w:t>
      </w:r>
    </w:p>
    <w:p>
      <w:pPr>
        <w:spacing w:after="0" w:line="100" w:lineRule="exact"/>
        <w:rPr>
          <w:rFonts w:ascii="Arial" w:cs="Arial" w:eastAsia="Arial" w:hAnsi="Arial"/>
          <w:sz w:val="18"/>
          <w:szCs w:val="18"/>
          <w:color w:val="auto"/>
        </w:rPr>
      </w:pPr>
    </w:p>
    <w:p>
      <w:pPr>
        <w:ind w:left="644" w:right="80" w:hanging="644"/>
        <w:spacing w:after="0" w:line="259"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issuing Securities, the Company is not carrying on a regulated activity for the purposes of section 19 of FSMA and each person involved in or dealing with the Company in connection with the offering of Securities which is carrying on, or purporting to carry on, a regulated activity (within the meaning of section 19 (The general prohibition) of the FSMA) is an authorised person or exempt person under the FSMA;</w:t>
      </w:r>
    </w:p>
    <w:p>
      <w:pPr>
        <w:spacing w:after="0" w:line="92" w:lineRule="exact"/>
        <w:rPr>
          <w:rFonts w:ascii="Arial" w:cs="Arial" w:eastAsia="Arial" w:hAnsi="Arial"/>
          <w:sz w:val="18"/>
          <w:szCs w:val="18"/>
          <w:color w:val="auto"/>
        </w:rPr>
      </w:pPr>
    </w:p>
    <w:p>
      <w:pPr>
        <w:ind w:left="644" w:right="80" w:hanging="644"/>
        <w:spacing w:after="0" w:line="263"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applicable provisions of the EU Market Abuse Regulation (Regulation (EU) No 596/2014) as it forms part of domestic law in the United Kingdom by virtue of the Withdrawal Act (“</w:t>
      </w:r>
      <w:r>
        <w:rPr>
          <w:rFonts w:ascii="Arial" w:cs="Arial" w:eastAsia="Arial" w:hAnsi="Arial"/>
          <w:sz w:val="18"/>
          <w:szCs w:val="18"/>
          <w:b w:val="1"/>
          <w:bCs w:val="1"/>
          <w:color w:val="auto"/>
        </w:rPr>
        <w:t>UK MAR</w:t>
      </w:r>
      <w:r>
        <w:rPr>
          <w:rFonts w:ascii="Arial" w:cs="Arial" w:eastAsia="Arial" w:hAnsi="Arial"/>
          <w:sz w:val="18"/>
          <w:szCs w:val="18"/>
          <w:color w:val="auto"/>
        </w:rPr>
        <w:t>”), the UK Prospectus Regulation, the FSMA, the Financial Services Act 2012 (the “</w:t>
      </w:r>
      <w:r>
        <w:rPr>
          <w:rFonts w:ascii="Arial" w:cs="Arial" w:eastAsia="Arial" w:hAnsi="Arial"/>
          <w:sz w:val="18"/>
          <w:szCs w:val="18"/>
          <w:b w:val="1"/>
          <w:bCs w:val="1"/>
          <w:color w:val="auto"/>
        </w:rPr>
        <w:t>FS Act</w:t>
      </w:r>
      <w:r>
        <w:rPr>
          <w:rFonts w:ascii="Arial" w:cs="Arial" w:eastAsia="Arial" w:hAnsi="Arial"/>
          <w:sz w:val="18"/>
          <w:szCs w:val="18"/>
          <w:color w:val="auto"/>
        </w:rPr>
        <w:t>”), and all rules and regulations made</w:t>
      </w:r>
    </w:p>
    <w:p>
      <w:pPr>
        <w:spacing w:after="0" w:line="116"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4"/>
          </w:cols>
          <w:pgMar w:left="976" w:top="274" w:right="459" w:bottom="1440" w:gutter="0" w:footer="0" w:header="0"/>
        </w:sectPr>
      </w:pPr>
    </w:p>
    <w:bookmarkStart w:id="90" w:name="page91"/>
    <w:bookmarkEnd w:id="90"/>
    <w:p>
      <w:pPr>
        <w:ind w:left="1204"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UK MAR, the UK Prospectus Regulation, the FSMA and the FS Act, have been and will be complied with as regards anything done in relation to the Securities or otherwise in relation to the Registration Statement and any relevant Prospectus and the transactions contemplated thereby in, from or otherwise involving England (including, without limitation, articles 14 (Prohibition of insider dealing and of unlawful disclosure of inside information) and 15 (Prohibition of market manipulation) of UK MAR, sections 19 (The general prohibition) and 21 (Restrictions on financial promotion) of the FSMA and sections 89 (Misleading statements), 90 (Misleading impressions) and 91 (Misleading statements etc. in relation to benchmarks) of the FS Act); and</w:t>
      </w:r>
    </w:p>
    <w:p>
      <w:pPr>
        <w:spacing w:after="0" w:line="83" w:lineRule="exact"/>
        <w:rPr>
          <w:sz w:val="20"/>
          <w:szCs w:val="20"/>
          <w:color w:val="auto"/>
        </w:rPr>
      </w:pPr>
    </w:p>
    <w:p>
      <w:pPr>
        <w:ind w:left="1184" w:right="140" w:hanging="644"/>
        <w:spacing w:after="0" w:line="277" w:lineRule="auto"/>
        <w:tabs>
          <w:tab w:leader="none" w:pos="1184"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application has been or will be made for any Securities to be listed or admitted to trading on a regulated market, multilateral trading facility or organised trading facility situated or operating in the United Kingdom.</w:t>
      </w:r>
    </w:p>
    <w:p>
      <w:pPr>
        <w:spacing w:after="0" w:line="314" w:lineRule="exact"/>
        <w:rPr>
          <w:rFonts w:ascii="Arial" w:cs="Arial" w:eastAsia="Arial" w:hAnsi="Arial"/>
          <w:sz w:val="18"/>
          <w:szCs w:val="18"/>
          <w:color w:val="auto"/>
        </w:rPr>
      </w:pPr>
    </w:p>
    <w:p>
      <w:pPr>
        <w:ind w:left="544" w:hanging="544"/>
        <w:spacing w:after="0"/>
        <w:tabs>
          <w:tab w:leader="none" w:pos="54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21" w:lineRule="exact"/>
        <w:rPr>
          <w:rFonts w:ascii="Arial" w:cs="Arial" w:eastAsia="Arial" w:hAnsi="Arial"/>
          <w:sz w:val="18"/>
          <w:szCs w:val="18"/>
          <w:b w:val="1"/>
          <w:bCs w:val="1"/>
          <w:color w:val="auto"/>
        </w:rPr>
      </w:pPr>
    </w:p>
    <w:p>
      <w:pPr>
        <w:ind w:left="544"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basis of and subject to the (i) statements made in paragraph 2 above, (ii) assumptions made in paragraph 3 above and (iii) qualifications set out in paragraph 5 below, we are of the opinion that as at the date of this opinion:</w:t>
      </w:r>
    </w:p>
    <w:p>
      <w:pPr>
        <w:spacing w:after="0" w:line="75" w:lineRule="exact"/>
        <w:rPr>
          <w:rFonts w:ascii="Arial" w:cs="Arial" w:eastAsia="Arial" w:hAnsi="Arial"/>
          <w:sz w:val="18"/>
          <w:szCs w:val="18"/>
          <w:b w:val="1"/>
          <w:bCs w:val="1"/>
          <w:color w:val="auto"/>
        </w:rPr>
      </w:pPr>
    </w:p>
    <w:p>
      <w:pPr>
        <w:ind w:left="1184" w:hanging="644"/>
        <w:spacing w:after="0"/>
        <w:tabs>
          <w:tab w:leader="none" w:pos="1184"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Company is a company duly incorporated in England and validly existing under the laws of England and Wales;</w:t>
      </w:r>
    </w:p>
    <w:p>
      <w:pPr>
        <w:spacing w:after="0" w:line="130" w:lineRule="exact"/>
        <w:rPr>
          <w:rFonts w:ascii="Arial" w:cs="Arial" w:eastAsia="Arial" w:hAnsi="Arial"/>
          <w:sz w:val="18"/>
          <w:szCs w:val="18"/>
          <w:color w:val="auto"/>
        </w:rPr>
      </w:pPr>
    </w:p>
    <w:p>
      <w:pPr>
        <w:ind w:left="1184" w:right="440" w:hanging="644"/>
        <w:spacing w:after="0" w:line="277" w:lineRule="auto"/>
        <w:tabs>
          <w:tab w:leader="none" w:pos="1184"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Company has taken all necessary corporate action to allot, issue and deliver the Securities, as contemplated by the Registration Statement; and</w:t>
      </w:r>
    </w:p>
    <w:p>
      <w:pPr>
        <w:spacing w:after="0" w:line="75" w:lineRule="exact"/>
        <w:rPr>
          <w:rFonts w:ascii="Arial" w:cs="Arial" w:eastAsia="Arial" w:hAnsi="Arial"/>
          <w:sz w:val="18"/>
          <w:szCs w:val="18"/>
          <w:color w:val="auto"/>
        </w:rPr>
      </w:pPr>
    </w:p>
    <w:p>
      <w:pPr>
        <w:ind w:left="1184" w:hanging="644"/>
        <w:spacing w:after="0" w:line="296" w:lineRule="auto"/>
        <w:tabs>
          <w:tab w:leader="none" w:pos="1184" w:val="left"/>
        </w:tabs>
        <w:numPr>
          <w:ilvl w:val="1"/>
          <w:numId w:val="77"/>
        </w:numPr>
        <w:rPr>
          <w:rFonts w:ascii="Arial" w:cs="Arial" w:eastAsia="Arial" w:hAnsi="Arial"/>
          <w:sz w:val="16"/>
          <w:szCs w:val="16"/>
          <w:color w:val="auto"/>
        </w:rPr>
      </w:pPr>
      <w:r>
        <w:rPr>
          <w:rFonts w:ascii="Arial" w:cs="Arial" w:eastAsia="Arial" w:hAnsi="Arial"/>
          <w:sz w:val="16"/>
          <w:szCs w:val="16"/>
          <w:color w:val="auto"/>
        </w:rPr>
        <w:t>when issued, delivered and paid for as contemplated in the Registration Statement and any relevant Prospectus, and in accordance with the terms of a duly authorised, executed and delivered purchase, underwriting or similar agreement, the Shares, the Shares issuable upon conversion of the Preferred Shares and the Shares underlying the warrants and units have been or will be validly issued, fully paid or credited as fully paid (subject to receipt of valid consideration by the Company for the issuance or conversion thereof as contemplated by the Registration Statement), and will not be subject to any call for payment of further capital.</w:t>
      </w:r>
    </w:p>
    <w:p>
      <w:pPr>
        <w:spacing w:after="0" w:line="305" w:lineRule="exact"/>
        <w:rPr>
          <w:rFonts w:ascii="Arial" w:cs="Arial" w:eastAsia="Arial" w:hAnsi="Arial"/>
          <w:sz w:val="16"/>
          <w:szCs w:val="16"/>
          <w:color w:val="auto"/>
        </w:rPr>
      </w:pPr>
    </w:p>
    <w:p>
      <w:pPr>
        <w:ind w:left="544" w:hanging="544"/>
        <w:spacing w:after="0"/>
        <w:tabs>
          <w:tab w:leader="none" w:pos="54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Without prejudice to paragraph 2(a) above, this opinion is subject to the following qualifications:</w:t>
      </w:r>
    </w:p>
    <w:p>
      <w:pPr>
        <w:spacing w:after="0" w:line="130" w:lineRule="exact"/>
        <w:rPr>
          <w:rFonts w:ascii="Arial" w:cs="Arial" w:eastAsia="Arial" w:hAnsi="Arial"/>
          <w:sz w:val="18"/>
          <w:szCs w:val="18"/>
          <w:b w:val="1"/>
          <w:bCs w:val="1"/>
          <w:color w:val="auto"/>
        </w:rPr>
      </w:pPr>
    </w:p>
    <w:p>
      <w:pPr>
        <w:ind w:left="1184" w:right="760" w:hanging="644"/>
        <w:spacing w:after="0" w:line="277" w:lineRule="auto"/>
        <w:tabs>
          <w:tab w:leader="none" w:pos="1184" w:val="left"/>
        </w:tabs>
        <w:numPr>
          <w:ilvl w:val="1"/>
          <w:numId w:val="77"/>
        </w:numPr>
        <w:rPr>
          <w:rFonts w:ascii="Arial" w:cs="Arial" w:eastAsia="Arial" w:hAnsi="Arial"/>
          <w:sz w:val="18"/>
          <w:szCs w:val="18"/>
          <w:color w:val="auto"/>
        </w:rPr>
      </w:pPr>
      <w:r>
        <w:rPr>
          <w:rFonts w:ascii="Arial" w:cs="Arial" w:eastAsia="Arial" w:hAnsi="Arial"/>
          <w:sz w:val="18"/>
          <w:szCs w:val="18"/>
          <w:color w:val="auto"/>
        </w:rPr>
        <w:t>we have relied entirely on the facts, statements and confirmations contained in the Certificate and we have not undertaken any independent investigation or verification of the matters referred to in the Certificate;</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77"/>
        </w:numPr>
        <w:rPr>
          <w:rFonts w:ascii="Arial" w:cs="Arial" w:eastAsia="Arial" w:hAnsi="Arial"/>
          <w:sz w:val="16"/>
          <w:szCs w:val="16"/>
          <w:color w:val="auto"/>
        </w:rPr>
      </w:pPr>
      <w:r>
        <w:rPr>
          <w:rFonts w:ascii="Arial" w:cs="Arial" w:eastAsia="Arial" w:hAnsi="Arial"/>
          <w:sz w:val="16"/>
          <w:szCs w:val="16"/>
          <w:color w:val="auto"/>
        </w:rPr>
        <w:t>any Companies Registry Search may not completely and accurately reflect the situation of the Company at the time it was made due to</w:t>
      </w:r>
    </w:p>
    <w:p>
      <w:pPr>
        <w:spacing w:after="0" w:line="46" w:lineRule="exact"/>
        <w:rPr>
          <w:rFonts w:ascii="Arial" w:cs="Arial" w:eastAsia="Arial" w:hAnsi="Arial"/>
          <w:sz w:val="16"/>
          <w:szCs w:val="16"/>
          <w:color w:val="auto"/>
        </w:rPr>
      </w:pPr>
    </w:p>
    <w:p>
      <w:pPr>
        <w:ind w:left="1184" w:right="140"/>
        <w:spacing w:after="0" w:line="273" w:lineRule="auto"/>
        <w:rPr>
          <w:rFonts w:ascii="Arial" w:cs="Arial" w:eastAsia="Arial" w:hAnsi="Arial"/>
          <w:sz w:val="16"/>
          <w:szCs w:val="16"/>
          <w:color w:val="auto"/>
        </w:rPr>
      </w:pPr>
      <w:r>
        <w:rPr>
          <w:rFonts w:ascii="Arial" w:cs="Arial" w:eastAsia="Arial" w:hAnsi="Arial"/>
          <w:sz w:val="17"/>
          <w:szCs w:val="17"/>
          <w:color w:val="auto"/>
        </w:rPr>
        <w:t>(i) failure of the Company to file documents that ought to be filed, (ii) statutory prescribed time-periods within which documents evidencing actions may be filed, (iii) the possibility of additional delays (beyond the statutory time-limits) between the taking of the action and the necessary filing at Companies House, (iv) the possibility of delays at Companies House in the registration of documents and their subsequent copying onto public records and (v) errors and mis-filing that may occur;</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91" w:name="page92"/>
    <w:bookmarkEnd w:id="91"/>
    <w:p>
      <w:pPr>
        <w:ind w:left="1184" w:right="160" w:hanging="644"/>
        <w:spacing w:after="0" w:line="273" w:lineRule="auto"/>
        <w:tabs>
          <w:tab w:leader="none" w:pos="1184" w:val="left"/>
        </w:tabs>
        <w:numPr>
          <w:ilvl w:val="1"/>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Central Registry Search is limited to revealing matters specifically referred to in paragraph 1.3. The search is not capable of being conclusive. Errors and mis-filings may occur. There may be delays in entering details on to the winding-up register and/or administration register or a winding-up order or administration order may be made before the relevant application or petition has been entered on the relevant register. In so far as it relates to matters relating to administration and administrators, the Central Registry Search will not reveal applications made to, or orders made by or notices filed with a court other than the High Court of Justice in London. The Central Registry Search will only show winding-up petitions presented since June 1994;</w:t>
      </w:r>
    </w:p>
    <w:p>
      <w:pPr>
        <w:spacing w:after="0" w:line="83" w:lineRule="exact"/>
        <w:rPr>
          <w:rFonts w:ascii="Arial" w:cs="Arial" w:eastAsia="Arial" w:hAnsi="Arial"/>
          <w:sz w:val="17"/>
          <w:szCs w:val="17"/>
          <w:color w:val="auto"/>
        </w:rPr>
      </w:pPr>
    </w:p>
    <w:p>
      <w:pPr>
        <w:ind w:left="1184" w:hanging="644"/>
        <w:spacing w:after="0"/>
        <w:tabs>
          <w:tab w:leader="none" w:pos="1184"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this opinion is not designed to, and is not likely to, reveal fraud, misrepresentation, bribery or corruption by any person or party;</w:t>
      </w:r>
    </w:p>
    <w:p>
      <w:pPr>
        <w:spacing w:after="0" w:line="142" w:lineRule="exact"/>
        <w:rPr>
          <w:rFonts w:ascii="Arial" w:cs="Arial" w:eastAsia="Arial" w:hAnsi="Arial"/>
          <w:sz w:val="17"/>
          <w:szCs w:val="17"/>
          <w:color w:val="auto"/>
        </w:rPr>
      </w:pPr>
    </w:p>
    <w:p>
      <w:pPr>
        <w:ind w:left="1184" w:hanging="644"/>
        <w:spacing w:after="0"/>
        <w:tabs>
          <w:tab w:leader="none" w:pos="1184" w:val="left"/>
        </w:tabs>
        <w:numPr>
          <w:ilvl w:val="1"/>
          <w:numId w:val="78"/>
        </w:numPr>
        <w:rPr>
          <w:rFonts w:ascii="Arial" w:cs="Arial" w:eastAsia="Arial" w:hAnsi="Arial"/>
          <w:sz w:val="18"/>
          <w:szCs w:val="18"/>
          <w:color w:val="auto"/>
        </w:rPr>
      </w:pPr>
      <w:r>
        <w:rPr>
          <w:rFonts w:ascii="Arial" w:cs="Arial" w:eastAsia="Arial" w:hAnsi="Arial"/>
          <w:sz w:val="18"/>
          <w:szCs w:val="18"/>
          <w:color w:val="auto"/>
        </w:rPr>
        <w:t>we have made no enquiries of any individual connected with the Company; and</w:t>
      </w:r>
    </w:p>
    <w:p>
      <w:pPr>
        <w:spacing w:after="0" w:line="130" w:lineRule="exact"/>
        <w:rPr>
          <w:rFonts w:ascii="Arial" w:cs="Arial" w:eastAsia="Arial" w:hAnsi="Arial"/>
          <w:sz w:val="18"/>
          <w:szCs w:val="18"/>
          <w:color w:val="auto"/>
        </w:rPr>
      </w:pPr>
    </w:p>
    <w:p>
      <w:pPr>
        <w:jc w:val="both"/>
        <w:ind w:left="1184" w:right="40" w:hanging="644"/>
        <w:spacing w:after="0" w:line="311" w:lineRule="auto"/>
        <w:tabs>
          <w:tab w:leader="none" w:pos="1184"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opinion set out in paragraph 4(c) relates only to Shares offered or sold from time to time pursuant to the Registration Statement that are new Securities issued by the Company from time to time following the date of the Registration Statement. We express no opinion in respect of any securities of the Company existing as at the date of this opinion which may be offered or sold from time to time.</w:t>
      </w:r>
    </w:p>
    <w:p>
      <w:pPr>
        <w:spacing w:after="0" w:line="293" w:lineRule="exact"/>
        <w:rPr>
          <w:rFonts w:ascii="Arial" w:cs="Arial" w:eastAsia="Arial" w:hAnsi="Arial"/>
          <w:sz w:val="16"/>
          <w:szCs w:val="16"/>
          <w:color w:val="auto"/>
        </w:rPr>
      </w:pPr>
    </w:p>
    <w:p>
      <w:pPr>
        <w:ind w:left="544" w:hanging="544"/>
        <w:spacing w:after="0"/>
        <w:tabs>
          <w:tab w:leader="none" w:pos="54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BENEFIT OF OPINION</w:t>
      </w:r>
    </w:p>
    <w:p>
      <w:pPr>
        <w:spacing w:after="0" w:line="121" w:lineRule="exact"/>
        <w:rPr>
          <w:rFonts w:ascii="Arial" w:cs="Arial" w:eastAsia="Arial" w:hAnsi="Arial"/>
          <w:sz w:val="18"/>
          <w:szCs w:val="18"/>
          <w:b w:val="1"/>
          <w:bCs w:val="1"/>
          <w:color w:val="auto"/>
        </w:rPr>
      </w:pPr>
    </w:p>
    <w:p>
      <w:pPr>
        <w:ind w:left="544"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opinion and any non-contractual obligations arising out of or in connection with it are governed by and construed in accordance with English law and any action arising out of it is subject to the exclusive jurisdiction of the English courts.</w:t>
      </w:r>
    </w:p>
    <w:p>
      <w:pPr>
        <w:spacing w:after="0" w:line="62" w:lineRule="exact"/>
        <w:rPr>
          <w:rFonts w:ascii="Arial" w:cs="Arial" w:eastAsia="Arial" w:hAnsi="Arial"/>
          <w:sz w:val="18"/>
          <w:szCs w:val="18"/>
          <w:b w:val="1"/>
          <w:bCs w:val="1"/>
          <w:color w:val="auto"/>
        </w:rPr>
      </w:pPr>
    </w:p>
    <w:p>
      <w:pPr>
        <w:ind w:left="544"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opinion is addressed to you solely for your benefit in connection with the Registration Statement. This opinion may be relied upon by you and by persons entitled to rely upon it pursuant to the applicable provisions of the Securities Act. However, this opinion may not be relied upon for any other purpose or furnished to, assigned to, or relied upon by any other person, firm or other entity, for any purpose, without our prior written consent, which may be granted or withheld in our sole discretion.</w:t>
      </w:r>
    </w:p>
    <w:p>
      <w:pPr>
        <w:spacing w:after="0" w:line="78" w:lineRule="exact"/>
        <w:rPr>
          <w:rFonts w:ascii="Arial" w:cs="Arial" w:eastAsia="Arial" w:hAnsi="Arial"/>
          <w:sz w:val="18"/>
          <w:szCs w:val="18"/>
          <w:b w:val="1"/>
          <w:bCs w:val="1"/>
          <w:color w:val="auto"/>
        </w:rPr>
      </w:pPr>
    </w:p>
    <w:p>
      <w:pPr>
        <w:ind w:left="544"/>
        <w:spacing w:after="0" w:line="323" w:lineRule="auto"/>
        <w:rPr>
          <w:rFonts w:ascii="Arial" w:cs="Arial" w:eastAsia="Arial" w:hAnsi="Arial"/>
          <w:sz w:val="18"/>
          <w:szCs w:val="18"/>
          <w:b w:val="1"/>
          <w:bCs w:val="1"/>
          <w:color w:val="auto"/>
        </w:rPr>
      </w:pPr>
      <w:r>
        <w:rPr>
          <w:rFonts w:ascii="Arial" w:cs="Arial" w:eastAsia="Arial" w:hAnsi="Arial"/>
          <w:sz w:val="17"/>
          <w:szCs w:val="17"/>
          <w:color w:val="auto"/>
        </w:rPr>
        <w:t>We consent to the filing of this opinion as Exhibit 5.1 to the Registration Statement, for information only and on a non-reliance basis (and without creating any assumption of duty on our part to any person other than the Company). In giving such consent, we do not thereby admit that we are in the category of persons whose consent is required under Section 7 of the Securities Act or the rules and regulations thereunder. Nothing in this opinion shall waive any privilege or confidentiality in any document or advice whatsoever.</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Alston &amp; Bird (City) LLP</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Alston &amp; Bird (City) LLP</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F-3 of our report dated April 14, 2023, relating to the financial statements of Polestar Automotive Holding UK PLC (formerly known as Polestar Automotive Holding UK Limited) appearing in the Annual Report on Form 20-F of Polestar Automotive Holding UK PLC for the year ended December 31, 2022.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Gothenburg, Sweden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ectPr>
          <w:pgSz w:w="11900" w:h="16838" w:orient="portrait"/>
          <w:cols w:equalWidth="0" w:num="1">
            <w:col w:w="11020"/>
          </w:cols>
          <w:pgMar w:left="440" w:top="121" w:right="4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F-3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Type)</w:t>
      </w:r>
    </w:p>
    <w:p>
      <w:pPr>
        <w:spacing w:after="0" w:line="20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Polestar Automotive Holding UK PLC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Table 1: Newly Registered Securities</w:t>
      </w:r>
    </w:p>
    <w:p>
      <w:pPr>
        <w:spacing w:after="0" w:line="250" w:lineRule="exact"/>
        <w:rPr>
          <w:sz w:val="20"/>
          <w:szCs w:val="20"/>
          <w:color w:val="auto"/>
        </w:rPr>
      </w:pPr>
    </w:p>
    <w:tbl>
      <w:tblPr>
        <w:tblLayout w:type="fixed"/>
        <w:tblInd w:w="894" w:type="dxa"/>
        <w:tblCellMar>
          <w:top w:w="0" w:type="dxa"/>
          <w:left w:w="0" w:type="dxa"/>
          <w:bottom w:w="0" w:type="dxa"/>
          <w:right w:w="0" w:type="dxa"/>
        </w:tblCellMar>
      </w:tblPr>
      <w:tr>
        <w:trPr>
          <w:trHeight w:val="144"/>
        </w:trPr>
        <w:tc>
          <w:tcPr>
            <w:tcW w:w="1060" w:type="dxa"/>
            <w:vAlign w:val="bottom"/>
            <w:tcBorders>
              <w:top w:val="single" w:sz="8" w:color="auto"/>
              <w:left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Maximum</w:t>
            </w:r>
          </w:p>
        </w:tc>
        <w:tc>
          <w:tcPr>
            <w:tcW w:w="10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60" w:type="dxa"/>
            <w:vAlign w:val="bottom"/>
            <w:tcBorders>
              <w:left w:val="single" w:sz="8" w:color="auto"/>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3"/>
              </w:rPr>
              <w:t>Maximum</w:t>
            </w:r>
          </w:p>
        </w:tc>
        <w:tc>
          <w:tcPr>
            <w:tcW w:w="15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8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0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Class</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80" w:type="dxa"/>
            <w:vAlign w:val="bottom"/>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Price per</w:t>
            </w:r>
          </w:p>
        </w:tc>
        <w:tc>
          <w:tcPr>
            <w:tcW w:w="1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Fee</w:t>
            </w: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c>
          <w:tcPr>
            <w:tcW w:w="0" w:type="dxa"/>
            <w:vAlign w:val="bottom"/>
          </w:tcPr>
          <w:p>
            <w:pPr>
              <w:spacing w:after="0"/>
              <w:rPr>
                <w:sz w:val="1"/>
                <w:szCs w:val="1"/>
                <w:color w:val="auto"/>
              </w:rPr>
            </w:pPr>
          </w:p>
        </w:tc>
      </w:tr>
      <w:tr>
        <w:trPr>
          <w:trHeight w:val="174"/>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Type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Registered (1)</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Fee</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Ordinary</w:t>
            </w:r>
          </w:p>
        </w:tc>
        <w:tc>
          <w:tcPr>
            <w:tcW w:w="8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Shares (2)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w:t>
            </w: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Preferred</w:t>
            </w:r>
          </w:p>
        </w:tc>
        <w:tc>
          <w:tcPr>
            <w:tcW w:w="8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w:t>
            </w: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Warrants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w:t>
            </w:r>
          </w:p>
        </w:tc>
        <w:tc>
          <w:tcPr>
            <w:tcW w:w="10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Rights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w:t>
            </w:r>
          </w:p>
        </w:tc>
        <w:tc>
          <w:tcPr>
            <w:tcW w:w="10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Units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w:t>
            </w:r>
          </w:p>
        </w:tc>
        <w:tc>
          <w:tcPr>
            <w:tcW w:w="10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06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Unallocated</w:t>
            </w:r>
          </w:p>
        </w:tc>
        <w:tc>
          <w:tcPr>
            <w:tcW w:w="9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$147.60 per</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9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457(a)</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$1,000,000,000.00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$147,600.00</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4"/>
              </w:rPr>
              <w:t>Fees</w:t>
            </w:r>
          </w:p>
        </w:tc>
        <w:tc>
          <w:tcPr>
            <w:tcW w:w="11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3"/>
              </w:rPr>
              <w:t>Previously</w:t>
            </w:r>
          </w:p>
        </w:tc>
        <w:tc>
          <w:tcPr>
            <w:tcW w:w="11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2700" w:type="dxa"/>
            <w:vAlign w:val="bottom"/>
            <w:gridSpan w:val="4"/>
          </w:tcPr>
          <w:p>
            <w:pPr>
              <w:jc w:val="center"/>
              <w:ind w:right="256"/>
              <w:spacing w:after="0"/>
              <w:rPr>
                <w:sz w:val="20"/>
                <w:szCs w:val="20"/>
                <w:color w:val="auto"/>
              </w:rPr>
            </w:pPr>
            <w:r>
              <w:rPr>
                <w:rFonts w:ascii="Arial" w:cs="Arial" w:eastAsia="Arial" w:hAnsi="Arial"/>
                <w:sz w:val="18"/>
                <w:szCs w:val="18"/>
                <w:b w:val="1"/>
                <w:bCs w:val="1"/>
                <w:color w:val="auto"/>
                <w:w w:val="91"/>
              </w:rPr>
              <w:t>Total Offering Amounts</w:t>
            </w:r>
          </w:p>
        </w:tc>
        <w:tc>
          <w:tcPr>
            <w:tcW w:w="7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$147.60 per</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$1,000,000,000.00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$147,600.00</w:t>
            </w:r>
          </w:p>
        </w:tc>
        <w:tc>
          <w:tcPr>
            <w:tcW w:w="0" w:type="dxa"/>
            <w:vAlign w:val="bottom"/>
          </w:tcPr>
          <w:p>
            <w:pPr>
              <w:spacing w:after="0"/>
              <w:rPr>
                <w:sz w:val="1"/>
                <w:szCs w:val="1"/>
                <w:color w:val="auto"/>
              </w:rPr>
            </w:pPr>
          </w:p>
        </w:tc>
      </w:tr>
      <w:tr>
        <w:trPr>
          <w:trHeight w:val="239"/>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center"/>
              <w:ind w:right="276"/>
              <w:spacing w:after="0"/>
              <w:rPr>
                <w:sz w:val="20"/>
                <w:szCs w:val="20"/>
                <w:color w:val="auto"/>
              </w:rPr>
            </w:pPr>
            <w:r>
              <w:rPr>
                <w:rFonts w:ascii="Arial" w:cs="Arial" w:eastAsia="Arial" w:hAnsi="Arial"/>
                <w:sz w:val="18"/>
                <w:szCs w:val="18"/>
                <w:b w:val="1"/>
                <w:bCs w:val="1"/>
                <w:color w:val="auto"/>
                <w:w w:val="88"/>
              </w:rPr>
              <w:t>Total Fees Previously Paid</w:t>
            </w:r>
          </w:p>
        </w:tc>
        <w:tc>
          <w:tcPr>
            <w:tcW w:w="7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8"/>
                <w:szCs w:val="18"/>
                <w:b w:val="1"/>
                <w:bCs w:val="1"/>
                <w:color w:val="auto"/>
                <w:w w:val="88"/>
              </w:rPr>
              <w:t>Total Fee Offsets</w:t>
            </w: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8"/>
                <w:szCs w:val="18"/>
                <w:b w:val="1"/>
                <w:bCs w:val="1"/>
                <w:color w:val="auto"/>
                <w:w w:val="90"/>
              </w:rPr>
              <w:t>Net Fee Due</w:t>
            </w: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$147,600.00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40" w:hanging="424"/>
        <w:spacing w:after="0" w:line="291" w:lineRule="auto"/>
        <w:tabs>
          <w:tab w:leader="none" w:pos="424" w:val="left"/>
        </w:tabs>
        <w:numPr>
          <w:ilvl w:val="0"/>
          <w:numId w:val="80"/>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the registrant is also registering an indeterminate number of additional securities that may become issuable as a result of any stock dividend, stock split, recapitalization or other similar transaction.</w:t>
      </w:r>
    </w:p>
    <w:p>
      <w:pPr>
        <w:ind w:left="424" w:right="100" w:hanging="424"/>
        <w:spacing w:after="0" w:line="250" w:lineRule="auto"/>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ordinary shares will be represented by American Depositary Shares, or ADSs, each of which represents an underlying ordinary share of the registrant and will be registered pursuant to separate registration statements on Form F-6.</w:t>
      </w:r>
    </w:p>
    <w:p>
      <w:pPr>
        <w:ind w:left="424" w:right="20" w:hanging="424"/>
        <w:spacing w:after="0" w:line="250" w:lineRule="auto"/>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 are being registered hereunder such indeterminate number of the securities of each identified class being registered as may be sold by the registrant from time to time at indeterminate prices, with the maximum aggregate offering price not to exceed $1,000,000,000.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securities registered also include such indeterminate number of ordinary shares represented by ADSs upon exercise of warrants or pursuant to the anti-dilution provisions of any such securities.</w:t>
      </w:r>
    </w:p>
    <w:p>
      <w:pPr>
        <w:spacing w:after="0" w:line="2" w:lineRule="exact"/>
        <w:rPr>
          <w:rFonts w:ascii="Arial" w:cs="Arial" w:eastAsia="Arial" w:hAnsi="Arial"/>
          <w:sz w:val="18"/>
          <w:szCs w:val="18"/>
          <w:color w:val="auto"/>
        </w:rPr>
      </w:pPr>
    </w:p>
    <w:p>
      <w:pPr>
        <w:ind w:left="424" w:right="120" w:hanging="424"/>
        <w:spacing w:after="0" w:line="250" w:lineRule="auto"/>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unit of class of security will be determined from time to time by the registrant in connection with the issuance by the registrant of the securities registered hereunder and is not specified as to each class of security pursuant to General Instruction II.C. of Form F-3 under the Securities Act.</w:t>
      </w:r>
    </w:p>
    <w:p>
      <w:pPr>
        <w:spacing w:after="0" w:line="1" w:lineRule="exact"/>
        <w:rPr>
          <w:rFonts w:ascii="Arial" w:cs="Arial" w:eastAsia="Arial" w:hAnsi="Arial"/>
          <w:sz w:val="18"/>
          <w:szCs w:val="18"/>
          <w:color w:val="auto"/>
        </w:rPr>
      </w:pPr>
    </w:p>
    <w:p>
      <w:pPr>
        <w:ind w:left="424" w:right="60" w:hanging="424"/>
        <w:spacing w:after="0" w:line="323" w:lineRule="auto"/>
        <w:tabs>
          <w:tab w:leader="none" w:pos="424" w:val="left"/>
        </w:tabs>
        <w:numPr>
          <w:ilvl w:val="0"/>
          <w:numId w:val="80"/>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457(o) under the Securities Act. In no event will the aggregate offering price of all securities sold by the registrant from time to time pursuant to this registration statement exceed $1,000,000,000.</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1)"/>
      <w:numFmt w:val="lowerLetter"/>
      <w:start w:val="1"/>
    </w:lvl>
  </w:abstractNum>
  <w:abstractNum w:abstractNumId="11">
    <w:nsid w:val="4B588F54"/>
    <w:multiLevelType w:val="hybridMultilevel"/>
    <w:lvl w:ilvl="0">
      <w:lvlJc w:val="left"/>
      <w:lvlText w:val="(%1)"/>
      <w:numFmt w:val="decimal"/>
      <w:start w:val="1"/>
    </w:lvl>
    <w:lvl w:ilvl="1">
      <w:lvlJc w:val="left"/>
      <w:lvlText w:val="%2."/>
      <w:numFmt w:val="lowerLetter"/>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1)"/>
      <w:numFmt w:val="lowerLetter"/>
      <w:start w:val="25"/>
    </w:lvl>
  </w:abstractNum>
  <w:abstractNum w:abstractNumId="16">
    <w:nsid w:val="32FFF902"/>
    <w:multiLevelType w:val="hybridMultilevel"/>
    <w:lvl w:ilvl="0">
      <w:lvlJc w:val="left"/>
      <w:lvlText w:val="(%1)"/>
      <w:numFmt w:val="lowerLetter"/>
      <w:start w:val="2"/>
    </w:lvl>
  </w:abstractNum>
  <w:abstractNum w:abstractNumId="17">
    <w:nsid w:val="684A481A"/>
    <w:multiLevelType w:val="hybridMultilevel"/>
    <w:lvl w:ilvl="0">
      <w:lvlJc w:val="left"/>
      <w:lvlText w:val="(%1)"/>
      <w:numFmt w:val="lowerRoman"/>
      <w:start w:val="1"/>
    </w:lvl>
  </w:abstractNum>
  <w:abstractNum w:abstractNumId="18">
    <w:nsid w:val="579478FE"/>
    <w:multiLevelType w:val="hybridMultilevel"/>
    <w:lvl w:ilvl="0">
      <w:lvlJc w:val="left"/>
      <w:lvlText w:val="(%1)"/>
      <w:numFmt w:val="lowerLetter"/>
      <w:start w:val="1"/>
    </w:lvl>
  </w:abstractNum>
  <w:abstractNum w:abstractNumId="19">
    <w:nsid w:val="749ABB43"/>
    <w:multiLevelType w:val="hybridMultilevel"/>
    <w:lvl w:ilvl="0">
      <w:lvlJc w:val="left"/>
      <w:lvlText w:val="(%1)"/>
      <w:numFmt w:val="lowerLetter"/>
      <w:start w:val="1"/>
    </w:lvl>
  </w:abstractNum>
  <w:abstractNum w:abstractNumId="20">
    <w:nsid w:val="3DC240FB"/>
    <w:multiLevelType w:val="hybridMultilevel"/>
    <w:lvl w:ilvl="0">
      <w:lvlJc w:val="left"/>
      <w:lvlText w:val="(%1)"/>
      <w:numFmt w:val="lowerLetter"/>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1)"/>
      <w:numFmt w:val="lowerRoman"/>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1)"/>
      <w:numFmt w:val="lowerRoman"/>
      <w:start w:val="3"/>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lowerRoman"/>
      <w:start w:val="2"/>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lowerRoman"/>
      <w:start w:val="1"/>
    </w:lvl>
  </w:abstractNum>
  <w:abstractNum w:abstractNumId="45">
    <w:nsid w:val="77AE35EB"/>
    <w:multiLevelType w:val="hybridMultilevel"/>
    <w:lvl w:ilvl="0">
      <w:lvlJc w:val="left"/>
      <w:lvlText w:val="%1."/>
      <w:numFmt w:val="lowerRoman"/>
      <w:start w:val="2"/>
    </w:lvl>
  </w:abstractNum>
  <w:abstractNum w:abstractNumId="46">
    <w:nsid w:val="579BE4F1"/>
    <w:multiLevelType w:val="hybridMultilevel"/>
    <w:lvl w:ilvl="0">
      <w:lvlJc w:val="left"/>
      <w:lvlText w:val="%1)"/>
      <w:numFmt w:val="lowerLetter"/>
      <w:start w:val="2"/>
    </w:lvl>
  </w:abstractNum>
  <w:abstractNum w:abstractNumId="47">
    <w:nsid w:val="310C50B3"/>
    <w:multiLevelType w:val="hybridMultilevel"/>
    <w:lvl w:ilvl="0">
      <w:lvlJc w:val="left"/>
      <w:lvlText w:val="%1."/>
      <w:numFmt w:val="lowerRoman"/>
      <w:start w:val="1"/>
    </w:lvl>
  </w:abstractNum>
  <w:abstractNum w:abstractNumId="48">
    <w:nsid w:val="5FF87E05"/>
    <w:multiLevelType w:val="hybridMultilevel"/>
    <w:lvl w:ilvl="0">
      <w:lvlJc w:val="left"/>
      <w:lvlText w:val="%1."/>
      <w:numFmt w:val="lowerRoman"/>
      <w:start w:val="2"/>
    </w:lvl>
  </w:abstractNum>
  <w:abstractNum w:abstractNumId="49">
    <w:nsid w:val="2F305DEF"/>
    <w:multiLevelType w:val="hybridMultilevel"/>
    <w:lvl w:ilvl="0">
      <w:lvlJc w:val="left"/>
      <w:lvlText w:val="(%1)"/>
      <w:numFmt w:val="lowerRoman"/>
      <w:start w:val="2"/>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lowerRoman"/>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1)"/>
      <w:numFmt w:val="lowerRoman"/>
      <w:start w:val="2"/>
    </w:lvl>
    <w:lvl w:ilvl="1">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1)"/>
      <w:numFmt w:val="lowerRoman"/>
      <w:start w:val="3"/>
    </w:lvl>
  </w:abstractNum>
  <w:abstractNum w:abstractNumId="57">
    <w:nsid w:val="6590700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58">
    <w:nsid w:val="15014ACB"/>
    <w:multiLevelType w:val="hybridMultilevel"/>
    <w:lvl w:ilvl="0">
      <w:lvlJc w:val="left"/>
      <w:lvlText w:val="(%1)"/>
      <w:numFmt w:val="lowerRoman"/>
      <w:start w:val="2"/>
    </w:lvl>
  </w:abstractNum>
  <w:abstractNum w:abstractNumId="59">
    <w:nsid w:val="5F5E7FD0"/>
    <w:multiLevelType w:val="hybridMultilevel"/>
    <w:lvl w:ilvl="0">
      <w:lvlJc w:val="left"/>
      <w:lvlText w:val="(%1)"/>
      <w:numFmt w:val="decimal"/>
      <w:start w:val="2"/>
    </w:lvl>
  </w:abstractNum>
  <w:abstractNum w:abstractNumId="60">
    <w:nsid w:val="98A3148"/>
    <w:multiLevelType w:val="hybridMultilevel"/>
    <w:lvl w:ilvl="0">
      <w:lvlJc w:val="left"/>
      <w:lvlText w:val="(%1)"/>
      <w:numFmt w:val="upperLetter"/>
      <w:start w:val="1"/>
    </w:lvl>
  </w:abstractNum>
  <w:abstractNum w:abstractNumId="61">
    <w:nsid w:val="799D0247"/>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62">
    <w:nsid w:val="6B9476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63">
    <w:nsid w:val="42C296BD"/>
    <w:multiLevelType w:val="hybridMultilevel"/>
    <w:lvl w:ilvl="0">
      <w:lvlJc w:val="left"/>
      <w:lvlText w:val="(%1)"/>
      <w:numFmt w:val="lowerLetter"/>
      <w:start w:val="8"/>
    </w:lvl>
  </w:abstractNum>
  <w:abstractNum w:abstractNumId="64">
    <w:nsid w:val="168E121F"/>
    <w:multiLevelType w:val="hybridMultilevel"/>
    <w:lvl w:ilvl="0">
      <w:lvlJc w:val="left"/>
      <w:lvlText w:val="%1"/>
      <w:numFmt w:val="decimal"/>
      <w:start w:val="107"/>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lowerLetter"/>
      <w:start w:val="2"/>
    </w:lvl>
  </w:abstractNum>
  <w:abstractNum w:abstractNumId="69">
    <w:nsid w:val="7BD3EE7B"/>
    <w:multiLevelType w:val="hybridMultilevel"/>
    <w:lvl w:ilvl="0">
      <w:lvlJc w:val="left"/>
      <w:lvlText w:val="%1."/>
      <w:numFmt w:val="decimal"/>
      <w:start w:val="2"/>
    </w:lvl>
    <w:lvl w:ilvl="1">
      <w:lvlJc w:val="left"/>
      <w:lvlText w:val="(%2)"/>
      <w:numFmt w:val="lowerLetter"/>
      <w:start w:val="1"/>
    </w:lvl>
  </w:abstractNum>
  <w:abstractNum w:abstractNumId="70">
    <w:nsid w:val="51D9C564"/>
    <w:multiLevelType w:val="hybridMultilevel"/>
    <w:lvl w:ilvl="0">
      <w:lvlJc w:val="left"/>
      <w:lvlText w:val="(%1)"/>
      <w:numFmt w:val="lowerLetter"/>
      <w:start w:val="5"/>
    </w:lvl>
  </w:abstractNum>
  <w:abstractNum w:abstractNumId="71">
    <w:nsid w:val="613EFDC5"/>
    <w:multiLevelType w:val="hybridMultilevel"/>
    <w:lvl w:ilvl="0">
      <w:lvlJc w:val="left"/>
      <w:lvlText w:val="(%1)"/>
      <w:numFmt w:val="lowerLetter"/>
      <w:start w:val="13"/>
    </w:lvl>
  </w:abstractNum>
  <w:abstractNum w:abstractNumId="72">
    <w:nsid w:val="BF72B14"/>
    <w:multiLevelType w:val="hybridMultilevel"/>
    <w:lvl w:ilvl="0">
      <w:lvlJc w:val="left"/>
      <w:lvlText w:val="(%1)"/>
      <w:numFmt w:val="lowerLetter"/>
      <w:start w:val="21"/>
    </w:lvl>
  </w:abstractNum>
  <w:abstractNum w:abstractNumId="73">
    <w:nsid w:val="11447B73"/>
    <w:multiLevelType w:val="hybridMultilevel"/>
    <w:lvl w:ilvl="0">
      <w:lvlJc w:val="left"/>
      <w:lvlText w:val="(%1)"/>
      <w:numFmt w:val="lowerLetter"/>
      <w:start w:val="26"/>
    </w:lvl>
  </w:abstractNum>
  <w:abstractNum w:abstractNumId="74">
    <w:nsid w:val="42963E5A"/>
    <w:multiLevelType w:val="hybridMultilevel"/>
    <w:lvl w:ilvl="0">
      <w:lvlJc w:val="left"/>
      <w:lvlText w:val="(%1)"/>
      <w:numFmt w:val="lowerLetter"/>
      <w:start w:val="27"/>
    </w:lvl>
  </w:abstractNum>
  <w:abstractNum w:abstractNumId="75">
    <w:nsid w:val="A0382C5"/>
    <w:multiLevelType w:val="hybridMultilevel"/>
    <w:lvl w:ilvl="0">
      <w:lvlJc w:val="left"/>
      <w:lvlText w:val="%1"/>
      <w:numFmt w:val="decimal"/>
      <w:start w:val="1"/>
    </w:lvl>
    <w:lvl w:ilvl="1">
      <w:lvlJc w:val="left"/>
      <w:lvlText w:val="(%2)"/>
      <w:numFmt w:val="lowerLetter"/>
      <w:start w:val="33"/>
    </w:lvl>
  </w:abstractNum>
  <w:abstractNum w:abstractNumId="76">
    <w:nsid w:val="8F2B15E"/>
    <w:multiLevelType w:val="hybridMultilevel"/>
    <w:lvl w:ilvl="0">
      <w:lvlJc w:val="left"/>
      <w:lvlText w:val="%1."/>
      <w:numFmt w:val="decimal"/>
      <w:start w:val="4"/>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3"/>
    </w:lvl>
  </w:abstractNum>
  <w:abstractNum w:abstractNumId="78">
    <w:nsid w:val="3B0FD379"/>
    <w:multiLevelType w:val="hybridMultilevel"/>
    <w:lvl w:ilvl="0">
      <w:lvlJc w:val="left"/>
      <w:lvlText w:val="%1."/>
      <w:numFmt w:val="decimal"/>
      <w:start w:val="6"/>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jpe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jpe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30" Type="http://schemas.openxmlformats.org/officeDocument/2006/relationships/hyperlink" Target="http://www.sec.gov/ix?doc=/Archives/edgar/data/0001884082/000188408223000008/psny-20221231.htm" TargetMode="External"/><Relationship Id="rId31" Type="http://schemas.openxmlformats.org/officeDocument/2006/relationships/hyperlink" Target="http://www.sec.gov/Archives/edgar/data/1884082/000119312523141502/d502584d6k.htm" TargetMode="External"/><Relationship Id="rId32" Type="http://schemas.openxmlformats.org/officeDocument/2006/relationships/hyperlink" Target="http://www.sec.gov/Archives/edgar/data/1884082/000119312523169493/d484116d6k.htm" TargetMode="External"/><Relationship Id="rId33" Type="http://schemas.openxmlformats.org/officeDocument/2006/relationships/hyperlink" Target="http://www.sec.gov/Archives/edgar/data/1884082/000119312523226413/d687496d6k.htm" TargetMode="External"/><Relationship Id="rId34" Type="http://schemas.openxmlformats.org/officeDocument/2006/relationships/hyperlink" Target="http://www.sec.gov/ix?doc=/Archives/edgar/data/0001884082/000188408223000011/psny-20230630_d2.htm" TargetMode="External"/><Relationship Id="rId35" Type="http://schemas.openxmlformats.org/officeDocument/2006/relationships/hyperlink" Target="http://www.sec.gov/Archives/edgar/data/1884082/000188408223000008/polestar-ex211descriptiono.htm" TargetMode="External"/><Relationship Id="rId128" Type="http://schemas.openxmlformats.org/officeDocument/2006/relationships/hyperlink" Target="http://www.sec.gov/Archives/edgar/data/1884082/000119312522156731/d239003df4a.htm#tx239003_501" TargetMode="External"/><Relationship Id="rId129" Type="http://schemas.openxmlformats.org/officeDocument/2006/relationships/hyperlink" Target="http://www.sec.gov/Archives/edgar/data/1884082/000119312522156731/d239003df4a.htm#tx239003_601" TargetMode="External"/><Relationship Id="rId130" Type="http://schemas.openxmlformats.org/officeDocument/2006/relationships/hyperlink" Target="http://www.sec.gov/Archives/edgar/data/1884082/000119312522156731/d239003df4a.htm#tx239003_611" TargetMode="External"/><Relationship Id="rId131" Type="http://schemas.openxmlformats.org/officeDocument/2006/relationships/hyperlink" Target="http://www.sec.gov/Archives/edgar/data/1884082/000119312522156731/d239003df4a.htm#tx239003_1b" TargetMode="External"/><Relationship Id="rId132" Type="http://schemas.openxmlformats.org/officeDocument/2006/relationships/hyperlink" Target="http://www.sec.gov/Archives/edgar/data/1847127/000119312522182018/d371785dex41.htm" TargetMode="External"/><Relationship Id="rId133" Type="http://schemas.openxmlformats.org/officeDocument/2006/relationships/hyperlink" Target="http://www.sec.gov/Archives/edgar/data/1472033/000119380522001222/e621791_ex99-a.htm" TargetMode="External"/><Relationship Id="rId134" Type="http://schemas.openxmlformats.org/officeDocument/2006/relationships/hyperlink" Target="http://www.sec.gov/Archives/edgar/data/1884082/000119312522085479/d239003dex42.htm" TargetMode="External"/><Relationship Id="rId135" Type="http://schemas.openxmlformats.org/officeDocument/2006/relationships/hyperlink" Target="http://www.sec.gov/Archives/edgar/data/1847127/000119312522182018/d371785dex41.htm#:~:text=Execution%20Copy-,CLASS%20C%2D1%20DEPOSIT%20AGREEMENT,-by%20and%20among" TargetMode="External"/><Relationship Id="rId136" Type="http://schemas.openxmlformats.org/officeDocument/2006/relationships/hyperlink" Target="http://www.sec.gov/Archives/edgar/data/1884082/000119312522085479/d23900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2023-10-10T15:38:56Z</dcterms:created>
  <dcterms:modified xsi:type="dcterms:W3CDTF">2023-10-10T15:38:56Z</dcterms:modified>
</cp:coreProperties>
</file>