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by Polestar Automotive Holding UK Limited</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6"/>
          <w:szCs w:val="16"/>
          <w:b w:val="1"/>
          <w:bCs w:val="1"/>
          <w:color w:val="auto"/>
        </w:rPr>
        <w:t>(Commission File No. 001-40265)</w:t>
      </w:r>
    </w:p>
    <w:p>
      <w:pPr>
        <w:sectPr>
          <w:pgSz w:w="11900" w:h="16838" w:orient="portrait"/>
          <w:cols w:equalWidth="0" w:num="1">
            <w:col w:w="10020"/>
          </w:cols>
          <w:pgMar w:left="1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Social media posts: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 January 11, 2022, the following communication was made available by Thomas Ingenlath, CEO of Polestar, on Twitter: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“Great end to an exciting year, seeing Polestar reach our global sales target of 29,000 sold cars sold. Next step: new markets and product line up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2022. (link to release: </w:t>
      </w:r>
      <w:r>
        <w:rPr>
          <w:rFonts w:ascii="Arial" w:cs="Arial" w:eastAsia="Arial" w:hAnsi="Arial"/>
          <w:sz w:val="18"/>
          <w:szCs w:val="18"/>
          <w:i w:val="1"/>
          <w:iCs w:val="1"/>
          <w:u w:val="single" w:color="auto"/>
          <w:color w:val="auto"/>
        </w:rPr>
        <w:t>https://media.polestar.com/global/en/media/pressreleases/644082)”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 January 11, 2022, the following communication was made available by Thomas Ingenlath, CEO of Polestar, on LinkekIn:</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 xml:space="preserve">“Thanks to the dedication of all our Polestar employees, we had a great end to an exciting year and saw Polestar reach our global sales target of 29,000 sold cars sold. 2021 was also the year we doubled our retail footprint to 100 global locations. Next step: new markets and product line up in 2022. (link to release: </w:t>
      </w:r>
      <w:r>
        <w:rPr>
          <w:rFonts w:ascii="Arial" w:cs="Arial" w:eastAsia="Arial" w:hAnsi="Arial"/>
          <w:sz w:val="18"/>
          <w:szCs w:val="18"/>
          <w:i w:val="1"/>
          <w:iCs w:val="1"/>
          <w:u w:val="single" w:color="auto"/>
          <w:color w:val="auto"/>
        </w:rPr>
        <w:t>https://media.polestar.com/global/en/media/pressreleases/644082)</w:t>
      </w:r>
      <w:r>
        <w:rPr>
          <w:rFonts w:ascii="Arial" w:cs="Arial" w:eastAsia="Arial" w:hAnsi="Arial"/>
          <w:sz w:val="18"/>
          <w:szCs w:val="18"/>
          <w:i w:val="1"/>
          <w:iCs w:val="1"/>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8" w:lineRule="exact"/>
        <w:rPr>
          <w:sz w:val="20"/>
          <w:szCs w:val="20"/>
          <w:color w:val="auto"/>
        </w:rPr>
      </w:pPr>
    </w:p>
    <w:p>
      <w:pPr>
        <w:ind w:right="620"/>
        <w:spacing w:after="0" w:line="311" w:lineRule="auto"/>
        <w:rPr>
          <w:sz w:val="20"/>
          <w:szCs w:val="20"/>
          <w:color w:val="auto"/>
        </w:rPr>
      </w:pPr>
      <w:r>
        <w:rPr>
          <w:rFonts w:ascii="Arial" w:cs="Arial" w:eastAsia="Arial" w:hAnsi="Arial"/>
          <w:sz w:val="16"/>
          <w:szCs w:val="16"/>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w:t>
      </w:r>
    </w:p>
    <w:p>
      <w:pPr>
        <w:sectPr>
          <w:pgSz w:w="11900" w:h="16838" w:orient="portrait"/>
          <w:cols w:equalWidth="0" w:num="1">
            <w:col w:w="10960"/>
          </w:cols>
          <w:pgMar w:left="440" w:top="274" w:right="499" w:bottom="1440" w:gutter="0" w:footer="0" w:header="0"/>
        </w:sectPr>
      </w:pPr>
    </w:p>
    <w:bookmarkStart w:id="2" w:name="page3"/>
    <w:bookmarkEnd w:id="2"/>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could give rise to the termination of definitive agreements with respect 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w:t>
      </w:r>
    </w:p>
    <w:p>
      <w:pPr>
        <w:spacing w:after="0" w:line="11" w:lineRule="exact"/>
        <w:rPr>
          <w:sz w:val="20"/>
          <w:szCs w:val="20"/>
          <w:color w:val="auto"/>
        </w:rPr>
      </w:pPr>
    </w:p>
    <w:p>
      <w:pPr>
        <w:ind w:left="4" w:right="20" w:hanging="4"/>
        <w:spacing w:after="0" w:line="252" w:lineRule="auto"/>
        <w:tabs>
          <w:tab w:leader="none" w:pos="349"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 the global COVID-19 pandemic on Gores Guggenheim, the Company, the Company’s post business combination’s projected results of operations,</w:t>
      </w:r>
    </w:p>
    <w:p>
      <w:pPr>
        <w:sectPr>
          <w:pgSz w:w="11900" w:h="16838" w:orient="portrait"/>
          <w:cols w:equalWidth="0" w:num="1">
            <w:col w:w="11004"/>
          </w:cols>
          <w:pgMar w:left="436" w:top="274" w:right="459" w:bottom="1440" w:gutter="0" w:footer="0" w:header="0"/>
        </w:sectPr>
      </w:pPr>
    </w:p>
    <w:bookmarkStart w:id="3" w:name="page4"/>
    <w:bookmarkEnd w:id="3"/>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Registration/Proxy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connection with the proposed Business Combination, (i)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or by directing a request to: Gores Guggenheim, Inc., 6260 Lookout Rd., Boulder, CO 80301, attention: Jennifer Kwon Chou.</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ectPr>
          <w:pgSz w:w="11900" w:h="16838" w:orient="portrait"/>
          <w:cols w:equalWidth="0" w:num="1">
            <w:col w:w="11000"/>
          </w:cols>
          <w:pgMar w:left="440"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or by directing a request to Gores Guggenheim, Inc., 6260 Lookout Rd., Boulder, CO 80301, attention: Jennifer Kwon Chou. Additional information regarding the interests of such participants is contained in the Registration/Proxy Statement.</w:t>
      </w:r>
    </w:p>
    <w:p>
      <w:pPr>
        <w:spacing w:after="0" w:line="16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2022-01-11T15:48:12Z</dcterms:created>
  <dcterms:modified xsi:type="dcterms:W3CDTF">2022-01-11T15:48:12Z</dcterms:modified>
</cp:coreProperties>
</file>