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40"/>
        <w:spacing w:after="0" w:line="207" w:lineRule="exact"/>
        <w:tabs>
          <w:tab w:leader="none" w:pos="59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0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30, 2025, Polestar Automotive Holding UK PLC (“Polestar”) issued a press release that provides an update on guidance and expected timing for the filing of the annual report on Form 20-F for the year ended December 31, 2024. A copy of the press release is attached hereto as Exhibit 99.1.</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80" w:type="dxa"/>
            <w:vAlign w:val="bottom"/>
            <w:gridSpan w:val="2"/>
          </w:tcPr>
          <w:p>
            <w:pPr>
              <w:ind w:left="35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2"/>
          </w:tcPr>
          <w:p>
            <w:pPr>
              <w:ind w:left="40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1"/>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of Polestar Automotive Holding UK PLC, dated April 30, 2025.</w:t>
            </w:r>
          </w:p>
        </w:tc>
      </w:tr>
      <w:tr>
        <w:trPr>
          <w:trHeight w:val="453"/>
        </w:trPr>
        <w:tc>
          <w:tcPr>
            <w:tcW w:w="320" w:type="dxa"/>
            <w:vAlign w:val="bottom"/>
            <w:tcBorders>
              <w:top w:val="single" w:sz="8" w:color="0000EE"/>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640" w:type="dxa"/>
            <w:vAlign w:val="bottom"/>
            <w:tcBorders>
              <w:top w:val="single" w:sz="8" w:color="0000EE"/>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2025</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Lohscheller</w:t>
            </w:r>
          </w:p>
        </w:tc>
      </w:tr>
      <w:tr>
        <w:trPr>
          <w:trHeight w:val="191"/>
        </w:trPr>
        <w:tc>
          <w:tcPr>
            <w:tcW w:w="3560" w:type="dxa"/>
            <w:vAlign w:val="bottom"/>
          </w:tcPr>
          <w:p>
            <w:pPr>
              <w:spacing w:after="0"/>
              <w:rPr>
                <w:sz w:val="16"/>
                <w:szCs w:val="16"/>
                <w:color w:val="auto"/>
              </w:rPr>
            </w:pPr>
          </w:p>
        </w:tc>
        <w:tc>
          <w:tcPr>
            <w:tcW w:w="264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Lohscheller</w:t>
            </w:r>
          </w:p>
        </w:tc>
      </w:tr>
      <w:tr>
        <w:trPr>
          <w:trHeight w:val="234"/>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2025</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Jean-François Mady</w:t>
            </w:r>
          </w:p>
        </w:tc>
      </w:tr>
      <w:tr>
        <w:trPr>
          <w:trHeight w:val="191"/>
        </w:trPr>
        <w:tc>
          <w:tcPr>
            <w:tcW w:w="3560" w:type="dxa"/>
            <w:vAlign w:val="bottom"/>
          </w:tcPr>
          <w:p>
            <w:pPr>
              <w:spacing w:after="0"/>
              <w:rPr>
                <w:sz w:val="16"/>
                <w:szCs w:val="16"/>
                <w:color w:val="auto"/>
              </w:rPr>
            </w:pPr>
          </w:p>
        </w:tc>
        <w:tc>
          <w:tcPr>
            <w:tcW w:w="264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Jean-François Mady</w:t>
            </w:r>
          </w:p>
        </w:tc>
      </w:tr>
      <w:tr>
        <w:trPr>
          <w:trHeight w:val="234"/>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242695" cy="283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4269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provides updates on financial guidance for 2025 and 2024 20-F</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GOTHENBURG, SWEDEN – 30 April 2025 – </w:t>
      </w:r>
      <w:r>
        <w:rPr>
          <w:rFonts w:ascii="Times New Roman" w:cs="Times New Roman" w:eastAsia="Times New Roman" w:hAnsi="Times New Roman"/>
          <w:sz w:val="18"/>
          <w:szCs w:val="18"/>
          <w:color w:val="auto"/>
        </w:rPr>
        <w:t>Polestar (Nasdaq: PSNY) today filed a notice with the U.S. Securities and Exchange Commission (SEC)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stating it needs additional time to complete work for its 2024 annual report. The annual report for 2024 on Form 20-F is now expected to be filed before or on May 14, 2025.</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 momentum in transforming our commercial operations and a favorable shift in the product mix towards higher margin models are expected to drive improvement in the gross margin through 2025. At the same time, the Company continues to implement further efficiencies across the organization to reduce costs.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current uncertainty surrounding international tariffs and government regulations impacting Polestar’s business and market dynamics, Polestar is pausing its financial guidance for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continues to target compound annual retail sales volume growth of 30-35% for 2025 to 2027.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Calendar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Polestar expects to publish Q1 2025 select financial results in May 2025 and host a conference call; further details will be available under Events on the Polestar Investor Relations website in due course.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Gavrilova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anna.gavrilova@polestar.com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theo.kjellberg@polestar.com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Polestar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Polestar (Nasdaq: PSNY) is the Swedish electric performance car brand with a focus on uncompromised design and innovation, and the ambition to accelerate the change towards a sustainable future. Headquartered in Gothenburg, Sweden, its cars are available in 27 markets globally across North America, Europe and Asia Pacific.</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Polestar has three models in its line-up: Polestar 2, Polestar 3, and Polestar 4. Planned models include the Polestar 5 four-door GT (to be introduced in 2025), the Polestar 6 roadster and the Polestar 7 compact SUV. With its vehicles currently manufactured on two continents, North America and Asia, Polestar plans to diversify its manufacturing footprint further, with production of Polestar 7 planned in Europe.</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242695"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42695" cy="283210"/>
                    </a:xfrm>
                    <a:prstGeom prst="rect">
                      <a:avLst/>
                    </a:prstGeom>
                    <a:noFill/>
                  </pic:spPr>
                </pic:pic>
              </a:graphicData>
            </a:graphic>
          </wp:anchor>
        </w:drawing>
      </w:r>
    </w:p>
    <w:p>
      <w:pPr>
        <w:jc w:val="both"/>
        <w:spacing w:after="0" w:line="266" w:lineRule="auto"/>
        <w:rPr>
          <w:sz w:val="20"/>
          <w:szCs w:val="20"/>
          <w:color w:val="auto"/>
        </w:rPr>
      </w:pPr>
      <w:r>
        <w:rPr>
          <w:rFonts w:ascii="Times New Roman" w:cs="Times New Roman" w:eastAsia="Times New Roman" w:hAnsi="Times New Roman"/>
          <w:sz w:val="18"/>
          <w:szCs w:val="18"/>
          <w:color w:val="auto"/>
        </w:rPr>
        <w:t>Polestar has an unwavering commitment to sustainability and has set an ambitious roadmap to reach its climate targets: halve greenhouse gas emissions by 2030 per-vehicle-sold and become climate-neutral across its value chain by 2040. Polestar’s comprehensive sustainability strategy covers the four areas of Climate, Transparency, Circularity, and Inclusion.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margins, cash flow break-even and other financial or operating metrics and statements regarding expectations of future needs for funding and plans related thereto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242695" cy="283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42695" cy="283210"/>
                    </a:xfrm>
                    <a:prstGeom prst="rect">
                      <a:avLst/>
                    </a:prstGeom>
                    <a:noFill/>
                  </pic:spPr>
                </pic:pic>
              </a:graphicData>
            </a:graphic>
          </wp:anchor>
        </w:drawing>
      </w:r>
    </w:p>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w:t>
      </w:r>
    </w:p>
    <w:p>
      <w:pPr>
        <w:jc w:val="both"/>
        <w:ind w:firstLine="8"/>
        <w:spacing w:after="0" w:line="250" w:lineRule="auto"/>
        <w:tabs>
          <w:tab w:leader="none" w:pos="26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enter into or maintain agreements or partnerships with its strategic partners, including Volvo Cars and Geely, original equipment manufacturers, vendors and technology providers; (2) Polestar’s ability to maintain relationships with its existing suppliers, source new suppliers for its critical components and enter into longer term supply contracts and complete building out its supply chain; (3) Polestar’s ability to raise additional funding;</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successfully execute cost-cutting activities and strategic efficiency initiatives; (5) Polestar’s estimates of expenses, profitability, gross margin, cash flow, and cash reserves; (6) the identification and remediation of accounting errors and/or a final assessment of errors already identified that differs significantly from Polestar’s preliminary view of such errors and the successful filing of restatements of any SEC reports; (7) Polestar’s ability to continue to meet stock exchange listing standards; (8) changes in domestic and foreign business, market, financial, political and legal conditions;</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8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Polestar’s vehicles or car sale volumes, revenue and margin development based on pricing, variant and market mix, cost reduction efficiencies, logistics and growing aftersales; (10) delays in the expected timelines for the development, design, manufacture, launch and financing of Polestar’s vehicles and Polestar’s reliance on a limited number of vehicle models to generate revenues; (11) increases in costs, disruption of supply or shortage of materials, in particular for lithium-ion cells or semiconductors; (12) risks related to product recalls, regulatory fines and/or an unexpectedly high volume of warranty claims; (13)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(14) the ability of Polestar to grow and manage growth profitably, maintain relationships with customers and suppliers and retain its management and key employees; (15) risks related to future market adoption of Polestar’s offerings; (16) risks related to Polestar’s current distribution model and the evolution of its distribution model in the future; (17) the effects of competition and the high barriers to entry in the automotive industry and the pace and depth of electric vehicle adoption generally on Polestar’s future business; (18) changes in regulatory requirements (including environmental laws and regulations and regulations related to connected vehicles), governmental incentives, tariffs and fuel and energy prices; (19) Polestar’s reliance on the development of vehicle charging networks to provide charging solutions for its vehicles and its strategic partners for servicing its vehicles and their integrated software; (20) Polestar’s ability to establish its brand and capture additional market share, and the risks associated with negative press or reputational harm, including from electric vehicle fires; (21) the outcome of any potential litigation, including litigation involving Polestar and Gores Guggenheim, Inc., government and regulatory proceedings, tax audits, investigations and inquiries; (22) Polestar’s ability to continuously and rapidly innovate, develop and market new products; (23) the impact of the ongoing conflict between Ukraine and Russia and in Israel, the Gaza Strip and the Red Sea; and (24)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1)"/>
      <w:numFmt w:val="decimal"/>
      <w:start w:val="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2025-04-30T07:08:31Z</dcterms:created>
  <dcterms:modified xsi:type="dcterms:W3CDTF">2025-04-30T07:08:31Z</dcterms:modified>
</cp:coreProperties>
</file>