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February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 Press Release</w:t>
      </w:r>
    </w:p>
    <w:p>
      <w:pPr>
        <w:spacing w:after="0" w:line="121" w:lineRule="exact"/>
        <w:rPr>
          <w:sz w:val="20"/>
          <w:szCs w:val="20"/>
          <w:color w:val="auto"/>
        </w:rPr>
      </w:pPr>
    </w:p>
    <w:p>
      <w:pPr>
        <w:ind w:right="180" w:firstLine="440"/>
        <w:spacing w:after="0" w:line="312" w:lineRule="auto"/>
        <w:rPr>
          <w:sz w:val="20"/>
          <w:szCs w:val="20"/>
          <w:color w:val="auto"/>
        </w:rPr>
      </w:pPr>
      <w:r>
        <w:rPr>
          <w:rFonts w:ascii="Times New Roman" w:cs="Times New Roman" w:eastAsia="Times New Roman" w:hAnsi="Times New Roman"/>
          <w:sz w:val="17"/>
          <w:szCs w:val="17"/>
          <w:color w:val="auto"/>
        </w:rPr>
        <w:t>On February 28, 2024, Polestar issued a press release announcing it had secured external funding under the Facilities Agreement (as described below) and giving a business update and announcing its outlook for the 2024 fiscal year. A copy of the press release is attached hereto as Exhibit 99.1.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Term Loan Facilities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February 22, 2024, Polestar Automotive Holding UK PLC (“Polestar”), as Borrower, entered into the EUR 340,000,000 and USD 583,489,000 multicurrency green term loan facilities, (“Facility A” and “Facility B” respectively, and together, the “Facilities”) among, amongst others, the Original Lenders (as defined in the agreement (the “Facilities Agreement”)) and Standard Chartered Bank as security agent and agent (“Agent”). Polestar drew down on each of Facility A and Facility B on February 28, 2024. Capitalized terms used herein and not otherwise defined herein shall have the respective meanings set forth in the Facilities Agreement.</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Facilities consist of two committed term loan facilities denominated in Euros and US Dollars, which are available for financing or refinancing of investments and expenditure incurred by Polestar and Group Members in the design, manufacturing, sales, and related administrative and operational activities of electric, hydrogen, or hybrid vehicles, including in each case by way of on-lending to, or equity injection into, any other Group Member; and/or payment of fees and expenses (including the funding of any Interest Reserve Amount) related to the Facilities. The Facilities will terminate on the date which is 36 Months after the Initial Utilisation Date, and provided that, if such date is not a Business Day, the Termination Date shall be the immediately preceding Business Day (the “Termination Date”), and the Facilities are required to be repaid on the Termination Date. Prior to the Termination Date Polestar may not reborrow any part of the Facilities, which has been repaid.</w:t>
      </w:r>
    </w:p>
    <w:p>
      <w:pPr>
        <w:spacing w:after="0" w:line="18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2023, and (i) each date falling on the last day of each financial year thereafter, Polestar is required to ensure compliance with the Consolidated Revenue of the Group and the Capex Limit (subject to certain rollovers for unused amounts), undertakings set out in clause 22.2(a) of the Facilities Agreement; and (ii) each date falling on the last day of each financial quarter thereafter, Polestar is required to ensure compliance with the Group Cash, Group Cash Equivalent Investments and Available Credit available to any Group Member, the Consolidated Group Secured Financial Indebtedness, the Consolidated Group Financial Indebtedness and ratio of Consolidated Group Financial Indebtedness to Consolidated Group Assets undertakings set out in clause 22.2(a)-(e) of the Facilities Agreement.</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interest rate applicable to borrowings under Facility A is EURIBOR and subject to a zero floor plus 2.85% and Facility B is CME Term SOFR and subject to a zero floor plus 3.35%. The interest period of a Loan may be one (1), three (3) or six (6) Months or any period that the Agent (acting on the instructions of all Lenders), and default interest is calculated as an additional 2% on the overdue amount. Polestar may voluntarily prepay loans or reduce commitments under the Facilities, in whole or in part, subject to minimum amounts and subject to any Break Costs, with prior notice but without premium or penalty. Polestar may be required to prepay the loans on the occurrence of: (i) a change of control; (ii) illegality; (iii) certain disposals (subject to certain customary qualifications, exceptions and baskets).</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Polestar’s obligations under the Facilities Agreement are guaranteed by Polestar Performance AB and secured by the Security Documents. Two indirect shareholders of Polestar provided Letters of Comfort. Zhejiang Geely Holding Group Co., LTD. (the Keepwell Provider) has entered into a Keepwell Deed in connection with the Facilities. The Facilities Agreement contains negative covenants, including, but not limited to a negative pledge and restrictions on the Obligors’ ability to make certain Disposal. The Facilities Agreement also contains certain affirmative covenants, including, but not limited to, certain information undertakings and access to premises and management.</w:t>
      </w:r>
    </w:p>
    <w:p>
      <w:pPr>
        <w:sectPr>
          <w:pgSz w:w="11900" w:h="16838" w:orient="portrait"/>
          <w:cols w:equalWidth="0" w:num="1">
            <w:col w:w="11000"/>
          </w:cols>
          <w:pgMar w:left="440" w:top="266" w:right="459" w:bottom="1440" w:gutter="0" w:footer="0" w:header="0"/>
        </w:sectPr>
      </w:pPr>
    </w:p>
    <w:bookmarkStart w:id="2" w:name="page3"/>
    <w:bookmarkEnd w:id="2"/>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Facilities Agreement contains certain customary representations and warranties, subject to certain customary materiality, knowledge and other qualifications, exceptions and baskets, and with certain representations and warranties being repeated, including: (i) status; (ii) binding obligations; (iii) non-conflict with constitutional documents, laws or other obligations; (iv) power and authority; (v) validity and admissibility in evidence;</w:t>
      </w:r>
    </w:p>
    <w:p>
      <w:pPr>
        <w:spacing w:after="0" w:line="2" w:lineRule="exact"/>
        <w:rPr>
          <w:sz w:val="20"/>
          <w:szCs w:val="20"/>
          <w:color w:val="auto"/>
        </w:rPr>
      </w:pPr>
    </w:p>
    <w:p>
      <w:pPr>
        <w:ind w:left="304" w:hanging="304"/>
        <w:spacing w:after="0"/>
        <w:tabs>
          <w:tab w:leader="none" w:pos="30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and enforcement; (vii) insolvency; (viii) deduction of tax; (ix) no filing or stamp duties; (x) no default (xi) no misleading information</w:t>
      </w:r>
    </w:p>
    <w:p>
      <w:pPr>
        <w:spacing w:after="0" w:line="9" w:lineRule="exact"/>
        <w:rPr>
          <w:rFonts w:ascii="Times New Roman" w:cs="Times New Roman" w:eastAsia="Times New Roman" w:hAnsi="Times New Roman"/>
          <w:sz w:val="18"/>
          <w:szCs w:val="18"/>
          <w:color w:val="auto"/>
        </w:rPr>
      </w:pPr>
    </w:p>
    <w:p>
      <w:pPr>
        <w:ind w:left="4" w:right="160" w:hanging="4"/>
        <w:spacing w:after="0" w:line="250" w:lineRule="auto"/>
        <w:tabs>
          <w:tab w:leader="none" w:pos="3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(xiii) pari passu ranking; (xiv) no proceedings; (xv) no breach of laws; (xvi) environmental laws; (xvii) taxation; (xviii) anti-corruption and anti-money laundering; (xix) sanctions; (xx) good title to assets; (xxi) legal and beneficial ownership; (xxii) group structure chart;</w:t>
      </w:r>
    </w:p>
    <w:p>
      <w:pPr>
        <w:ind w:left="4" w:right="980" w:hanging="4"/>
        <w:spacing w:after="0" w:line="260" w:lineRule="auto"/>
        <w:tabs>
          <w:tab w:leader="none" w:pos="4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adverse consequences; (xxiv) centre of main interest and establishments; (xxv) authorised signatories; and (xxvi) each green loan representation (not all of these repeat).</w:t>
      </w:r>
    </w:p>
    <w:p>
      <w:pPr>
        <w:spacing w:after="0" w:line="181"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The Facilities Agreement provides that, upon the occurrence of an event of default, which is continuing, the Obligors’ obligations thereunder may be accelerated. Such events of default include the following events, subject to customary qualifications, exceptions, baskets and carve outs: (i) payment defaults on any amount payable by any Obligor or the Keepwell Provider pursuant to the Finance Documents (ii) a breach by an Obligor, the Keepwell Provider or a Subordinated Creditor of the terms of the Finance Documents; (iii) a misrepresentation by any Obligor, the Keepwell Provider or a Subordinated Creditor; (v) cross default for any financial indebtedness of any Group Member, Geely Automobile Holdings Limited, Geely International (Hong Kong) Limited, the Keepwell Provider or any other Obligor; (vi) if any insolvency or insolvency proceedings are entered into in respect of any Obligor, the Keepwell Provider and any Group Member; (vii) certain changes to the listing status of Polestar; and (viii) other customary events of default. The Facilities are governed by English law.</w:t>
      </w:r>
    </w:p>
    <w:p>
      <w:pPr>
        <w:spacing w:after="0" w:line="192"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A copy of the Facilities Agreement is included in this Report on Form 6-K as Exhibit 10.1 and the foregoing description of the Facilities and the Facilities Agreement are qualified in its entirety by reference thereto.</w:t>
      </w:r>
    </w:p>
    <w:p>
      <w:pPr>
        <w:spacing w:after="0" w:line="162"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Exhibit 10.1 shall be deemed to be incorporated by reference into Polestar’s registration statement on Form S-8 (File No: 333-267146), registration statement on Form F-3 (File No. 333-266101) and registration statement on Form F-3 (File No. 333-274918) and to be a part thereof from the date on which this report is submitted, to the extent not superseded by documents or reports subsequently filed or furnished.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004"/>
          </w:cols>
          <w:pgMar w:left="436" w:top="270"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39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2640" w:type="dxa"/>
            <w:vAlign w:val="bottom"/>
          </w:tcPr>
          <w:p>
            <w:pPr>
              <w:jc w:val="center"/>
              <w:ind w:right="21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980" w:type="dxa"/>
            <w:vAlign w:val="bottom"/>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640" w:type="dxa"/>
            <w:vAlign w:val="bottom"/>
          </w:tcPr>
          <w:p>
            <w:pPr>
              <w:jc w:val="center"/>
              <w:ind w:right="2108"/>
              <w:spacing w:after="0"/>
              <w:rPr>
                <w:sz w:val="20"/>
                <w:szCs w:val="20"/>
                <w:color w:val="auto"/>
              </w:rPr>
            </w:pPr>
            <w:r>
              <w:rPr>
                <w:rFonts w:ascii="Times New Roman" w:cs="Times New Roman" w:eastAsia="Times New Roman" w:hAnsi="Times New Roman"/>
                <w:sz w:val="14"/>
                <w:szCs w:val="14"/>
                <w:b w:val="1"/>
                <w:bCs w:val="1"/>
                <w:color w:val="auto"/>
              </w:rPr>
              <w:t>No.</w:t>
            </w:r>
          </w:p>
        </w:tc>
        <w:tc>
          <w:tcPr>
            <w:tcW w:w="3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880" w:right="26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Facilities Agreement by and among Polestar Automotive Holding UK PLC, Standard Chartered Bank and the Original Lenders named therein, dated February 22, 2024</w:t>
      </w:r>
    </w:p>
    <w:p>
      <w:pPr>
        <w:spacing w:after="0" w:line="54" w:lineRule="exact"/>
        <w:rPr>
          <w:sz w:val="20"/>
          <w:szCs w:val="20"/>
          <w:color w:val="auto"/>
        </w:rPr>
      </w:pPr>
    </w:p>
    <w:p>
      <w:pPr>
        <w:ind w:left="88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Polestar Automotive Holding UK PLC, dated February 28, 2024, titled “Polestar secures USD 1 billion external funding; business outlook confirmed”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information has been redacted from this exhibit pursuant to Item 601(b)(10) of Regulation S-K.</w:t>
      </w:r>
    </w:p>
    <w:p>
      <w:pPr>
        <w:sectPr>
          <w:pgSz w:w="11900" w:h="16838" w:orient="portrait"/>
          <w:cols w:equalWidth="0" w:num="1">
            <w:col w:w="10820"/>
          </w:cols>
          <w:pgMar w:left="440" w:top="266" w:right="6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 Ansgar</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Certain identified information marked with “[***]” has been omitted from this document because it is both (i) not material and (ii)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107124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245"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457200</wp:posOffset>
            </wp:positionV>
            <wp:extent cx="6155055" cy="1337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505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u w:val="single" w:color="auto"/>
          <w:color w:val="auto"/>
        </w:rPr>
        <w:t>22 February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NATIXIS, HONG KONG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CHARTERED BANK</w:t>
      </w:r>
    </w:p>
    <w:p>
      <w:pPr>
        <w:spacing w:after="0" w:line="9" w:lineRule="exact"/>
        <w:rPr>
          <w:sz w:val="20"/>
          <w:szCs w:val="20"/>
          <w:color w:val="auto"/>
        </w:rPr>
      </w:pPr>
    </w:p>
    <w:p>
      <w:pPr>
        <w:ind w:right="5200"/>
        <w:spacing w:after="0" w:line="265" w:lineRule="auto"/>
        <w:rPr>
          <w:sz w:val="20"/>
          <w:szCs w:val="20"/>
          <w:color w:val="auto"/>
        </w:rPr>
      </w:pPr>
      <w:r>
        <w:rPr>
          <w:rFonts w:ascii="Times New Roman" w:cs="Times New Roman" w:eastAsia="Times New Roman" w:hAnsi="Times New Roman"/>
          <w:sz w:val="17"/>
          <w:szCs w:val="17"/>
          <w:color w:val="auto"/>
        </w:rPr>
        <w:t>THE HONGKONG AND SHANGHAI BANKING CORPORATION LIMITED BANCO BILBAO VIZCAYA ARGENTARIA, S.A., LONDON BRANCH</w:t>
      </w:r>
    </w:p>
    <w:p>
      <w:pPr>
        <w:ind w:right="380"/>
        <w:spacing w:after="0" w:line="250" w:lineRule="auto"/>
        <w:rPr>
          <w:sz w:val="20"/>
          <w:szCs w:val="20"/>
          <w:color w:val="auto"/>
        </w:rPr>
      </w:pPr>
      <w:r>
        <w:rPr>
          <w:rFonts w:ascii="Times New Roman" w:cs="Times New Roman" w:eastAsia="Times New Roman" w:hAnsi="Times New Roman"/>
          <w:sz w:val="18"/>
          <w:szCs w:val="18"/>
          <w:color w:val="auto"/>
        </w:rPr>
        <w:t>SHANGHAI PUDONG DEVELOPMENT BANK CO., LTD. (acting through its Offshore Banking Unit) (a company incorporated in the PRC with limited liability)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CRÉDIT AGRICOLE CORPORATE AND INVESTMENT BANK</w:t>
      </w:r>
    </w:p>
    <w:p>
      <w:pPr>
        <w:spacing w:after="0" w:line="9" w:lineRule="exact"/>
        <w:rPr>
          <w:sz w:val="20"/>
          <w:szCs w:val="20"/>
          <w:color w:val="auto"/>
        </w:rPr>
      </w:pPr>
    </w:p>
    <w:p>
      <w:pPr>
        <w:ind w:right="5040"/>
        <w:spacing w:after="0" w:line="250" w:lineRule="auto"/>
        <w:rPr>
          <w:sz w:val="20"/>
          <w:szCs w:val="20"/>
          <w:color w:val="auto"/>
        </w:rPr>
      </w:pPr>
      <w:r>
        <w:rPr>
          <w:rFonts w:ascii="Times New Roman" w:cs="Times New Roman" w:eastAsia="Times New Roman" w:hAnsi="Times New Roman"/>
          <w:sz w:val="18"/>
          <w:szCs w:val="18"/>
          <w:color w:val="auto"/>
        </w:rPr>
        <w:t>CHINA BOHAI BANK CO., LTD. SHANGHAI FREE TRADE ZONE BRANCH MIZUHO BANK, LTD.</w:t>
      </w:r>
    </w:p>
    <w:p>
      <w:pPr>
        <w:spacing w:after="0" w:line="1" w:lineRule="exact"/>
        <w:rPr>
          <w:sz w:val="20"/>
          <w:szCs w:val="20"/>
          <w:color w:val="auto"/>
        </w:rPr>
      </w:pPr>
    </w:p>
    <w:p>
      <w:pPr>
        <w:ind w:right="4480"/>
        <w:spacing w:after="0" w:line="250" w:lineRule="auto"/>
        <w:rPr>
          <w:sz w:val="20"/>
          <w:szCs w:val="20"/>
          <w:color w:val="auto"/>
        </w:rPr>
      </w:pPr>
      <w:r>
        <w:rPr>
          <w:rFonts w:ascii="Times New Roman" w:cs="Times New Roman" w:eastAsia="Times New Roman" w:hAnsi="Times New Roman"/>
          <w:sz w:val="18"/>
          <w:szCs w:val="18"/>
          <w:color w:val="auto"/>
        </w:rPr>
        <w:t>MUFG Bank, Ltd. (incorporated in Japan with limited liability), HONG KONG BRANCH CITIGROUP GLOBAL MARKETS ASIA LIMITED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ZHESHANG BANK CO., LTD. (HANGZHOU BRANCH)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CHARTERED BANK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as Agent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CHARTERED BANK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as Security Agent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 L-344521</w:t>
      </w:r>
    </w:p>
    <w:p>
      <w:pPr>
        <w:sectPr>
          <w:pgSz w:w="11900" w:h="16838" w:orient="portrait"/>
          <w:cols w:equalWidth="0" w:num="1">
            <w:col w:w="11020"/>
          </w:cols>
          <w:pgMar w:left="440" w:top="117"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8800" w:type="dxa"/>
            <w:vAlign w:val="bottom"/>
          </w:tcPr>
          <w:p>
            <w:pPr>
              <w:ind w:left="436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8800" w:type="dxa"/>
            <w:vAlign w:val="bottom"/>
            <w:vMerge w:val="restart"/>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SECTION 1</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880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40" w:type="dxa"/>
            <w:vAlign w:val="bottom"/>
          </w:tcPr>
          <w:p>
            <w:pPr>
              <w:spacing w:after="0"/>
              <w:rPr>
                <w:sz w:val="19"/>
                <w:szCs w:val="19"/>
                <w:color w:val="auto"/>
              </w:rPr>
            </w:pPr>
          </w:p>
        </w:tc>
        <w:tc>
          <w:tcPr>
            <w:tcW w:w="880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7"/>
              </w:rPr>
              <w:t>INTERPRETATION</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8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SECTION 2</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880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THE FACILITIES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Facilities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Purpose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0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of Utilisation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8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SECTION 3</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880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UTILISATION</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Utilisation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8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SECTION 4</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88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7"/>
              </w:rPr>
              <w:t>REPAYMENT, PREPAYMENT AND CANCELLATION</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Illegality, voluntary prepayment and cancellation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Mandatory prepayment and cancellation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30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8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SECTION 5</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880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COSTS OF UTILISATION</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Periods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the calculation of interest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30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8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SECTION 6</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880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ADDITIONAL PAYMENT OBLIGATIONS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gross-up and indemnities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Increased Costs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indemnities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Mitigation by the Lenders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0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8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SECTION 7</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880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GUARANTEE</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Guarantee and indemnity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8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SECTION 8</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880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REPRESENTATIONS, UNDERTAKINGS AND EVENTS OF DEFAULT</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undertakings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covenants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undertakings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0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Events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8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SECTION 9</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880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CHANGES TO PARTIES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the Lenders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364"/>
        </w:trPr>
        <w:tc>
          <w:tcPr>
            <w:tcW w:w="640" w:type="dxa"/>
            <w:vAlign w:val="bottom"/>
          </w:tcPr>
          <w:p>
            <w:pPr>
              <w:spacing w:after="0"/>
              <w:rPr>
                <w:sz w:val="24"/>
                <w:szCs w:val="24"/>
                <w:color w:val="auto"/>
              </w:rPr>
            </w:pPr>
          </w:p>
        </w:tc>
        <w:tc>
          <w:tcPr>
            <w:tcW w:w="88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3"/>
              </w:rPr>
              <w:t>(i)</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Restriction on Debt Purchase Transactions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to the Obligors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420" w:type="dxa"/>
            <w:vAlign w:val="bottom"/>
          </w:tcPr>
          <w:p>
            <w:pPr>
              <w:spacing w:after="0"/>
              <w:rPr>
                <w:sz w:val="18"/>
                <w:szCs w:val="18"/>
                <w:color w:val="auto"/>
              </w:rPr>
            </w:pPr>
          </w:p>
        </w:tc>
        <w:tc>
          <w:tcPr>
            <w:tcW w:w="84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SECTION 10</w:t>
            </w:r>
          </w:p>
        </w:tc>
        <w:tc>
          <w:tcPr>
            <w:tcW w:w="2060" w:type="dxa"/>
            <w:vAlign w:val="bottom"/>
          </w:tcPr>
          <w:p>
            <w:pPr>
              <w:spacing w:after="0"/>
              <w:rPr>
                <w:sz w:val="18"/>
                <w:szCs w:val="18"/>
                <w:color w:val="auto"/>
              </w:rPr>
            </w:pPr>
          </w:p>
        </w:tc>
      </w:tr>
      <w:tr>
        <w:trPr>
          <w:trHeight w:val="238"/>
        </w:trPr>
        <w:tc>
          <w:tcPr>
            <w:tcW w:w="420" w:type="dxa"/>
            <w:vAlign w:val="bottom"/>
          </w:tcPr>
          <w:p>
            <w:pPr>
              <w:spacing w:after="0"/>
              <w:rPr>
                <w:sz w:val="20"/>
                <w:szCs w:val="20"/>
                <w:color w:val="auto"/>
              </w:rPr>
            </w:pPr>
          </w:p>
        </w:tc>
        <w:tc>
          <w:tcPr>
            <w:tcW w:w="84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8"/>
              </w:rPr>
              <w:t>THE FINANCE PARTIES</w:t>
            </w:r>
          </w:p>
        </w:tc>
        <w:tc>
          <w:tcPr>
            <w:tcW w:w="2060" w:type="dxa"/>
            <w:vAlign w:val="bottom"/>
          </w:tcPr>
          <w:p>
            <w:pPr>
              <w:spacing w:after="0"/>
              <w:rPr>
                <w:sz w:val="20"/>
                <w:szCs w:val="20"/>
                <w:color w:val="auto"/>
              </w:rPr>
            </w:pP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Role of the FINANCE PARTIES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Application of Proceeds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Conduct of business by the Secured Parties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3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Sharing among the Finance Parties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20" w:type="dxa"/>
            <w:vAlign w:val="bottom"/>
          </w:tcPr>
          <w:p>
            <w:pPr>
              <w:spacing w:after="0"/>
              <w:rPr>
                <w:sz w:val="18"/>
                <w:szCs w:val="18"/>
                <w:color w:val="auto"/>
              </w:rPr>
            </w:pPr>
          </w:p>
        </w:tc>
        <w:tc>
          <w:tcPr>
            <w:tcW w:w="84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SECTION 11</w:t>
            </w:r>
          </w:p>
        </w:tc>
        <w:tc>
          <w:tcPr>
            <w:tcW w:w="2060" w:type="dxa"/>
            <w:vAlign w:val="bottom"/>
          </w:tcPr>
          <w:p>
            <w:pPr>
              <w:spacing w:after="0"/>
              <w:rPr>
                <w:sz w:val="18"/>
                <w:szCs w:val="18"/>
                <w:color w:val="auto"/>
              </w:rPr>
            </w:pPr>
          </w:p>
        </w:tc>
      </w:tr>
      <w:tr>
        <w:trPr>
          <w:trHeight w:val="238"/>
        </w:trPr>
        <w:tc>
          <w:tcPr>
            <w:tcW w:w="420" w:type="dxa"/>
            <w:vAlign w:val="bottom"/>
          </w:tcPr>
          <w:p>
            <w:pPr>
              <w:spacing w:after="0"/>
              <w:rPr>
                <w:sz w:val="20"/>
                <w:szCs w:val="20"/>
                <w:color w:val="auto"/>
              </w:rPr>
            </w:pPr>
          </w:p>
        </w:tc>
        <w:tc>
          <w:tcPr>
            <w:tcW w:w="84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ADMINISTRATION</w:t>
            </w:r>
          </w:p>
        </w:tc>
        <w:tc>
          <w:tcPr>
            <w:tcW w:w="2060" w:type="dxa"/>
            <w:vAlign w:val="bottom"/>
          </w:tcPr>
          <w:p>
            <w:pPr>
              <w:spacing w:after="0"/>
              <w:rPr>
                <w:sz w:val="20"/>
                <w:szCs w:val="20"/>
                <w:color w:val="auto"/>
              </w:rPr>
            </w:pP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mechanics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Set-off</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Calculations and certificates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Partial invalidity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Remedies and waivers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 and waivers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Confidential Information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Confidentiality of Funding Rates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Bail-in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3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Green Loan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420" w:type="dxa"/>
            <w:vAlign w:val="bottom"/>
          </w:tcPr>
          <w:p>
            <w:pPr>
              <w:spacing w:after="0"/>
              <w:rPr>
                <w:sz w:val="18"/>
                <w:szCs w:val="18"/>
                <w:color w:val="auto"/>
              </w:rPr>
            </w:pPr>
          </w:p>
        </w:tc>
        <w:tc>
          <w:tcPr>
            <w:tcW w:w="84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SECTION 12</w:t>
            </w:r>
          </w:p>
        </w:tc>
        <w:tc>
          <w:tcPr>
            <w:tcW w:w="2060" w:type="dxa"/>
            <w:vAlign w:val="bottom"/>
          </w:tcPr>
          <w:p>
            <w:pPr>
              <w:spacing w:after="0"/>
              <w:rPr>
                <w:sz w:val="18"/>
                <w:szCs w:val="18"/>
                <w:color w:val="auto"/>
              </w:rPr>
            </w:pPr>
          </w:p>
        </w:tc>
      </w:tr>
      <w:tr>
        <w:trPr>
          <w:trHeight w:val="238"/>
        </w:trPr>
        <w:tc>
          <w:tcPr>
            <w:tcW w:w="420" w:type="dxa"/>
            <w:vAlign w:val="bottom"/>
          </w:tcPr>
          <w:p>
            <w:pPr>
              <w:spacing w:after="0"/>
              <w:rPr>
                <w:sz w:val="20"/>
                <w:szCs w:val="20"/>
                <w:color w:val="auto"/>
              </w:rPr>
            </w:pPr>
          </w:p>
        </w:tc>
        <w:tc>
          <w:tcPr>
            <w:tcW w:w="84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GOVERNING LAW AND ENFORCEMENT</w:t>
            </w:r>
          </w:p>
        </w:tc>
        <w:tc>
          <w:tcPr>
            <w:tcW w:w="2060" w:type="dxa"/>
            <w:vAlign w:val="bottom"/>
          </w:tcPr>
          <w:p>
            <w:pPr>
              <w:spacing w:after="0"/>
              <w:rPr>
                <w:sz w:val="20"/>
                <w:szCs w:val="20"/>
                <w:color w:val="auto"/>
              </w:rPr>
            </w:pP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Enforcement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Recognition of Hong Kong Stay Powers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432"/>
        </w:trPr>
        <w:tc>
          <w:tcPr>
            <w:tcW w:w="420" w:type="dxa"/>
            <w:vAlign w:val="bottom"/>
          </w:tcPr>
          <w:p>
            <w:pPr>
              <w:spacing w:after="0"/>
              <w:rPr>
                <w:sz w:val="24"/>
                <w:szCs w:val="24"/>
                <w:color w:val="auto"/>
              </w:rPr>
            </w:pPr>
          </w:p>
        </w:tc>
        <w:tc>
          <w:tcPr>
            <w:tcW w:w="848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THE SCHEDULES</w:t>
            </w:r>
          </w:p>
        </w:tc>
        <w:tc>
          <w:tcPr>
            <w:tcW w:w="2060" w:type="dxa"/>
            <w:vAlign w:val="bottom"/>
          </w:tcPr>
          <w:p>
            <w:pPr>
              <w:spacing w:after="0"/>
              <w:rPr>
                <w:sz w:val="24"/>
                <w:szCs w:val="24"/>
                <w:color w:val="auto"/>
              </w:rPr>
            </w:pPr>
          </w:p>
        </w:tc>
      </w:tr>
      <w:tr>
        <w:trPr>
          <w:trHeight w:val="373"/>
        </w:trPr>
        <w:tc>
          <w:tcPr>
            <w:tcW w:w="8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 The Original Lenders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 Conditions Precedent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 Requests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4 Form of Transfer Certificate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 Form of Assignment Agreement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 Form of Compliance Certificate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7 Timetables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8 Forms of Notifiable Debt Purchase Transaction Notice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9 Form of Green Loan Impact Report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10 Form of QPP Certificate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365"/>
        </w:trPr>
        <w:tc>
          <w:tcPr>
            <w:tcW w:w="420" w:type="dxa"/>
            <w:vAlign w:val="bottom"/>
          </w:tcPr>
          <w:p>
            <w:pPr>
              <w:spacing w:after="0"/>
              <w:rPr>
                <w:sz w:val="24"/>
                <w:szCs w:val="24"/>
                <w:color w:val="auto"/>
              </w:rPr>
            </w:pPr>
          </w:p>
        </w:tc>
        <w:tc>
          <w:tcPr>
            <w:tcW w:w="848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(ii)</w:t>
            </w:r>
          </w:p>
        </w:tc>
        <w:tc>
          <w:tcPr>
            <w:tcW w:w="2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AGREEMENT is dated </w:t>
      </w:r>
      <w:r>
        <w:rPr>
          <w:rFonts w:ascii="Times New Roman" w:cs="Times New Roman" w:eastAsia="Times New Roman" w:hAnsi="Times New Roman"/>
          <w:sz w:val="18"/>
          <w:szCs w:val="18"/>
          <w:u w:val="single" w:color="auto"/>
          <w:color w:val="auto"/>
        </w:rPr>
        <w:t>22 February</w:t>
      </w:r>
      <w:r>
        <w:rPr>
          <w:rFonts w:ascii="Times New Roman" w:cs="Times New Roman" w:eastAsia="Times New Roman" w:hAnsi="Times New Roman"/>
          <w:sz w:val="18"/>
          <w:szCs w:val="18"/>
          <w:color w:val="auto"/>
        </w:rPr>
        <w:t xml:space="preserve"> 2024 and made between:</w:t>
      </w:r>
    </w:p>
    <w:p>
      <w:pPr>
        <w:spacing w:after="0" w:line="131" w:lineRule="exact"/>
        <w:rPr>
          <w:sz w:val="20"/>
          <w:szCs w:val="20"/>
          <w:color w:val="auto"/>
        </w:rPr>
      </w:pPr>
    </w:p>
    <w:p>
      <w:pPr>
        <w:ind w:left="544" w:right="340" w:hanging="544"/>
        <w:spacing w:after="0" w:line="282" w:lineRule="auto"/>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AUTOMOTIVE HOLDING UK PLC, with company registration number 13624182 and its registered address at The Pavilions, Bridgwater Road, Bristol, England, BS13 8AE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4" w:right="560" w:hanging="544"/>
        <w:spacing w:after="0" w:line="282" w:lineRule="auto"/>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PERFORMANCE AB, with registration number 556653-3096 and its registered address at Assar Gabrielssons väg 9, 405 31 Gothenburg, Sweden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544" w:right="440" w:hanging="544"/>
        <w:spacing w:after="0" w:line="266" w:lineRule="auto"/>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BNP PARIBAS, a public limited company (société anonyme) incorporated in the Republic of France with the liability of its members being limited and having a branch in Hong Kong, NATIXIS, HONG KONG BRANCH (incorporated in France and the liability of its members is limited), and STANDARD CHARTERED BANK (each a “</w:t>
      </w:r>
      <w:r>
        <w:rPr>
          <w:rFonts w:ascii="Times New Roman" w:cs="Times New Roman" w:eastAsia="Times New Roman" w:hAnsi="Times New Roman"/>
          <w:sz w:val="18"/>
          <w:szCs w:val="18"/>
          <w:b w:val="1"/>
          <w:bCs w:val="1"/>
          <w:color w:val="auto"/>
        </w:rPr>
        <w:t>Global Coordinator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Global Coordinators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4" w:right="300" w:hanging="544"/>
        <w:spacing w:after="0" w:line="261" w:lineRule="auto"/>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BANCO BILBAO VIZCAYA ARGENTARIA, S.A., LONDON BRANCH, BNP PARIBAS, a public limited company (société anonyme) incorporated in the Republic of France with the liability of its members being limited and having a branch in Hong Kong, NATIXIS, HONG KONG BRANCH (incorporated in France and the liability of its members is limited) and STANDARD CHARTERED BANK (each a “</w:t>
      </w:r>
      <w:r>
        <w:rPr>
          <w:rFonts w:ascii="Times New Roman" w:cs="Times New Roman" w:eastAsia="Times New Roman" w:hAnsi="Times New Roman"/>
          <w:sz w:val="18"/>
          <w:szCs w:val="18"/>
          <w:b w:val="1"/>
          <w:b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Green Loan Lead Coordinator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Joint Green Loan Lead Coordinators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HONGKONG AND SHANGHAI BANKING CORPORATION LIMITED as green loan coordinator (the “</w:t>
      </w:r>
      <w:r>
        <w:rPr>
          <w:rFonts w:ascii="Times New Roman" w:cs="Times New Roman" w:eastAsia="Times New Roman" w:hAnsi="Times New Roman"/>
          <w:sz w:val="18"/>
          <w:szCs w:val="18"/>
          <w:b w:val="1"/>
          <w:bCs w:val="1"/>
          <w:color w:val="auto"/>
        </w:rPr>
        <w:t>Green Loan Coordinator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544" w:right="380" w:hanging="544"/>
        <w:spacing w:after="0" w:line="256" w:lineRule="auto"/>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BNP PARIBAS, a public limited company (société anonyme) incorporated in the Republic of France with the liability of its members being limited and having a branch in Hong Kong, NATIXIS, HONG KONG BRANCH (incorporated in France and the liability of its members is limited), STANDARD CHARTERED BANK, THE HONGKONG AND SHANGHAI BANKING CORPORATION LIMITED, BANCO BILBAO VIZCAYA ARGENTARIA, S.A., LONDON BRANCH and SHANGHAI PUDONG DEVELOPMENT BANK CO., LTD. (acting through its Offshore Banking Unit) (a company incorporated in the PRC with limited liability) as mandated lead arrangers and bookrunners (each an “</w:t>
      </w:r>
      <w:r>
        <w:rPr>
          <w:rFonts w:ascii="Times New Roman" w:cs="Times New Roman" w:eastAsia="Times New Roman" w:hAnsi="Times New Roman"/>
          <w:sz w:val="18"/>
          <w:szCs w:val="18"/>
          <w:b w:val="1"/>
          <w:bCs w:val="1"/>
          <w:color w:val="auto"/>
        </w:rPr>
        <w:t>MLAB</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MLABs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544" w:right="140" w:hanging="544"/>
        <w:spacing w:after="0" w:line="261" w:lineRule="auto"/>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CRÉDIT AGRICOLE CORPORATE AND INVESTMENT BANK (incorporated in France with limited liability), China Bohai Bank Co., Ltd. Shanghai Free Trade Zone Branch, MIZUHO BANK, LTD. (incorporated in Japan with limited liability), MUFG Bank, Ltd. (incorporated in Japan with limited liability), Hong Kong Branch, CITIGROUP GLOBAL MARKETS ASIA LIMITED and CHINA ZHESHANG BANK CO., LTD. (HANGZHOU BRANCH) as mandated lead arrangers (each an “</w:t>
      </w:r>
      <w:r>
        <w:rPr>
          <w:rFonts w:ascii="Times New Roman" w:cs="Times New Roman" w:eastAsia="Times New Roman" w:hAnsi="Times New Roman"/>
          <w:sz w:val="18"/>
          <w:szCs w:val="18"/>
          <w:b w:val="1"/>
          <w:bCs w:val="1"/>
          <w:color w:val="auto"/>
        </w:rPr>
        <w:t>MLA</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MLAs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INSTITUTIONS listed in Schedule 1 (</w:t>
      </w:r>
      <w:r>
        <w:rPr>
          <w:rFonts w:ascii="Times New Roman" w:cs="Times New Roman" w:eastAsia="Times New Roman" w:hAnsi="Times New Roman"/>
          <w:sz w:val="18"/>
          <w:szCs w:val="18"/>
          <w:i w:val="1"/>
          <w:iCs w:val="1"/>
          <w:color w:val="auto"/>
        </w:rPr>
        <w:t>The Original Lenders</w:t>
      </w:r>
      <w:r>
        <w:rPr>
          <w:rFonts w:ascii="Times New Roman" w:cs="Times New Roman" w:eastAsia="Times New Roman" w:hAnsi="Times New Roman"/>
          <w:sz w:val="18"/>
          <w:szCs w:val="18"/>
          <w:color w:val="auto"/>
        </w:rPr>
        <w:t>) as lenders (the “</w:t>
      </w:r>
      <w:r>
        <w:rPr>
          <w:rFonts w:ascii="Times New Roman" w:cs="Times New Roman" w:eastAsia="Times New Roman" w:hAnsi="Times New Roman"/>
          <w:sz w:val="18"/>
          <w:szCs w:val="18"/>
          <w:b w:val="1"/>
          <w:bCs w:val="1"/>
          <w:color w:val="auto"/>
        </w:rPr>
        <w:t>Original Lenders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544" w:right="340" w:hanging="544"/>
        <w:spacing w:after="0" w:line="213" w:lineRule="auto"/>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CHARTERED BANK, incorporated in England by Royal Charter 1853 of 1 Basinghall Avenue,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London EC2V 5DD, United Kingdom, as agent of the other Finance Parties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04" w:lineRule="exact"/>
        <w:rPr>
          <w:rFonts w:ascii="Times New Roman" w:cs="Times New Roman" w:eastAsia="Times New Roman" w:hAnsi="Times New Roman"/>
          <w:sz w:val="18"/>
          <w:szCs w:val="18"/>
          <w:color w:val="auto"/>
        </w:rPr>
      </w:pPr>
    </w:p>
    <w:p>
      <w:pPr>
        <w:ind w:left="544" w:right="340" w:hanging="544"/>
        <w:spacing w:after="0" w:line="213" w:lineRule="auto"/>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CHARTERED BANK, incorporated in England by Royal Charter 1853 of 1 Basinghall Avenue,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London EC2V 5DD, United Kingdom, as security agent for the Secured Parties (the “</w:t>
      </w:r>
      <w:r>
        <w:rPr>
          <w:rFonts w:ascii="Times New Roman" w:cs="Times New Roman" w:eastAsia="Times New Roman" w:hAnsi="Times New Roman"/>
          <w:sz w:val="18"/>
          <w:szCs w:val="18"/>
          <w:b w:val="1"/>
          <w:bCs w:val="1"/>
          <w:color w:val="auto"/>
        </w:rPr>
        <w:t>Security Agent</w:t>
      </w:r>
      <w:r>
        <w:rPr>
          <w:rFonts w:ascii="Times New Roman" w:cs="Times New Roman" w:eastAsia="Times New Roman" w:hAnsi="Times New Roman"/>
          <w:sz w:val="18"/>
          <w:szCs w:val="18"/>
          <w:color w:val="auto"/>
        </w:rPr>
        <w:t>”); and</w:t>
      </w:r>
    </w:p>
    <w:p>
      <w:pPr>
        <w:spacing w:after="0" w:line="131"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70" w:right="439" w:bottom="1440" w:gutter="0" w:footer="0" w:header="0"/>
        </w:sectPr>
      </w:pPr>
    </w:p>
    <w:bookmarkStart w:id="9" w:name="page10"/>
    <w:bookmarkEnd w:id="9"/>
    <w:p>
      <w:pPr>
        <w:ind w:left="544" w:right="600" w:hanging="544"/>
        <w:spacing w:after="0" w:line="282" w:lineRule="auto"/>
        <w:tabs>
          <w:tab w:leader="none" w:pos="5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CHARTERED BANK, incorporated with limited liability in England by Royal Charter 1853 (Reference No. ZC18), whose principal office is at 1 Basinghall Avenue, London EC2V 5DD, United Kingdom as account bank (the “</w:t>
      </w:r>
      <w:r>
        <w:rPr>
          <w:rFonts w:ascii="Times New Roman" w:cs="Times New Roman" w:eastAsia="Times New Roman" w:hAnsi="Times New Roman"/>
          <w:sz w:val="18"/>
          <w:szCs w:val="18"/>
          <w:b w:val="1"/>
          <w:bCs w:val="1"/>
          <w:color w:val="auto"/>
        </w:rPr>
        <w:t>Account Bank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 IS AGREED as follows:</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10" w:name="page11"/>
    <w:bookmarkEnd w:id="1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52" w:lineRule="exact"/>
        <w:rPr>
          <w:sz w:val="20"/>
          <w:szCs w:val="20"/>
          <w:color w:val="auto"/>
        </w:rPr>
      </w:pPr>
    </w:p>
    <w:p>
      <w:pPr>
        <w:ind w:left="4" w:right="7200" w:hanging="4"/>
        <w:spacing w:after="0" w:line="385" w:lineRule="auto"/>
        <w:tabs>
          <w:tab w:leader="none" w:pos="54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 1.1 Definitions</w:t>
      </w:r>
    </w:p>
    <w:p>
      <w:pPr>
        <w:spacing w:after="0" w:line="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w:t>
      </w:r>
    </w:p>
    <w:p>
      <w:pPr>
        <w:spacing w:after="0" w:line="11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Bank</w:t>
      </w:r>
      <w:r>
        <w:rPr>
          <w:rFonts w:ascii="Times New Roman" w:cs="Times New Roman" w:eastAsia="Times New Roman" w:hAnsi="Times New Roman"/>
          <w:sz w:val="18"/>
          <w:szCs w:val="18"/>
          <w:color w:val="auto"/>
        </w:rPr>
        <w:t>” has the meaning given to that term in Clause 22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4"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Principles</w:t>
      </w:r>
      <w:r>
        <w:rPr>
          <w:rFonts w:ascii="Times New Roman" w:cs="Times New Roman" w:eastAsia="Times New Roman" w:hAnsi="Times New Roman"/>
          <w:sz w:val="18"/>
          <w:szCs w:val="18"/>
          <w:color w:val="auto"/>
        </w:rPr>
        <w:t>” means, in respect of a person incorporated in a jurisdiction which has generally accepted accounting principles, such generally accepted accounting principles in such jurisdiction or IFRS.</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Reference Date</w:t>
      </w:r>
      <w:r>
        <w:rPr>
          <w:rFonts w:ascii="Times New Roman" w:cs="Times New Roman" w:eastAsia="Times New Roman" w:hAnsi="Times New Roman"/>
          <w:sz w:val="18"/>
          <w:szCs w:val="18"/>
          <w:color w:val="auto"/>
        </w:rPr>
        <w:t>” means 31 December of each calendar year.</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means American depositary shares.</w:t>
      </w:r>
    </w:p>
    <w:p>
      <w:pPr>
        <w:spacing w:after="0" w:line="117" w:lineRule="exact"/>
        <w:rPr>
          <w:sz w:val="20"/>
          <w:szCs w:val="20"/>
          <w:color w:val="auto"/>
        </w:rPr>
      </w:pPr>
    </w:p>
    <w:p>
      <w:pPr>
        <w:ind w:left="544" w:right="3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relation to any person, a Subsidiary of that person or a Holding Company of that person or any other Subsidiary of that Holding Company.</w:t>
      </w:r>
    </w:p>
    <w:p>
      <w:pPr>
        <w:spacing w:after="0" w:line="47" w:lineRule="exact"/>
        <w:rPr>
          <w:sz w:val="20"/>
          <w:szCs w:val="20"/>
          <w:color w:val="auto"/>
        </w:rPr>
      </w:pPr>
    </w:p>
    <w:p>
      <w:pPr>
        <w:ind w:left="544"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AML/CTF Laws</w:t>
      </w:r>
      <w:r>
        <w:rPr>
          <w:rFonts w:ascii="Times New Roman" w:cs="Times New Roman" w:eastAsia="Times New Roman" w:hAnsi="Times New Roman"/>
          <w:sz w:val="18"/>
          <w:szCs w:val="18"/>
          <w:color w:val="auto"/>
        </w:rPr>
        <w:t>” means all applicable financial record-keeping and reporting requirements, any anti-money laundering or counter-terrorism financing laws and any related or similar rules, regulations or guidelines, in each case of the PRC, of any jurisdiction of incorporation of any Lender, and of any jurisdiction applicable to any Obligor or any of its Affiliates from time to time.</w:t>
      </w:r>
    </w:p>
    <w:p>
      <w:pPr>
        <w:spacing w:after="0" w:line="63" w:lineRule="exact"/>
        <w:rPr>
          <w:sz w:val="20"/>
          <w:szCs w:val="20"/>
          <w:color w:val="auto"/>
        </w:rPr>
      </w:pPr>
    </w:p>
    <w:p>
      <w:pPr>
        <w:ind w:left="544"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 means the financial statements in respect of a person delivered pursuant to paragraph (a) of Clause 21.1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544"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“Anti-Corruption Laws” </w:t>
      </w:r>
      <w:r>
        <w:rPr>
          <w:rFonts w:ascii="Times New Roman" w:cs="Times New Roman" w:eastAsia="Times New Roman" w:hAnsi="Times New Roman"/>
          <w:sz w:val="18"/>
          <w:szCs w:val="18"/>
          <w:color w:val="auto"/>
        </w:rPr>
        <w:t>means all laws, rules and regulations concerning or relating to anti-bribery or anti-corruption of the PRC,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incorporation of any Lender, and of any jurisdiction applicable to any Obligor or any of its Affiliates from time to time, including but not limited to United Kingdom Bribery Act 2010 and the US Foreign Corrupt Practices Act of 1977 and similar laws or regulations in any jurisdiction relating to bribery, corruption or any similar practices.</w:t>
      </w:r>
    </w:p>
    <w:p>
      <w:pPr>
        <w:spacing w:after="0" w:line="68" w:lineRule="exact"/>
        <w:rPr>
          <w:sz w:val="20"/>
          <w:szCs w:val="20"/>
          <w:color w:val="auto"/>
        </w:rPr>
      </w:pPr>
    </w:p>
    <w:p>
      <w:pPr>
        <w:ind w:left="544" w:right="1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Freeze Target</w:t>
      </w:r>
      <w:r>
        <w:rPr>
          <w:rFonts w:ascii="Times New Roman" w:cs="Times New Roman" w:eastAsia="Times New Roman" w:hAnsi="Times New Roman"/>
          <w:sz w:val="18"/>
          <w:szCs w:val="18"/>
          <w:color w:val="auto"/>
        </w:rPr>
        <w:t>” means any individual or entity who is directly or indirectly subject to an asset freeze, a prohibition to make funds available or a list-based transaction ban pursuant to Sanctions, including through being listed on or fifty percent (50%) or more owned or controlled by any individual or entity listed on (a) OFAC’s “Specially Designated Nationals and Blocked Persons List”; (b) the EU’s “Consolidated Financial Sanctions List”, (c) the UK’s “Consolidated List of Financial Sanctions Targets – Asset Freeze Targets” list, (d) Annex XIX of Regulation (EU) No 833/2014, or (e) an equivalent list maintained by any other Sanctions Authority.</w:t>
      </w:r>
    </w:p>
    <w:p>
      <w:pPr>
        <w:spacing w:after="0" w:line="71" w:lineRule="exact"/>
        <w:rPr>
          <w:sz w:val="20"/>
          <w:szCs w:val="20"/>
          <w:color w:val="auto"/>
        </w:rPr>
      </w:pPr>
    </w:p>
    <w:p>
      <w:pPr>
        <w:ind w:left="544"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means an agreement substantially in the form set out in Schedule 5 (</w:t>
      </w:r>
      <w:r>
        <w:rPr>
          <w:rFonts w:ascii="Times New Roman" w:cs="Times New Roman" w:eastAsia="Times New Roman" w:hAnsi="Times New Roman"/>
          <w:sz w:val="18"/>
          <w:szCs w:val="18"/>
          <w:i w:val="1"/>
          <w:iCs w:val="1"/>
          <w:color w:val="auto"/>
        </w:rPr>
        <w:t>Form of Assignment Agreement</w:t>
      </w:r>
      <w:r>
        <w:rPr>
          <w:rFonts w:ascii="Times New Roman" w:cs="Times New Roman" w:eastAsia="Times New Roman" w:hAnsi="Times New Roman"/>
          <w:sz w:val="18"/>
          <w:szCs w:val="18"/>
          <w:color w:val="auto"/>
        </w:rPr>
        <w:t>) or any other form agreed between the relevant assignor and assignee.</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Authorisation</w:t>
      </w:r>
      <w:r>
        <w:rPr>
          <w:rFonts w:ascii="Times New Roman" w:cs="Times New Roman" w:eastAsia="Times New Roman" w:hAnsi="Times New Roman"/>
          <w:sz w:val="18"/>
          <w:szCs w:val="18"/>
          <w:color w:val="auto"/>
        </w:rPr>
        <w:t>” means an authorisation, consent, approval, resolution, licence, exemption, filing, notarisation or registration.</w:t>
      </w:r>
    </w:p>
    <w:p>
      <w:pPr>
        <w:spacing w:after="0" w:line="16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6" w:right="439" w:bottom="1440" w:gutter="0" w:footer="0" w:header="0"/>
        </w:sectPr>
      </w:pPr>
    </w:p>
    <w:bookmarkStart w:id="11" w:name="page12"/>
    <w:bookmarkEnd w:id="11"/>
    <w:p>
      <w:pPr>
        <w:ind w:left="540" w:right="10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means the period from and including the Signing Date to and including the date which is six (6) Months after the Signing Date.</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Commitment</w:t>
      </w:r>
      <w:r>
        <w:rPr>
          <w:rFonts w:ascii="Times New Roman" w:cs="Times New Roman" w:eastAsia="Times New Roman" w:hAnsi="Times New Roman"/>
          <w:sz w:val="18"/>
          <w:szCs w:val="18"/>
          <w:color w:val="auto"/>
        </w:rPr>
        <w:t>” means, in relation to a Lender and a Facility, that Lender’s Commitment under that Facility minus:</w:t>
      </w:r>
    </w:p>
    <w:p>
      <w:pPr>
        <w:spacing w:after="0" w:line="135" w:lineRule="exact"/>
        <w:rPr>
          <w:sz w:val="20"/>
          <w:szCs w:val="20"/>
          <w:color w:val="auto"/>
        </w:rPr>
      </w:pPr>
    </w:p>
    <w:p>
      <w:pPr>
        <w:ind w:left="1180" w:hanging="644"/>
        <w:spacing w:after="0"/>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its participation in any outstanding Loans under that Facility; and</w:t>
      </w:r>
    </w:p>
    <w:p>
      <w:pPr>
        <w:spacing w:after="0" w:line="130" w:lineRule="exact"/>
        <w:rPr>
          <w:rFonts w:ascii="Times New Roman" w:cs="Times New Roman" w:eastAsia="Times New Roman" w:hAnsi="Times New Roman"/>
          <w:sz w:val="18"/>
          <w:szCs w:val="18"/>
          <w:color w:val="auto"/>
        </w:rPr>
      </w:pPr>
    </w:p>
    <w:p>
      <w:pPr>
        <w:ind w:left="1180" w:right="80" w:hanging="644"/>
        <w:spacing w:after="0" w:line="282"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proposed Utilisation under that Facility, the amount of its participation in any Loans under that Facility that are due to be made under that Facility on or before the proposed Utilisation Date.</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Credit</w:t>
      </w:r>
      <w:r>
        <w:rPr>
          <w:rFonts w:ascii="Times New Roman" w:cs="Times New Roman" w:eastAsia="Times New Roman" w:hAnsi="Times New Roman"/>
          <w:sz w:val="18"/>
          <w:szCs w:val="18"/>
          <w:color w:val="auto"/>
        </w:rPr>
        <w:t>” has the meaning given to the term in Clause 22.1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Facility</w:t>
      </w:r>
      <w:r>
        <w:rPr>
          <w:rFonts w:ascii="Times New Roman" w:cs="Times New Roman" w:eastAsia="Times New Roman" w:hAnsi="Times New Roman"/>
          <w:sz w:val="18"/>
          <w:szCs w:val="18"/>
          <w:color w:val="auto"/>
        </w:rPr>
        <w:t>” means, in relation to a Facility, the aggregate for the time being of each Lender’s Available Commitment in relation to that Facility.</w:t>
      </w:r>
    </w:p>
    <w:p>
      <w:pPr>
        <w:spacing w:after="0" w:line="47" w:lineRule="exact"/>
        <w:rPr>
          <w:sz w:val="20"/>
          <w:szCs w:val="20"/>
          <w:color w:val="auto"/>
        </w:rPr>
      </w:pPr>
    </w:p>
    <w:p>
      <w:pPr>
        <w:ind w:left="54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Group</w:t>
      </w:r>
      <w:r>
        <w:rPr>
          <w:rFonts w:ascii="Times New Roman" w:cs="Times New Roman" w:eastAsia="Times New Roman" w:hAnsi="Times New Roman"/>
          <w:sz w:val="18"/>
          <w:szCs w:val="18"/>
          <w:color w:val="auto"/>
        </w:rPr>
        <w:t>” means, in respect of a Lender, that Lender (including, if applicable, all that Lender’s branches and offices wherever located) and that Lender’s Subsidiaries and Affiliates.</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Break Costs</w:t>
      </w:r>
      <w:r>
        <w:rPr>
          <w:rFonts w:ascii="Times New Roman" w:cs="Times New Roman" w:eastAsia="Times New Roman" w:hAnsi="Times New Roman"/>
          <w:sz w:val="18"/>
          <w:szCs w:val="18"/>
          <w:color w:val="auto"/>
        </w:rPr>
        <w:t>” means the amount (if any) by which:</w:t>
      </w:r>
    </w:p>
    <w:p>
      <w:pPr>
        <w:spacing w:after="0" w:line="135" w:lineRule="exact"/>
        <w:rPr>
          <w:sz w:val="20"/>
          <w:szCs w:val="20"/>
          <w:color w:val="auto"/>
        </w:rPr>
      </w:pPr>
    </w:p>
    <w:p>
      <w:pPr>
        <w:ind w:left="1180" w:right="20" w:hanging="644"/>
        <w:spacing w:after="0" w:line="266" w:lineRule="auto"/>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exceeds:</w:t>
      </w:r>
    </w:p>
    <w:p>
      <w:pPr>
        <w:spacing w:after="0" w:line="131" w:lineRule="exact"/>
        <w:rPr>
          <w:sz w:val="20"/>
          <w:szCs w:val="20"/>
          <w:color w:val="auto"/>
        </w:rPr>
      </w:pPr>
    </w:p>
    <w:p>
      <w:pPr>
        <w:ind w:left="1180" w:right="20" w:hanging="644"/>
        <w:spacing w:after="0" w:line="266"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banks are open for general business in Beijing, Hong Kong and</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London and:</w:t>
      </w:r>
    </w:p>
    <w:p>
      <w:pPr>
        <w:spacing w:after="0" w:line="112" w:lineRule="exact"/>
        <w:rPr>
          <w:sz w:val="20"/>
          <w:szCs w:val="20"/>
          <w:color w:val="auto"/>
        </w:rPr>
      </w:pPr>
    </w:p>
    <w:p>
      <w:pPr>
        <w:ind w:left="1180" w:hanging="644"/>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date for payment or purchase of USD) New York;</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fixing of an interest rate for any Loan (Facility B)), which is a US Government Securities Business Day;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date for payment or purchase of EUR or fixing of an interest rate for any Loan (Facility A)) any TARGET Day.</w:t>
      </w:r>
    </w:p>
    <w:p>
      <w:pPr>
        <w:spacing w:after="0" w:line="113" w:lineRule="exact"/>
        <w:rPr>
          <w:sz w:val="20"/>
          <w:szCs w:val="20"/>
          <w:color w:val="auto"/>
        </w:rPr>
      </w:pPr>
    </w:p>
    <w:p>
      <w:pPr>
        <w:ind w:left="540"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Plan</w:t>
      </w:r>
      <w:r>
        <w:rPr>
          <w:rFonts w:ascii="Times New Roman" w:cs="Times New Roman" w:eastAsia="Times New Roman" w:hAnsi="Times New Roman"/>
          <w:sz w:val="18"/>
          <w:szCs w:val="18"/>
          <w:color w:val="auto"/>
        </w:rPr>
        <w:t>” means the financial model dated October 2023 including profit and loss, balance sheet and cashflow projections relating to the Group for the Financial Years ending on 31 December 2024, 31 December 2025 and 31 December 2026, as provided to the MLABs and the MLAs prior to the Signing Date.</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Central Bank Rate</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right="400" w:hanging="644"/>
        <w:spacing w:after="0" w:line="282" w:lineRule="auto"/>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short-term interest rate target set by the US Federal Open Market Committee as published by the Federal Reserve Bank of New York from time to time; or</w:t>
      </w:r>
    </w:p>
    <w:p>
      <w:pPr>
        <w:spacing w:after="0" w:line="94"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12" w:name="page13"/>
    <w:bookmarkEnd w:id="12"/>
    <w:p>
      <w:pPr>
        <w:ind w:left="1180" w:hanging="644"/>
        <w:spacing w:after="0"/>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that target is not a single figure, the arithmetic mean of:</w:t>
      </w:r>
    </w:p>
    <w:p>
      <w:pPr>
        <w:spacing w:after="0" w:line="130" w:lineRule="exact"/>
        <w:rPr>
          <w:rFonts w:ascii="Times New Roman" w:cs="Times New Roman" w:eastAsia="Times New Roman" w:hAnsi="Times New Roman"/>
          <w:sz w:val="18"/>
          <w:szCs w:val="18"/>
          <w:color w:val="auto"/>
        </w:rPr>
      </w:pPr>
    </w:p>
    <w:p>
      <w:pPr>
        <w:ind w:left="1740" w:right="100" w:hanging="543"/>
        <w:spacing w:after="0" w:line="282" w:lineRule="auto"/>
        <w:tabs>
          <w:tab w:leader="none" w:pos="17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upper bound of the short-term interest rate target range set by the US Federal Open Market Committee and published by the Federal Reserve Bank of New York; and</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bound of that target range.</w:t>
      </w:r>
    </w:p>
    <w:p>
      <w:pPr>
        <w:spacing w:after="0" w:line="113" w:lineRule="exact"/>
        <w:rPr>
          <w:sz w:val="20"/>
          <w:szCs w:val="20"/>
          <w:color w:val="auto"/>
        </w:rPr>
      </w:pPr>
    </w:p>
    <w:p>
      <w:pPr>
        <w:ind w:left="540"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Central Bank Rate Adjustment</w:t>
      </w:r>
      <w:r>
        <w:rPr>
          <w:rFonts w:ascii="Times New Roman" w:cs="Times New Roman" w:eastAsia="Times New Roman" w:hAnsi="Times New Roman"/>
          <w:sz w:val="18"/>
          <w:szCs w:val="18"/>
          <w:color w:val="auto"/>
        </w:rPr>
        <w:t>” means in relation to the Central Bank Rate prevailing at close of business on any US Government Securities Business Day, the 20 per cent. trimmed arithmetic mean (calculated by the Agent, or by any other Finance Party which agrees to do so in place of the Agent) of the Central Bank Rate Spreads for the five most immediately preceding US Government Securities Business Days for which CME Term SOFR for a period equal in length to the applicable Interest Period is available.</w:t>
      </w:r>
    </w:p>
    <w:p>
      <w:pPr>
        <w:spacing w:after="0" w:line="68" w:lineRule="exact"/>
        <w:rPr>
          <w:sz w:val="20"/>
          <w:szCs w:val="20"/>
          <w:color w:val="auto"/>
        </w:rPr>
      </w:pPr>
    </w:p>
    <w:p>
      <w:pPr>
        <w:ind w:left="540"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Central Bank Rate Spread</w:t>
      </w:r>
      <w:r>
        <w:rPr>
          <w:rFonts w:ascii="Times New Roman" w:cs="Times New Roman" w:eastAsia="Times New Roman" w:hAnsi="Times New Roman"/>
          <w:sz w:val="18"/>
          <w:szCs w:val="18"/>
          <w:color w:val="auto"/>
        </w:rPr>
        <w:t>” means, in relation to any US Government Securities Business Day, the difference (expressed as a percentage rate per annum) calculated by the Agent (or by any other Finance Party which agrees to do so in place of the Agent) between:</w:t>
      </w:r>
    </w:p>
    <w:p>
      <w:pPr>
        <w:spacing w:after="0" w:line="64" w:lineRule="exact"/>
        <w:rPr>
          <w:sz w:val="20"/>
          <w:szCs w:val="20"/>
          <w:color w:val="auto"/>
        </w:rPr>
      </w:pPr>
    </w:p>
    <w:p>
      <w:pPr>
        <w:ind w:left="1180" w:hanging="644"/>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Term SOFR for a period equal in length to the applicable Interest Period for that US Government Securities Business Day;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 Bank Rate prevailing at close of business on that US Government Securities Business Day.</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135" w:lineRule="exact"/>
        <w:rPr>
          <w:sz w:val="20"/>
          <w:szCs w:val="20"/>
          <w:color w:val="auto"/>
        </w:rPr>
      </w:pPr>
    </w:p>
    <w:p>
      <w:pPr>
        <w:ind w:left="1180" w:hanging="644"/>
        <w:spacing w:after="0"/>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 ceases to:</w:t>
      </w:r>
    </w:p>
    <w:p>
      <w:pPr>
        <w:spacing w:after="0" w:line="130" w:lineRule="exact"/>
        <w:rPr>
          <w:rFonts w:ascii="Times New Roman" w:cs="Times New Roman" w:eastAsia="Times New Roman" w:hAnsi="Times New Roman"/>
          <w:sz w:val="18"/>
          <w:szCs w:val="18"/>
          <w:color w:val="auto"/>
        </w:rPr>
      </w:pPr>
    </w:p>
    <w:p>
      <w:pPr>
        <w:ind w:left="1740" w:right="280" w:hanging="543"/>
        <w:spacing w:after="0" w:line="282" w:lineRule="auto"/>
        <w:tabs>
          <w:tab w:leader="none" w:pos="1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hold legally and beneficially at least 80 per cent. of the issued share capital of the Keepwell Provider, or Control the Keepwell Provider; or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hold legally and beneficially 100 per cent. of the issued share capital of PSD, or Control PSD;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Keepwell Provider ceases to:</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hold legally and beneficially at least 51 per cent. of the issued share capital of VCC or Control VCC; or</w:t>
      </w:r>
    </w:p>
    <w:p>
      <w:pPr>
        <w:spacing w:after="0" w:line="130" w:lineRule="exact"/>
        <w:rPr>
          <w:rFonts w:ascii="Times New Roman" w:cs="Times New Roman" w:eastAsia="Times New Roman" w:hAnsi="Times New Roman"/>
          <w:sz w:val="18"/>
          <w:szCs w:val="18"/>
          <w:color w:val="auto"/>
        </w:rPr>
      </w:pPr>
    </w:p>
    <w:p>
      <w:pPr>
        <w:ind w:left="1740" w:right="600" w:hanging="543"/>
        <w:spacing w:after="0" w:line="282" w:lineRule="auto"/>
        <w:tabs>
          <w:tab w:leader="none" w:pos="1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hold legally and beneficially at least 25 per cent. of the issued share capital of Geely Automobile or Control Geely Automobile; or</w:t>
      </w:r>
    </w:p>
    <w:p>
      <w:pPr>
        <w:spacing w:after="0" w:line="67" w:lineRule="exact"/>
        <w:rPr>
          <w:rFonts w:ascii="Times New Roman" w:cs="Times New Roman" w:eastAsia="Times New Roman" w:hAnsi="Times New Roman"/>
          <w:sz w:val="18"/>
          <w:szCs w:val="18"/>
          <w:color w:val="auto"/>
        </w:rPr>
      </w:pPr>
    </w:p>
    <w:p>
      <w:pPr>
        <w:ind w:left="1180" w:right="140" w:hanging="644"/>
        <w:spacing w:after="0" w:line="266"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VCC and PSD (or any other person in which Mr. Li directly or indirectly holds at least 51 per cent. of the shares or equity interests), collectively, cease to directly or indirectly hold legally and beneficially at least 51 per cent. of the issued share capital of the Borrower, or Control the Borrower; or</w:t>
      </w:r>
    </w:p>
    <w:p>
      <w:pPr>
        <w:spacing w:after="0" w:line="81" w:lineRule="exact"/>
        <w:rPr>
          <w:rFonts w:ascii="Times New Roman" w:cs="Times New Roman" w:eastAsia="Times New Roman" w:hAnsi="Times New Roman"/>
          <w:sz w:val="18"/>
          <w:szCs w:val="18"/>
          <w:color w:val="auto"/>
        </w:rPr>
      </w:pPr>
    </w:p>
    <w:p>
      <w:pPr>
        <w:ind w:left="1180" w:right="220" w:hanging="644"/>
        <w:spacing w:after="0" w:line="282"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ceases to directly or indirectly hold legally and beneficially 100 per cent. of the issued share capital of the Guarantor, or Control the Guarantor.</w:t>
      </w:r>
    </w:p>
    <w:p>
      <w:pPr>
        <w:spacing w:after="0" w:line="50" w:lineRule="exact"/>
        <w:rPr>
          <w:sz w:val="20"/>
          <w:szCs w:val="20"/>
          <w:color w:val="auto"/>
        </w:rPr>
      </w:pPr>
    </w:p>
    <w:p>
      <w:pPr>
        <w:ind w:left="54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Charged Property</w:t>
      </w:r>
      <w:r>
        <w:rPr>
          <w:rFonts w:ascii="Times New Roman" w:cs="Times New Roman" w:eastAsia="Times New Roman" w:hAnsi="Times New Roman"/>
          <w:sz w:val="18"/>
          <w:szCs w:val="18"/>
          <w:color w:val="auto"/>
        </w:rPr>
        <w:t>” means the Interest Reserve Account or any other property from time to time which is, or is expressed to be, the subject of the Transaction Security.</w:t>
      </w:r>
    </w:p>
    <w:p>
      <w:pPr>
        <w:spacing w:after="0" w:line="91"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3" w:name="page14"/>
    <w:bookmarkEnd w:id="13"/>
    <w:p>
      <w:pPr>
        <w:ind w:left="540" w:right="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CME Term SOFR</w:t>
      </w:r>
      <w:r>
        <w:rPr>
          <w:rFonts w:ascii="Times New Roman" w:cs="Times New Roman" w:eastAsia="Times New Roman" w:hAnsi="Times New Roman"/>
          <w:sz w:val="18"/>
          <w:szCs w:val="18"/>
          <w:color w:val="auto"/>
        </w:rPr>
        <w:t>” means 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 Commitment (Facility A) or Commitment (Facility B) and “</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means both of them.</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(Facility A)</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1180" w:right="280" w:hanging="644"/>
        <w:spacing w:after="0" w:line="284"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Original Lender, the amount set opposite its name under the heading “Commitment (Facility A)” in Schedule 1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Original Lenders</w:t>
      </w:r>
      <w:r>
        <w:rPr>
          <w:rFonts w:ascii="Times New Roman" w:cs="Times New Roman" w:eastAsia="Times New Roman" w:hAnsi="Times New Roman"/>
          <w:sz w:val="18"/>
          <w:szCs w:val="18"/>
          <w:color w:val="auto"/>
        </w:rPr>
        <w:t>) and the amount of any other Commitment (Facility A) transferred to it under this Agreement; and</w:t>
      </w:r>
    </w:p>
    <w:p>
      <w:pPr>
        <w:spacing w:after="0" w:line="6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Lender, the amount of any Commitment (Facility A) transferred to it under this Agreement,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 the extent not cancelled, reduced or transferred by it under this Agreement.</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(Facility B)</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1180" w:right="300" w:hanging="644"/>
        <w:spacing w:after="0" w:line="284" w:lineRule="auto"/>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Original Lender, the amount set opposite its name under the heading “Commitment (Facility B)” in Schedule 1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Original Lenders</w:t>
      </w:r>
      <w:r>
        <w:rPr>
          <w:rFonts w:ascii="Times New Roman" w:cs="Times New Roman" w:eastAsia="Times New Roman" w:hAnsi="Times New Roman"/>
          <w:sz w:val="18"/>
          <w:szCs w:val="18"/>
          <w:color w:val="auto"/>
        </w:rPr>
        <w:t>) and the amount of any other Commitment (Facility B) transferred to it under this Agreement; and</w:t>
      </w:r>
    </w:p>
    <w:p>
      <w:pPr>
        <w:spacing w:after="0" w:line="6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Lender, the amount of any Commitment (Facility B) transferred to it under this Agreement,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 the extent not cancelled, reduced or transferred by it under this Agreement.</w:t>
      </w:r>
    </w:p>
    <w:p>
      <w:pPr>
        <w:spacing w:after="0" w:line="113" w:lineRule="exact"/>
        <w:rPr>
          <w:sz w:val="20"/>
          <w:szCs w:val="20"/>
          <w:color w:val="auto"/>
        </w:rPr>
      </w:pPr>
    </w:p>
    <w:p>
      <w:pPr>
        <w:ind w:left="540" w:right="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any person which is engaged in the design, manufacturing, sales, and/or related administrative and operational activities in each case of electric vehicles (the “</w:t>
      </w:r>
      <w:r>
        <w:rPr>
          <w:rFonts w:ascii="Times New Roman" w:cs="Times New Roman" w:eastAsia="Times New Roman" w:hAnsi="Times New Roman"/>
          <w:sz w:val="18"/>
          <w:szCs w:val="18"/>
          <w:b w:val="1"/>
          <w:bCs w:val="1"/>
          <w:color w:val="auto"/>
        </w:rPr>
        <w:t>Core Business</w:t>
      </w:r>
      <w:r>
        <w:rPr>
          <w:rFonts w:ascii="Times New Roman" w:cs="Times New Roman" w:eastAsia="Times New Roman" w:hAnsi="Times New Roman"/>
          <w:sz w:val="18"/>
          <w:szCs w:val="18"/>
          <w:color w:val="auto"/>
        </w:rPr>
        <w:t>”) operating in one or more jurisdictions in which any Group Member, or any person in whom Mr. Li directly or indirectly holds at least 51 per cent. of the shares or equity interests or who is otherwise Controlled by Mr. Li, conducts the Core Business, or any direct or indirect shareholder of such person (which beneficially owns more than 50 per cent. of the shares in such person), provided that such person will not be deemed as a Competitor:</w:t>
      </w:r>
    </w:p>
    <w:p>
      <w:pPr>
        <w:spacing w:after="0" w:line="89" w:lineRule="exact"/>
        <w:rPr>
          <w:sz w:val="20"/>
          <w:szCs w:val="20"/>
          <w:color w:val="auto"/>
        </w:rPr>
      </w:pPr>
    </w:p>
    <w:p>
      <w:pPr>
        <w:ind w:left="1180" w:hanging="644"/>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solely by virtue of that person:</w:t>
      </w:r>
    </w:p>
    <w:p>
      <w:pPr>
        <w:spacing w:after="0" w:line="130" w:lineRule="exact"/>
        <w:rPr>
          <w:rFonts w:ascii="Times New Roman" w:cs="Times New Roman" w:eastAsia="Times New Roman" w:hAnsi="Times New Roman"/>
          <w:sz w:val="18"/>
          <w:szCs w:val="18"/>
          <w:color w:val="auto"/>
        </w:rPr>
      </w:pPr>
    </w:p>
    <w:p>
      <w:pPr>
        <w:ind w:left="1740" w:right="140" w:hanging="543"/>
        <w:spacing w:after="0" w:line="282"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 in shares in or securities of a Competitor, where the relevant teams and employees engaged in such dealings operate on the public side of an information barrier;</w:t>
      </w:r>
    </w:p>
    <w:p>
      <w:pPr>
        <w:spacing w:after="0" w:line="67" w:lineRule="exact"/>
        <w:rPr>
          <w:rFonts w:ascii="Times New Roman" w:cs="Times New Roman" w:eastAsia="Times New Roman" w:hAnsi="Times New Roman"/>
          <w:sz w:val="18"/>
          <w:szCs w:val="18"/>
          <w:color w:val="auto"/>
        </w:rPr>
      </w:pPr>
    </w:p>
    <w:p>
      <w:pPr>
        <w:ind w:left="1740" w:right="60" w:hanging="543"/>
        <w:spacing w:after="0" w:line="258"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an equity investor or equity holder in a Competitor as a consequence of (i) a debt-for-equity swap in, or (ii) any other arrangement entered into in connection with any restructuring of debt whereby creditors acquire an equity interest in or the right to participate in the equity of or (iii) the enforcement of security over shares of, that Competitor; provided that the relevant teams and employees involved in such transactions are separated from any teams or employees working in relation to the Group and the Finance Documents (and related transactions) by way of an information barrier; or</w:t>
      </w:r>
    </w:p>
    <w:p>
      <w:pPr>
        <w:spacing w:after="0" w:line="116"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14" w:name="page15"/>
    <w:bookmarkEnd w:id="14"/>
    <w:p>
      <w:pPr>
        <w:jc w:val="both"/>
        <w:ind w:left="1180" w:right="540" w:hanging="644"/>
        <w:spacing w:after="0" w:line="266"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being an equity investor or equity holder in a Competitor provided that the relevant teams and employees involved in such equity investment(s) are distinct from the teams or employees working in relation to the Group and the Finance Documents (and related transactions); or</w:t>
      </w:r>
    </w:p>
    <w:p>
      <w:pPr>
        <w:spacing w:after="0" w:line="81" w:lineRule="exact"/>
        <w:rPr>
          <w:rFonts w:ascii="Times New Roman" w:cs="Times New Roman" w:eastAsia="Times New Roman" w:hAnsi="Times New Roman"/>
          <w:sz w:val="18"/>
          <w:szCs w:val="18"/>
          <w:color w:val="auto"/>
        </w:rPr>
      </w:pPr>
    </w:p>
    <w:p>
      <w:pPr>
        <w:ind w:left="1180" w:right="20" w:hanging="644"/>
        <w:spacing w:after="0" w:line="258"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is a financial institution subject to regulation or supervision by the Hong Kong Monetary Authority, the Monetary Authority of Singapore, the Financial Services Agency of Japan, the United Kingdom Financial Services Authority, the Bank of England, the European Central Bank, the Board of Governors of the Federal Reserve of the United States and/or any equivalent governmental authority regulating financial services in a jurisdiction or any successor or replacement governmental authority with equivalent principal functions from time to time or an Affiliate of such a financial institution.</w:t>
      </w:r>
    </w:p>
    <w:p>
      <w:pPr>
        <w:spacing w:after="0" w:line="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means a certificate substantially in the form set out in Schedule 6 (</w:t>
      </w:r>
      <w:r>
        <w:rPr>
          <w:rFonts w:ascii="Times New Roman" w:cs="Times New Roman" w:eastAsia="Times New Roman" w:hAnsi="Times New Roman"/>
          <w:sz w:val="18"/>
          <w:szCs w:val="18"/>
          <w:i w:val="1"/>
          <w:iCs w:val="1"/>
          <w:color w:val="auto"/>
        </w:rPr>
        <w:t>Form of Compliance Certificate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information relating to the Company, any Obligor, the Keepwell Provider, the Group, the Finance Documents or any Facility of which a Finance Party becomes aware in its capacity as, or for the purpose of becoming, a Finance Party or which is received by a Finance Party in relation to, or for the purpose of becoming a Finance Party under, the Finance Documents or a Facility from either:</w:t>
      </w:r>
    </w:p>
    <w:p>
      <w:pPr>
        <w:spacing w:after="0" w:line="86" w:lineRule="exact"/>
        <w:rPr>
          <w:sz w:val="20"/>
          <w:szCs w:val="20"/>
          <w:color w:val="auto"/>
        </w:rPr>
      </w:pPr>
    </w:p>
    <w:p>
      <w:pPr>
        <w:ind w:left="1180" w:hanging="644"/>
        <w:spacing w:after="0"/>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Group Member or any of its advisers; or</w:t>
      </w:r>
    </w:p>
    <w:p>
      <w:pPr>
        <w:spacing w:after="0" w:line="130" w:lineRule="exact"/>
        <w:rPr>
          <w:rFonts w:ascii="Times New Roman" w:cs="Times New Roman" w:eastAsia="Times New Roman" w:hAnsi="Times New Roman"/>
          <w:sz w:val="18"/>
          <w:szCs w:val="18"/>
          <w:color w:val="auto"/>
        </w:rPr>
      </w:pPr>
    </w:p>
    <w:p>
      <w:pPr>
        <w:ind w:left="1180" w:right="40" w:hanging="644"/>
        <w:spacing w:after="0" w:line="282"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Finance Party, if the information was obtained by that Finance Party directly or indirectly from any Group Member or any of its advisers,</w:t>
      </w:r>
    </w:p>
    <w:p>
      <w:pPr>
        <w:spacing w:after="0" w:line="54" w:lineRule="exact"/>
        <w:rPr>
          <w:sz w:val="20"/>
          <w:szCs w:val="20"/>
          <w:color w:val="auto"/>
        </w:rPr>
      </w:pPr>
    </w:p>
    <w:p>
      <w:pPr>
        <w:ind w:left="540" w:right="680"/>
        <w:spacing w:after="0" w:line="282" w:lineRule="auto"/>
        <w:rPr>
          <w:sz w:val="20"/>
          <w:szCs w:val="20"/>
          <w:color w:val="auto"/>
        </w:rPr>
      </w:pPr>
      <w:r>
        <w:rPr>
          <w:rFonts w:ascii="Times New Roman" w:cs="Times New Roman" w:eastAsia="Times New Roman" w:hAnsi="Times New Roman"/>
          <w:sz w:val="18"/>
          <w:szCs w:val="18"/>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67" w:lineRule="exact"/>
        <w:rPr>
          <w:sz w:val="20"/>
          <w:szCs w:val="20"/>
          <w:color w:val="auto"/>
        </w:rPr>
      </w:pPr>
    </w:p>
    <w:p>
      <w:pPr>
        <w:ind w:left="1740" w:hanging="543"/>
        <w:spacing w:after="0"/>
        <w:tabs>
          <w:tab w:leader="none" w:pos="1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w:t>
      </w:r>
    </w:p>
    <w:p>
      <w:pPr>
        <w:spacing w:after="0" w:line="130" w:lineRule="exact"/>
        <w:rPr>
          <w:rFonts w:ascii="Times New Roman" w:cs="Times New Roman" w:eastAsia="Times New Roman" w:hAnsi="Times New Roman"/>
          <w:sz w:val="18"/>
          <w:szCs w:val="18"/>
          <w:color w:val="auto"/>
        </w:rPr>
      </w:pPr>
    </w:p>
    <w:p>
      <w:pPr>
        <w:ind w:left="2400" w:right="140" w:hanging="649"/>
        <w:spacing w:after="0" w:line="282" w:lineRule="auto"/>
        <w:tabs>
          <w:tab w:leader="none" w:pos="24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public information other than as a direct or indirect result of any breach by that Finance Party of Clause 39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identified in writing at the time of delivery as non-confidential by any Group Member or any of its advisers; or</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by that Finance Party before the date the information is disclosed to it in accordance with paragraphs (A) or</w:t>
      </w:r>
    </w:p>
    <w:p>
      <w:pPr>
        <w:spacing w:after="0" w:line="27" w:lineRule="exact"/>
        <w:rPr>
          <w:rFonts w:ascii="Times New Roman" w:cs="Times New Roman" w:eastAsia="Times New Roman" w:hAnsi="Times New Roman"/>
          <w:sz w:val="18"/>
          <w:szCs w:val="18"/>
          <w:color w:val="auto"/>
        </w:rPr>
      </w:pPr>
    </w:p>
    <w:p>
      <w:pPr>
        <w:ind w:left="2400" w:right="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w:t>
      </w:r>
    </w:p>
    <w:p>
      <w:pPr>
        <w:spacing w:after="0" w:line="11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5" w:name="page16"/>
    <w:bookmarkEnd w:id="15"/>
    <w:p>
      <w:pPr>
        <w:ind w:left="1740" w:hanging="543"/>
        <w:spacing w:after="0"/>
        <w:tabs>
          <w:tab w:leader="none" w:pos="1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Funding Rate.</w:t>
      </w:r>
    </w:p>
    <w:p>
      <w:pPr>
        <w:spacing w:after="0" w:line="113" w:lineRule="exact"/>
        <w:rPr>
          <w:sz w:val="20"/>
          <w:szCs w:val="20"/>
          <w:color w:val="auto"/>
        </w:rPr>
      </w:pPr>
    </w:p>
    <w:p>
      <w:pPr>
        <w:ind w:left="540"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Undertaking</w:t>
      </w:r>
      <w:r>
        <w:rPr>
          <w:rFonts w:ascii="Times New Roman" w:cs="Times New Roman" w:eastAsia="Times New Roman" w:hAnsi="Times New Roman"/>
          <w:sz w:val="18"/>
          <w:szCs w:val="18"/>
          <w:color w:val="auto"/>
        </w:rPr>
        <w:t>” means a confidentiality undertaking substantially in a recommended form of the LMA or in any other form agreed between the Borrower and the Agent.</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Group Assets</w:t>
      </w:r>
      <w:r>
        <w:rPr>
          <w:rFonts w:ascii="Times New Roman" w:cs="Times New Roman" w:eastAsia="Times New Roman" w:hAnsi="Times New Roman"/>
          <w:sz w:val="18"/>
          <w:szCs w:val="18"/>
          <w:color w:val="auto"/>
        </w:rPr>
        <w:t>” has the meaning given to the term in Clause 22.1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540" w:right="1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in respect of any company, having the power (either directly or indirectly and whether by way of ownership of shares, proxy, contract, agency or otherwise) to (a) appoint or remove the majority of the directors or other equivalent officers of such company; and (b) give directions with respect to the affairs, operating, investment decisions and financial or other policies of that company with which the directors or other equivalent officers of that company are obliged to comply.</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Core Business</w:t>
      </w:r>
      <w:r>
        <w:rPr>
          <w:rFonts w:ascii="Times New Roman" w:cs="Times New Roman" w:eastAsia="Times New Roman" w:hAnsi="Times New Roman"/>
          <w:sz w:val="18"/>
          <w:szCs w:val="18"/>
          <w:color w:val="auto"/>
        </w:rPr>
        <w:t>” has the meaning given to the term under the definition of “Competitor”.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CTA</w:t>
      </w:r>
      <w:r>
        <w:rPr>
          <w:rFonts w:ascii="Times New Roman" w:cs="Times New Roman" w:eastAsia="Times New Roman" w:hAnsi="Times New Roman"/>
          <w:sz w:val="18"/>
          <w:szCs w:val="18"/>
          <w:color w:val="auto"/>
        </w:rPr>
        <w:t>” means the Corporation Tax Act 2009.</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Purchase Transaction</w:t>
      </w:r>
      <w:r>
        <w:rPr>
          <w:rFonts w:ascii="Times New Roman" w:cs="Times New Roman" w:eastAsia="Times New Roman" w:hAnsi="Times New Roman"/>
          <w:sz w:val="18"/>
          <w:szCs w:val="18"/>
          <w:color w:val="auto"/>
        </w:rPr>
        <w:t>” means, in relation to a person, a transaction where such person:</w:t>
      </w:r>
    </w:p>
    <w:p>
      <w:pPr>
        <w:spacing w:after="0" w:line="135" w:lineRule="exact"/>
        <w:rPr>
          <w:sz w:val="20"/>
          <w:szCs w:val="20"/>
          <w:color w:val="auto"/>
        </w:rPr>
      </w:pPr>
    </w:p>
    <w:p>
      <w:pPr>
        <w:ind w:left="1180" w:hanging="644"/>
        <w:spacing w:after="0"/>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way of assignment or transfer;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sub-participation in respect of; or</w:t>
      </w:r>
    </w:p>
    <w:p>
      <w:pPr>
        <w:spacing w:after="0" w:line="130" w:lineRule="exact"/>
        <w:rPr>
          <w:rFonts w:ascii="Times New Roman" w:cs="Times New Roman" w:eastAsia="Times New Roman" w:hAnsi="Times New Roman"/>
          <w:sz w:val="18"/>
          <w:szCs w:val="18"/>
          <w:color w:val="auto"/>
        </w:rPr>
      </w:pPr>
    </w:p>
    <w:p>
      <w:pPr>
        <w:ind w:left="540" w:right="440" w:hanging="4"/>
        <w:spacing w:after="0" w:line="373" w:lineRule="auto"/>
        <w:tabs>
          <w:tab w:leader="none" w:pos="11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other agreement or arrangement having an economic effect substantially similar to a sub-participation in respect of, any Commitment or amount outstanding under this Agreement.</w:t>
      </w:r>
    </w:p>
    <w:p>
      <w:pPr>
        <w:spacing w:after="0" w:line="1" w:lineRule="exact"/>
        <w:rPr>
          <w:sz w:val="20"/>
          <w:szCs w:val="20"/>
          <w:color w:val="auto"/>
        </w:rPr>
      </w:pPr>
    </w:p>
    <w:p>
      <w:pPr>
        <w:jc w:val="both"/>
        <w:ind w:left="54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 Event of Default or any event or circumstance specified in Clause 24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means any Lender (other than a Lender which is a Sponsor Affiliate):</w:t>
      </w:r>
    </w:p>
    <w:p>
      <w:pPr>
        <w:spacing w:after="0" w:line="135" w:lineRule="exact"/>
        <w:rPr>
          <w:sz w:val="20"/>
          <w:szCs w:val="20"/>
          <w:color w:val="auto"/>
        </w:rPr>
      </w:pPr>
    </w:p>
    <w:p>
      <w:pPr>
        <w:ind w:left="1180" w:right="120" w:hanging="644"/>
        <w:spacing w:after="0" w:line="266" w:lineRule="auto"/>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failed to make its participation in a Loan available (or has notified the Agent or the Borrower (which has notified the Agent) that it will not make its participation in a Loan available) by the Utilisation Date of that Loan in accordance with Clause 5.4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participation</w:t>
      </w:r>
      <w:r>
        <w:rPr>
          <w:rFonts w:ascii="Times New Roman" w:cs="Times New Roman" w:eastAsia="Times New Roman" w:hAnsi="Times New Roman"/>
          <w:sz w:val="18"/>
          <w:szCs w:val="18"/>
          <w:color w:val="auto"/>
        </w:rPr>
        <w:t>) ;</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otherwise rescinded or repudiated a Finance Document;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 Insolvency Event has occurred and is continuing,</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unless, in the case of paragraph (a) above:</w:t>
      </w:r>
    </w:p>
    <w:p>
      <w:pPr>
        <w:spacing w:after="0" w:line="131" w:lineRule="exact"/>
        <w:rPr>
          <w:sz w:val="20"/>
          <w:szCs w:val="20"/>
          <w:color w:val="auto"/>
        </w:rPr>
      </w:pPr>
    </w:p>
    <w:p>
      <w:pPr>
        <w:ind w:left="1740" w:hanging="543"/>
        <w:spacing w:after="0"/>
        <w:tabs>
          <w:tab w:leader="none" w:pos="1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payment is made within five (5) Business Days of its due date; or</w:t>
      </w:r>
    </w:p>
    <w:p>
      <w:pPr>
        <w:spacing w:after="0" w:line="131" w:lineRule="exact"/>
        <w:rPr>
          <w:sz w:val="20"/>
          <w:szCs w:val="20"/>
          <w:color w:val="auto"/>
        </w:rPr>
      </w:pPr>
    </w:p>
    <w:p>
      <w:pPr>
        <w:ind w:left="1740" w:hanging="543"/>
        <w:spacing w:after="0"/>
        <w:tabs>
          <w:tab w:leader="none" w:pos="1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disputing in good faith whether it is contractually obliged to make the payment in question.</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6" w:name="page17"/>
    <w:bookmarkEnd w:id="16"/>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Delegate</w:t>
      </w:r>
      <w:r>
        <w:rPr>
          <w:rFonts w:ascii="Times New Roman" w:cs="Times New Roman" w:eastAsia="Times New Roman" w:hAnsi="Times New Roman"/>
          <w:sz w:val="18"/>
          <w:szCs w:val="18"/>
          <w:color w:val="auto"/>
        </w:rPr>
        <w:t>” means any delegate, agent, attorney or co-trustee appointed by the Security Agent.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Citibank, N.A., acting as depositary under the deposit agreements in respect of the Listco ADSs.</w:t>
      </w:r>
    </w:p>
    <w:p>
      <w:pPr>
        <w:spacing w:after="0" w:line="117" w:lineRule="exact"/>
        <w:rPr>
          <w:sz w:val="20"/>
          <w:szCs w:val="20"/>
          <w:color w:val="auto"/>
        </w:rPr>
      </w:pPr>
    </w:p>
    <w:p>
      <w:pPr>
        <w:ind w:left="540"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Disposal</w:t>
      </w:r>
      <w:r>
        <w:rPr>
          <w:rFonts w:ascii="Times New Roman" w:cs="Times New Roman" w:eastAsia="Times New Roman" w:hAnsi="Times New Roman"/>
          <w:sz w:val="18"/>
          <w:szCs w:val="18"/>
          <w:color w:val="auto"/>
        </w:rPr>
        <w:t>” means a sale, lease, licence, transfer, loan or other disposal by a person of any asset, undertaking or business (whether by a voluntary or involuntary single transaction or series of transactions).</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Disposal Proceeds</w:t>
      </w:r>
      <w:r>
        <w:rPr>
          <w:rFonts w:ascii="Times New Roman" w:cs="Times New Roman" w:eastAsia="Times New Roman" w:hAnsi="Times New Roman"/>
          <w:sz w:val="18"/>
          <w:szCs w:val="18"/>
          <w:color w:val="auto"/>
        </w:rPr>
        <w:t>” has the meaning given to the term under paragraph (a) of Clause 8.2 (</w:t>
      </w:r>
      <w:r>
        <w:rPr>
          <w:rFonts w:ascii="Times New Roman" w:cs="Times New Roman" w:eastAsia="Times New Roman" w:hAnsi="Times New Roman"/>
          <w:sz w:val="18"/>
          <w:szCs w:val="18"/>
          <w:i w:val="1"/>
          <w:iCs w:val="1"/>
          <w:color w:val="auto"/>
        </w:rPr>
        <w:t>Disposal Proceeds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Disruption Event</w:t>
      </w:r>
      <w:r>
        <w:rPr>
          <w:rFonts w:ascii="Times New Roman" w:cs="Times New Roman" w:eastAsia="Times New Roman" w:hAnsi="Times New Roman"/>
          <w:sz w:val="18"/>
          <w:szCs w:val="18"/>
          <w:color w:val="auto"/>
        </w:rPr>
        <w:t>” means either or both of:</w:t>
      </w:r>
    </w:p>
    <w:p>
      <w:pPr>
        <w:spacing w:after="0" w:line="135" w:lineRule="exact"/>
        <w:rPr>
          <w:sz w:val="20"/>
          <w:szCs w:val="20"/>
          <w:color w:val="auto"/>
        </w:rPr>
      </w:pPr>
    </w:p>
    <w:p>
      <w:pPr>
        <w:ind w:left="1180" w:right="60" w:hanging="644"/>
        <w:spacing w:after="0" w:line="266" w:lineRule="auto"/>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disruption to those payment or communications systems or to those financial markets which are, in each case, required to operate in order for payments to be made in connection with any Facility (or otherwise in order for the transactions contemplated by the Finance Documents to be carried out) which disruption is not caused by, and is beyond the control of, any of the Parties; or</w:t>
      </w:r>
    </w:p>
    <w:p>
      <w:pPr>
        <w:spacing w:after="0" w:line="81" w:lineRule="exact"/>
        <w:rPr>
          <w:rFonts w:ascii="Times New Roman" w:cs="Times New Roman" w:eastAsia="Times New Roman" w:hAnsi="Times New Roman"/>
          <w:sz w:val="18"/>
          <w:szCs w:val="18"/>
          <w:color w:val="auto"/>
        </w:rPr>
      </w:pPr>
    </w:p>
    <w:p>
      <w:pPr>
        <w:ind w:left="1180" w:right="360" w:hanging="644"/>
        <w:spacing w:after="0" w:line="282" w:lineRule="auto"/>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which results in a disruption (of a technical or systems-related nature) to the treasury or payments operations of a Party preventing that, or any other Party:</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performing its payment obligations under the Finance Documents; 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communicating with other Parties in accordance with the terms of the Finance Documents,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which (in either such case) is not caused by, and is beyond the control of, the Party whose operations are disrupted.</w:t>
      </w:r>
    </w:p>
    <w:p>
      <w:pPr>
        <w:spacing w:after="0" w:line="113" w:lineRule="exact"/>
        <w:rPr>
          <w:sz w:val="20"/>
          <w:szCs w:val="20"/>
          <w:color w:val="auto"/>
        </w:rPr>
      </w:pPr>
    </w:p>
    <w:p>
      <w:pPr>
        <w:ind w:left="54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Distressed Investor</w:t>
      </w:r>
      <w:r>
        <w:rPr>
          <w:rFonts w:ascii="Times New Roman" w:cs="Times New Roman" w:eastAsia="Times New Roman" w:hAnsi="Times New Roman"/>
          <w:sz w:val="18"/>
          <w:szCs w:val="18"/>
          <w:color w:val="auto"/>
        </w:rPr>
        <w:t>” means a loan to own fund, vulture fund, distressed debt fund or any other entity (including a business group within a bank or financial institution) which is established for or principally invests in distressed debt (or any similar fund or entity).</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Green Activities</w:t>
      </w:r>
      <w:r>
        <w:rPr>
          <w:rFonts w:ascii="Times New Roman" w:cs="Times New Roman" w:eastAsia="Times New Roman" w:hAnsi="Times New Roman"/>
          <w:sz w:val="18"/>
          <w:szCs w:val="18"/>
          <w:color w:val="auto"/>
        </w:rPr>
        <w:t>” has the meaning given to the term in Clause 43 (</w:t>
      </w:r>
      <w:r>
        <w:rPr>
          <w:rFonts w:ascii="Times New Roman" w:cs="Times New Roman" w:eastAsia="Times New Roman" w:hAnsi="Times New Roman"/>
          <w:sz w:val="18"/>
          <w:szCs w:val="18"/>
          <w:i w:val="1"/>
          <w:iCs w:val="1"/>
          <w:color w:val="auto"/>
        </w:rPr>
        <w:t>Green Loan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Institution</w:t>
      </w:r>
      <w:r>
        <w:rPr>
          <w:rFonts w:ascii="Times New Roman" w:cs="Times New Roman" w:eastAsia="Times New Roman" w:hAnsi="Times New Roman"/>
          <w:sz w:val="18"/>
          <w:szCs w:val="18"/>
          <w:color w:val="auto"/>
        </w:rPr>
        <w:t>” means any Lender or other bank, financial institution, trust, fund or other entity selected by the Company and which, in each case, is not a Group Member or a Sponsor Affiliate.</w:t>
      </w:r>
    </w:p>
    <w:p>
      <w:pPr>
        <w:spacing w:after="0" w:line="47" w:lineRule="exact"/>
        <w:rPr>
          <w:sz w:val="20"/>
          <w:szCs w:val="20"/>
          <w:color w:val="auto"/>
        </w:rPr>
      </w:pPr>
    </w:p>
    <w:p>
      <w:pPr>
        <w:ind w:left="540"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means humans, animals, plants and all other living organisms including the ecological systems of which they form part and the following media:</w:t>
      </w:r>
    </w:p>
    <w:p>
      <w:pPr>
        <w:spacing w:after="0" w:line="64" w:lineRule="exact"/>
        <w:rPr>
          <w:sz w:val="20"/>
          <w:szCs w:val="20"/>
          <w:color w:val="auto"/>
        </w:rPr>
      </w:pPr>
    </w:p>
    <w:p>
      <w:pPr>
        <w:ind w:left="1180" w:hanging="644"/>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(including, without limitation, air within natural or man-made structures, whether above or below ground);</w:t>
      </w:r>
    </w:p>
    <w:p>
      <w:pPr>
        <w:spacing w:after="0" w:line="130" w:lineRule="exact"/>
        <w:rPr>
          <w:rFonts w:ascii="Times New Roman" w:cs="Times New Roman" w:eastAsia="Times New Roman" w:hAnsi="Times New Roman"/>
          <w:sz w:val="18"/>
          <w:szCs w:val="18"/>
          <w:color w:val="auto"/>
        </w:rPr>
      </w:pPr>
    </w:p>
    <w:p>
      <w:pPr>
        <w:ind w:left="1180" w:right="220" w:hanging="644"/>
        <w:spacing w:after="0" w:line="282" w:lineRule="auto"/>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(including, without limitation, territorial, coastal and inland waters, water under or within land and water in drains and sewers);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(including, without limitation, land under water).</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17" w:name="page18"/>
    <w:bookmarkEnd w:id="17"/>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claim, proceeding, formal notice or investigation by any person in respect of any Environmental Law.</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applicable law or regulation which relates to:</w:t>
      </w:r>
    </w:p>
    <w:p>
      <w:pPr>
        <w:spacing w:after="0" w:line="135" w:lineRule="exact"/>
        <w:rPr>
          <w:sz w:val="20"/>
          <w:szCs w:val="20"/>
          <w:color w:val="auto"/>
        </w:rPr>
      </w:pPr>
    </w:p>
    <w:p>
      <w:pPr>
        <w:ind w:left="1180" w:hanging="644"/>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pollution or protection of the Environment;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of the workplace; or</w:t>
      </w:r>
    </w:p>
    <w:p>
      <w:pPr>
        <w:spacing w:after="0" w:line="130"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generation, handling, storage, use, release or spillage of any substance which, alone or in combination with any other, is capable of causing harm to the Environment, including, without limitation, any waste.</w:t>
      </w:r>
    </w:p>
    <w:p>
      <w:pPr>
        <w:spacing w:after="0" w:line="50" w:lineRule="exact"/>
        <w:rPr>
          <w:sz w:val="20"/>
          <w:szCs w:val="20"/>
          <w:color w:val="auto"/>
        </w:rPr>
      </w:pPr>
    </w:p>
    <w:p>
      <w:pPr>
        <w:ind w:left="540"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Permits</w:t>
      </w:r>
      <w:r>
        <w:rPr>
          <w:rFonts w:ascii="Times New Roman" w:cs="Times New Roman" w:eastAsia="Times New Roman" w:hAnsi="Times New Roman"/>
          <w:sz w:val="18"/>
          <w:szCs w:val="18"/>
          <w:color w:val="auto"/>
        </w:rPr>
        <w:t>” means any permit and other Authorisation and the filing of any notification, report or assessment required under any Environmental Law for the operation of the business of any Group Member conducted on or from the properties owned or used by any Group Member.</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EURIBOR</w:t>
      </w:r>
      <w:r>
        <w:rPr>
          <w:rFonts w:ascii="Times New Roman" w:cs="Times New Roman" w:eastAsia="Times New Roman" w:hAnsi="Times New Roman"/>
          <w:sz w:val="18"/>
          <w:szCs w:val="18"/>
          <w:color w:val="auto"/>
        </w:rPr>
        <w:t>” means, in relation to any Loan (Facility A):</w:t>
      </w:r>
    </w:p>
    <w:p>
      <w:pPr>
        <w:spacing w:after="0" w:line="135" w:lineRule="exact"/>
        <w:rPr>
          <w:sz w:val="20"/>
          <w:szCs w:val="20"/>
          <w:color w:val="auto"/>
        </w:rPr>
      </w:pPr>
    </w:p>
    <w:p>
      <w:pPr>
        <w:ind w:left="1180" w:right="40" w:hanging="644"/>
        <w:spacing w:after="0" w:line="282"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as of the Specified Time for EUR and for a period equal in length to the Interest Period of that Loan (Facility A); or</w:t>
      </w:r>
    </w:p>
    <w:p>
      <w:pPr>
        <w:spacing w:after="0" w:line="6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determined pursuant to Clause 12.1 (</w:t>
      </w:r>
      <w:r>
        <w:rPr>
          <w:rFonts w:ascii="Times New Roman" w:cs="Times New Roman" w:eastAsia="Times New Roman" w:hAnsi="Times New Roman"/>
          <w:sz w:val="18"/>
          <w:szCs w:val="18"/>
          <w:i w:val="1"/>
          <w:iCs w:val="1"/>
          <w:color w:val="auto"/>
        </w:rPr>
        <w:t>Unavailability of Screen Rate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if, in either case, that rate is less than zero, EURIBOR shall be deemed to be zero.</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event or circumstance specified as such in Clause 24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means NASDAQ Stock Market LLC or any successor to that exchange or any substitute exchange or quotation system in the same jurisdiction as the original Exchange acceptable to the Agent.</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Business Day</w:t>
      </w:r>
      <w:r>
        <w:rPr>
          <w:rFonts w:ascii="Times New Roman" w:cs="Times New Roman" w:eastAsia="Times New Roman" w:hAnsi="Times New Roman"/>
          <w:sz w:val="18"/>
          <w:szCs w:val="18"/>
          <w:color w:val="auto"/>
        </w:rPr>
        <w:t>” means any day on which the Exchange is open for trading for a regular trading session.</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Facility A or Facility B and “</w:t>
      </w:r>
      <w:r>
        <w:rPr>
          <w:rFonts w:ascii="Times New Roman" w:cs="Times New Roman" w:eastAsia="Times New Roman" w:hAnsi="Times New Roman"/>
          <w:sz w:val="18"/>
          <w:szCs w:val="18"/>
          <w:b w:val="1"/>
          <w:bCs w:val="1"/>
          <w:color w:val="auto"/>
        </w:rPr>
        <w:t>Facilities</w:t>
      </w:r>
      <w:r>
        <w:rPr>
          <w:rFonts w:ascii="Times New Roman" w:cs="Times New Roman" w:eastAsia="Times New Roman" w:hAnsi="Times New Roman"/>
          <w:sz w:val="18"/>
          <w:szCs w:val="18"/>
          <w:color w:val="auto"/>
        </w:rPr>
        <w:t>” means both of them.</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A</w:t>
      </w:r>
      <w:r>
        <w:rPr>
          <w:rFonts w:ascii="Times New Roman" w:cs="Times New Roman" w:eastAsia="Times New Roman" w:hAnsi="Times New Roman"/>
          <w:sz w:val="18"/>
          <w:szCs w:val="18"/>
          <w:color w:val="auto"/>
        </w:rPr>
        <w:t>” means the term loan facility made available under this Agreement as described in paragraph (a) Clause 2.1 (</w:t>
      </w:r>
      <w:r>
        <w:rPr>
          <w:rFonts w:ascii="Times New Roman" w:cs="Times New Roman" w:eastAsia="Times New Roman" w:hAnsi="Times New Roman"/>
          <w:sz w:val="18"/>
          <w:szCs w:val="18"/>
          <w:i w:val="1"/>
          <w:iCs w:val="1"/>
          <w:color w:val="auto"/>
        </w:rPr>
        <w:t>The Facilities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B</w:t>
      </w:r>
      <w:r>
        <w:rPr>
          <w:rFonts w:ascii="Times New Roman" w:cs="Times New Roman" w:eastAsia="Times New Roman" w:hAnsi="Times New Roman"/>
          <w:sz w:val="18"/>
          <w:szCs w:val="18"/>
          <w:color w:val="auto"/>
        </w:rPr>
        <w:t>” means the term loan facility made available under this Agreement as described in paragraph (b) Clause 2.1 (</w:t>
      </w:r>
      <w:r>
        <w:rPr>
          <w:rFonts w:ascii="Times New Roman" w:cs="Times New Roman" w:eastAsia="Times New Roman" w:hAnsi="Times New Roman"/>
          <w:sz w:val="18"/>
          <w:szCs w:val="18"/>
          <w:i w:val="1"/>
          <w:iCs w:val="1"/>
          <w:color w:val="auto"/>
        </w:rPr>
        <w:t>The Facilities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4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Office</w:t>
      </w:r>
      <w:r>
        <w:rPr>
          <w:rFonts w:ascii="Times New Roman" w:cs="Times New Roman" w:eastAsia="Times New Roman" w:hAnsi="Times New Roman"/>
          <w:sz w:val="18"/>
          <w:szCs w:val="18"/>
          <w:color w:val="auto"/>
        </w:rPr>
        <w:t>” means the office or offices notified by a Lender to the Agent in writing on or before the date it becomes a Lender (or, following that date, by not less than five Business Days’ written notice) as the office or offices through which it will perform its obligations under this Agreement.</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Fallback Interest Period</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hanging="644"/>
        <w:spacing w:after="0"/>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three (3) Months;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relating to a Loan (Facility B)) if the Reference Rate is, or is based on, the Central Bank Rate, one (1) Month.</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18" w:name="page19"/>
    <w:bookmarkEnd w:id="18"/>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hanging="644"/>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1471 to 1474 of the Code and any associated regulations;</w:t>
      </w:r>
    </w:p>
    <w:p>
      <w:pPr>
        <w:spacing w:after="0" w:line="130" w:lineRule="exact"/>
        <w:rPr>
          <w:rFonts w:ascii="Times New Roman" w:cs="Times New Roman" w:eastAsia="Times New Roman" w:hAnsi="Times New Roman"/>
          <w:sz w:val="18"/>
          <w:szCs w:val="18"/>
          <w:color w:val="auto"/>
        </w:rPr>
      </w:pPr>
    </w:p>
    <w:p>
      <w:pPr>
        <w:ind w:left="1180" w:right="340" w:hanging="644"/>
        <w:spacing w:after="0" w:line="312" w:lineRule="auto"/>
        <w:tabs>
          <w:tab w:leader="none" w:pos="11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treaty, law or regulation of any other jurisdiction, or relating to an intergovernmental agreement between the U.S. and any other jurisdiction, which (in either case) facilitates the implementation of any law or regulation referred to in paragraph (a) above; and</w:t>
      </w:r>
    </w:p>
    <w:p>
      <w:pPr>
        <w:spacing w:after="0" w:line="45" w:lineRule="exact"/>
        <w:rPr>
          <w:rFonts w:ascii="Times New Roman" w:cs="Times New Roman" w:eastAsia="Times New Roman" w:hAnsi="Times New Roman"/>
          <w:sz w:val="17"/>
          <w:szCs w:val="17"/>
          <w:color w:val="auto"/>
        </w:rPr>
      </w:pPr>
    </w:p>
    <w:p>
      <w:pPr>
        <w:ind w:left="1180" w:right="240" w:hanging="644"/>
        <w:spacing w:after="0" w:line="282" w:lineRule="auto"/>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Application Date</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right="540" w:hanging="644"/>
        <w:spacing w:after="0" w:line="282"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“withholdable payment” described in section 1473(1)(A)(i) of the Code (which relates to payments of interest and certain other payments from sources within the U.S.), 1 July 2014; or</w:t>
      </w:r>
    </w:p>
    <w:p>
      <w:pPr>
        <w:spacing w:after="0" w:line="67"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Deduction</w:t>
      </w:r>
      <w:r>
        <w:rPr>
          <w:rFonts w:ascii="Times New Roman" w:cs="Times New Roman" w:eastAsia="Times New Roman" w:hAnsi="Times New Roman"/>
          <w:sz w:val="18"/>
          <w:szCs w:val="18"/>
          <w:color w:val="auto"/>
        </w:rPr>
        <w:t>” means a deduction or withholding from a payment under a Finance Document required by FATCA.</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Exempt Party</w:t>
      </w:r>
      <w:r>
        <w:rPr>
          <w:rFonts w:ascii="Times New Roman" w:cs="Times New Roman" w:eastAsia="Times New Roman" w:hAnsi="Times New Roman"/>
          <w:sz w:val="18"/>
          <w:szCs w:val="18"/>
          <w:color w:val="auto"/>
        </w:rPr>
        <w:t>” means a Party that is entitled to receive payments free from any FATCA Deduction.</w:t>
      </w:r>
    </w:p>
    <w:p>
      <w:pPr>
        <w:spacing w:after="0" w:line="117" w:lineRule="exact"/>
        <w:rPr>
          <w:sz w:val="20"/>
          <w:szCs w:val="20"/>
          <w:color w:val="auto"/>
        </w:rPr>
      </w:pPr>
    </w:p>
    <w:p>
      <w:pPr>
        <w:ind w:left="540"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FFI</w:t>
      </w:r>
      <w:r>
        <w:rPr>
          <w:rFonts w:ascii="Times New Roman" w:cs="Times New Roman" w:eastAsia="Times New Roman" w:hAnsi="Times New Roman"/>
          <w:sz w:val="18"/>
          <w:szCs w:val="18"/>
          <w:color w:val="auto"/>
        </w:rPr>
        <w:t>” means a foreign financial institution as defined in section 1471(d)(4) of the Code which, if any Finance Party is not a FATCA Exempt Party, could be required to make a FATCA Deduction.</w:t>
      </w:r>
    </w:p>
    <w:p>
      <w:pPr>
        <w:spacing w:after="0" w:line="47" w:lineRule="exact"/>
        <w:rPr>
          <w:sz w:val="20"/>
          <w:szCs w:val="20"/>
          <w:color w:val="auto"/>
        </w:rPr>
      </w:pPr>
    </w:p>
    <w:p>
      <w:pPr>
        <w:ind w:left="540"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 any letter or letters dated on or about the Signing Date between, as the case may be, the Agent, each Global Coordinator, each MLAB, and/or each MLA and the Company, the Agent and the Company, the Security Agent and the Company, or the Account Bank and the Company setting out any of the fees referred to in Clause 13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540"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means this Agreement, any Fee Letter, the Subordination Deed, the Keepwell Deed, each Security Document and any other document designated as such by the Agent and the Company.</w:t>
      </w:r>
    </w:p>
    <w:p>
      <w:pPr>
        <w:spacing w:after="0" w:line="47" w:lineRule="exact"/>
        <w:rPr>
          <w:sz w:val="20"/>
          <w:szCs w:val="20"/>
          <w:color w:val="auto"/>
        </w:rPr>
      </w:pPr>
    </w:p>
    <w:p>
      <w:pPr>
        <w:ind w:left="540"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Lease</w:t>
      </w:r>
      <w:r>
        <w:rPr>
          <w:rFonts w:ascii="Times New Roman" w:cs="Times New Roman" w:eastAsia="Times New Roman" w:hAnsi="Times New Roman"/>
          <w:sz w:val="18"/>
          <w:szCs w:val="18"/>
          <w:color w:val="auto"/>
        </w:rPr>
        <w:t>” any lease or hire purchase contract, a liability under which would, in accordance with the applicable Accounting Principles, be treated as a balance sheet liability (other than a lease or hire purchase contract which would, in accordance with the Accounting Principles in force prior to 1 January 2019, have been treated as an operating lease).</w:t>
      </w:r>
    </w:p>
    <w:p>
      <w:pPr>
        <w:spacing w:after="0" w:line="63" w:lineRule="exact"/>
        <w:rPr>
          <w:sz w:val="20"/>
          <w:szCs w:val="20"/>
          <w:color w:val="auto"/>
        </w:rPr>
      </w:pPr>
    </w:p>
    <w:p>
      <w:pPr>
        <w:ind w:left="540"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Party</w:t>
      </w:r>
      <w:r>
        <w:rPr>
          <w:rFonts w:ascii="Times New Roman" w:cs="Times New Roman" w:eastAsia="Times New Roman" w:hAnsi="Times New Roman"/>
          <w:sz w:val="18"/>
          <w:szCs w:val="18"/>
          <w:color w:val="auto"/>
        </w:rPr>
        <w:t>” means the Account Bank, the Agent, the Security Agent, a Global Coordinator, a Joint Green Loan Lead Coordinator, the Green Loan Coordinator, an MLAB, an MLA or a Lender.</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Indebtedness</w:t>
      </w:r>
      <w:r>
        <w:rPr>
          <w:rFonts w:ascii="Times New Roman" w:cs="Times New Roman" w:eastAsia="Times New Roman" w:hAnsi="Times New Roman"/>
          <w:sz w:val="18"/>
          <w:szCs w:val="18"/>
          <w:color w:val="auto"/>
        </w:rPr>
        <w:t>” means any indebtedness for or in respect of:</w:t>
      </w:r>
    </w:p>
    <w:p>
      <w:pPr>
        <w:spacing w:after="0" w:line="135" w:lineRule="exact"/>
        <w:rPr>
          <w:sz w:val="20"/>
          <w:szCs w:val="20"/>
          <w:color w:val="auto"/>
        </w:rPr>
      </w:pPr>
    </w:p>
    <w:p>
      <w:pPr>
        <w:ind w:left="1180" w:hanging="644"/>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moneys borrowed;</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sectPr>
      </w:pPr>
    </w:p>
    <w:bookmarkStart w:id="19" w:name="page20"/>
    <w:bookmarkEnd w:id="19"/>
    <w:p>
      <w:pPr>
        <w:ind w:left="1180" w:hanging="644"/>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amount raised by acceptance under any acceptance credit facility or dematerialised equivalent;</w:t>
      </w:r>
    </w:p>
    <w:p>
      <w:pPr>
        <w:spacing w:after="0" w:line="130" w:lineRule="exact"/>
        <w:rPr>
          <w:rFonts w:ascii="Times New Roman" w:cs="Times New Roman" w:eastAsia="Times New Roman" w:hAnsi="Times New Roman"/>
          <w:sz w:val="18"/>
          <w:szCs w:val="18"/>
          <w:color w:val="auto"/>
        </w:rPr>
      </w:pPr>
    </w:p>
    <w:p>
      <w:pPr>
        <w:ind w:left="1180" w:right="120" w:hanging="644"/>
        <w:spacing w:after="0" w:line="276" w:lineRule="auto"/>
        <w:tabs>
          <w:tab w:leader="none" w:pos="11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raised pursuant to any note purchase facility or the issue of bonds, notes, debentures, loan stock or any similar instrument (other than Trade Instruments, but, for the avoidance of doubt, including any equity linked indebtedness contemplated under paragraph</w:t>
      </w:r>
    </w:p>
    <w:p>
      <w:pPr>
        <w:ind w:left="1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of the definition of “Permitted Distribution”);</w:t>
      </w:r>
    </w:p>
    <w:p>
      <w:pPr>
        <w:spacing w:after="0" w:line="112" w:lineRule="exact"/>
        <w:rPr>
          <w:rFonts w:ascii="Times New Roman" w:cs="Times New Roman" w:eastAsia="Times New Roman" w:hAnsi="Times New Roman"/>
          <w:sz w:val="17"/>
          <w:szCs w:val="17"/>
          <w:color w:val="auto"/>
        </w:rPr>
      </w:pPr>
    </w:p>
    <w:p>
      <w:pPr>
        <w:ind w:left="1180" w:hanging="644"/>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Finance Leases;</w:t>
      </w:r>
    </w:p>
    <w:p>
      <w:pPr>
        <w:spacing w:after="0" w:line="130" w:lineRule="exact"/>
        <w:rPr>
          <w:rFonts w:ascii="Times New Roman" w:cs="Times New Roman" w:eastAsia="Times New Roman" w:hAnsi="Times New Roman"/>
          <w:sz w:val="18"/>
          <w:szCs w:val="18"/>
          <w:color w:val="auto"/>
        </w:rPr>
      </w:pPr>
    </w:p>
    <w:p>
      <w:pPr>
        <w:ind w:left="1180" w:right="440" w:hanging="644"/>
        <w:spacing w:after="0" w:line="282"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sold or discounted (other than any receivables to the extent they are sold on a non-recourse basis (subject to customary exceptions in the ordinary course of trading));</w:t>
      </w:r>
    </w:p>
    <w:p>
      <w:pPr>
        <w:spacing w:after="0" w:line="67"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under any other transaction (including any forward sale or purchase agreement) of a type not referred to in any other paragraph of this definition having the commercial effect of a borrowing;</w:t>
      </w:r>
    </w:p>
    <w:p>
      <w:pPr>
        <w:spacing w:after="0" w:line="67" w:lineRule="exact"/>
        <w:rPr>
          <w:rFonts w:ascii="Times New Roman" w:cs="Times New Roman" w:eastAsia="Times New Roman" w:hAnsi="Times New Roman"/>
          <w:sz w:val="18"/>
          <w:szCs w:val="18"/>
          <w:color w:val="auto"/>
        </w:rPr>
      </w:pPr>
    </w:p>
    <w:p>
      <w:pPr>
        <w:ind w:left="1180" w:right="160" w:hanging="644"/>
        <w:spacing w:after="0" w:line="266"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81"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which are expressed to be redeemable (other than the shares redeemable solely at the option of the issuer) on or prior to the date falling six Months after the Termination Date;</w:t>
      </w:r>
    </w:p>
    <w:p>
      <w:pPr>
        <w:spacing w:after="0" w:line="67" w:lineRule="exact"/>
        <w:rPr>
          <w:rFonts w:ascii="Times New Roman" w:cs="Times New Roman" w:eastAsia="Times New Roman" w:hAnsi="Times New Roman"/>
          <w:sz w:val="18"/>
          <w:szCs w:val="18"/>
          <w:color w:val="auto"/>
        </w:rPr>
      </w:pPr>
    </w:p>
    <w:p>
      <w:pPr>
        <w:ind w:left="1180" w:right="560" w:hanging="644"/>
        <w:spacing w:after="0" w:line="282"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counter-indemnity obligation in respect of a guarantee, indemnity, bond, standby or documentary letter of credit or any other instrument issued by a bank or financial institution (other than Trade Instruments); and</w:t>
      </w:r>
    </w:p>
    <w:p>
      <w:pPr>
        <w:spacing w:after="0" w:line="67" w:lineRule="exact"/>
        <w:rPr>
          <w:rFonts w:ascii="Times New Roman" w:cs="Times New Roman" w:eastAsia="Times New Roman" w:hAnsi="Times New Roman"/>
          <w:sz w:val="18"/>
          <w:szCs w:val="18"/>
          <w:color w:val="auto"/>
        </w:rPr>
      </w:pPr>
    </w:p>
    <w:p>
      <w:pPr>
        <w:ind w:left="1180" w:right="620" w:hanging="644"/>
        <w:spacing w:after="0" w:line="282"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double counting) the amount of any liability in respect of any guarantee or indemnity for any of the items referred to in paragraphs (a) to (i) above.</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Quarter</w:t>
      </w:r>
      <w:r>
        <w:rPr>
          <w:rFonts w:ascii="Times New Roman" w:cs="Times New Roman" w:eastAsia="Times New Roman" w:hAnsi="Times New Roman"/>
          <w:sz w:val="18"/>
          <w:szCs w:val="18"/>
          <w:color w:val="auto"/>
        </w:rPr>
        <w:t>” means the period commencing on the day after one Quarter Date and ending on the next Quarter Date.</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Year</w:t>
      </w:r>
      <w:r>
        <w:rPr>
          <w:rFonts w:ascii="Times New Roman" w:cs="Times New Roman" w:eastAsia="Times New Roman" w:hAnsi="Times New Roman"/>
          <w:sz w:val="18"/>
          <w:szCs w:val="18"/>
          <w:color w:val="auto"/>
        </w:rPr>
        <w:t>” means the financial year of the Borrower, ending on 31 December of each calendar year.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Rate</w:t>
      </w:r>
      <w:r>
        <w:rPr>
          <w:rFonts w:ascii="Times New Roman" w:cs="Times New Roman" w:eastAsia="Times New Roman" w:hAnsi="Times New Roman"/>
          <w:sz w:val="18"/>
          <w:szCs w:val="18"/>
          <w:color w:val="auto"/>
        </w:rPr>
        <w:t>” means any individual rate notified by a Lender to the Agent pursuant to paragraph (a)(ii) of Clause 12.4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Geely Automobile</w:t>
      </w:r>
      <w:r>
        <w:rPr>
          <w:rFonts w:ascii="Times New Roman" w:cs="Times New Roman" w:eastAsia="Times New Roman" w:hAnsi="Times New Roman"/>
          <w:sz w:val="18"/>
          <w:szCs w:val="18"/>
          <w:color w:val="auto"/>
        </w:rPr>
        <w:t>” means Geely Automobile Holdings Limited, a company incorporated under the laws of Cayman Islands with its registration no. of 66512 and its registered address at P.O. Box 309, Ugland House, Grand Cayman, KY1-1104, Cayman Islands, listed on the Hong Kong Stock Exchange with stock code HK: 00175.</w:t>
      </w:r>
    </w:p>
    <w:p>
      <w:pPr>
        <w:spacing w:after="0" w:line="63" w:lineRule="exact"/>
        <w:rPr>
          <w:sz w:val="20"/>
          <w:szCs w:val="20"/>
          <w:color w:val="auto"/>
        </w:rPr>
      </w:pPr>
    </w:p>
    <w:p>
      <w:pPr>
        <w:ind w:left="540"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Geely International</w:t>
      </w:r>
      <w:r>
        <w:rPr>
          <w:rFonts w:ascii="Times New Roman" w:cs="Times New Roman" w:eastAsia="Times New Roman" w:hAnsi="Times New Roman"/>
          <w:sz w:val="18"/>
          <w:szCs w:val="18"/>
          <w:color w:val="auto"/>
        </w:rPr>
        <w:t>” means GEELY INTERNATIONAL (HONG KONG) LIMITED, a company incorporated under the laws of Hong Kong with its registration no. of 940401 and its registered address at Unit 2204, 22/F, Lippo Centre, Tower 2, 89 Queensway, Hong Kong.</w:t>
      </w:r>
    </w:p>
    <w:p>
      <w:pPr>
        <w:spacing w:after="0" w:line="91"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0" w:name="page21"/>
    <w:bookmarkEnd w:id="20"/>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has the meaning given to the term in Clause 43 (</w:t>
      </w:r>
      <w:r>
        <w:rPr>
          <w:rFonts w:ascii="Times New Roman" w:cs="Times New Roman" w:eastAsia="Times New Roman" w:hAnsi="Times New Roman"/>
          <w:sz w:val="18"/>
          <w:szCs w:val="18"/>
          <w:i w:val="1"/>
          <w:iCs w:val="1"/>
          <w:color w:val="auto"/>
        </w:rPr>
        <w:t>Green Loan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Green Loan Facility</w:t>
      </w:r>
      <w:r>
        <w:rPr>
          <w:rFonts w:ascii="Times New Roman" w:cs="Times New Roman" w:eastAsia="Times New Roman" w:hAnsi="Times New Roman"/>
          <w:sz w:val="18"/>
          <w:szCs w:val="18"/>
          <w:color w:val="auto"/>
        </w:rPr>
        <w:t>” has the meaning given to the term in Clause 43 (</w:t>
      </w:r>
      <w:r>
        <w:rPr>
          <w:rFonts w:ascii="Times New Roman" w:cs="Times New Roman" w:eastAsia="Times New Roman" w:hAnsi="Times New Roman"/>
          <w:sz w:val="18"/>
          <w:szCs w:val="18"/>
          <w:i w:val="1"/>
          <w:iCs w:val="1"/>
          <w:color w:val="auto"/>
        </w:rPr>
        <w:t>Green Loan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Green Loan Impact Report</w:t>
      </w:r>
      <w:r>
        <w:rPr>
          <w:rFonts w:ascii="Times New Roman" w:cs="Times New Roman" w:eastAsia="Times New Roman" w:hAnsi="Times New Roman"/>
          <w:sz w:val="18"/>
          <w:szCs w:val="18"/>
          <w:color w:val="auto"/>
        </w:rPr>
        <w:t>” has the meaning given to the term in Clause 43 (</w:t>
      </w:r>
      <w:r>
        <w:rPr>
          <w:rFonts w:ascii="Times New Roman" w:cs="Times New Roman" w:eastAsia="Times New Roman" w:hAnsi="Times New Roman"/>
          <w:sz w:val="18"/>
          <w:szCs w:val="18"/>
          <w:i w:val="1"/>
          <w:iCs w:val="1"/>
          <w:color w:val="auto"/>
        </w:rPr>
        <w:t>Green Loan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Green Loan Information</w:t>
      </w:r>
      <w:r>
        <w:rPr>
          <w:rFonts w:ascii="Times New Roman" w:cs="Times New Roman" w:eastAsia="Times New Roman" w:hAnsi="Times New Roman"/>
          <w:sz w:val="18"/>
          <w:szCs w:val="18"/>
          <w:color w:val="auto"/>
        </w:rPr>
        <w:t>” means information which has been:</w:t>
      </w:r>
    </w:p>
    <w:p>
      <w:pPr>
        <w:spacing w:after="0" w:line="135" w:lineRule="exact"/>
        <w:rPr>
          <w:sz w:val="20"/>
          <w:szCs w:val="20"/>
          <w:color w:val="auto"/>
        </w:rPr>
      </w:pPr>
    </w:p>
    <w:p>
      <w:pPr>
        <w:ind w:left="1180" w:right="260" w:hanging="644"/>
        <w:spacing w:after="0" w:line="282" w:lineRule="auto"/>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by or on behalf of a Group Member to a Finance Party and/or to any Joint Green Loan Lead Coordinator or the Green Loan Coordinator; or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any Group Member, solely in connection with, and to the extent it relates to, any Green Loan Impact Report.)</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Green Loan Provisions</w:t>
      </w:r>
      <w:r>
        <w:rPr>
          <w:rFonts w:ascii="Times New Roman" w:cs="Times New Roman" w:eastAsia="Times New Roman" w:hAnsi="Times New Roman"/>
          <w:sz w:val="18"/>
          <w:szCs w:val="18"/>
          <w:color w:val="auto"/>
        </w:rPr>
        <w:t>” has the meaning given to the term in Clause 43 (</w:t>
      </w:r>
      <w:r>
        <w:rPr>
          <w:rFonts w:ascii="Times New Roman" w:cs="Times New Roman" w:eastAsia="Times New Roman" w:hAnsi="Times New Roman"/>
          <w:sz w:val="18"/>
          <w:szCs w:val="18"/>
          <w:i w:val="1"/>
          <w:iCs w:val="1"/>
          <w:color w:val="auto"/>
        </w:rPr>
        <w:t>Green Loan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Green Loan Transaction</w:t>
      </w:r>
      <w:r>
        <w:rPr>
          <w:rFonts w:ascii="Times New Roman" w:cs="Times New Roman" w:eastAsia="Times New Roman" w:hAnsi="Times New Roman"/>
          <w:sz w:val="18"/>
          <w:szCs w:val="18"/>
          <w:color w:val="auto"/>
        </w:rPr>
        <w:t>” has the meaning given to the term in Clause 43 (</w:t>
      </w:r>
      <w:r>
        <w:rPr>
          <w:rFonts w:ascii="Times New Roman" w:cs="Times New Roman" w:eastAsia="Times New Roman" w:hAnsi="Times New Roman"/>
          <w:sz w:val="18"/>
          <w:szCs w:val="18"/>
          <w:i w:val="1"/>
          <w:iCs w:val="1"/>
          <w:color w:val="auto"/>
        </w:rPr>
        <w:t>Green Loan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Company and its Subsidiaries from time to time (each being a “</w:t>
      </w:r>
      <w:r>
        <w:rPr>
          <w:rFonts w:ascii="Times New Roman" w:cs="Times New Roman" w:eastAsia="Times New Roman" w:hAnsi="Times New Roman"/>
          <w:sz w:val="18"/>
          <w:szCs w:val="18"/>
          <w:b w:val="1"/>
          <w:bCs w:val="1"/>
          <w:color w:val="auto"/>
        </w:rPr>
        <w:t>Group Member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Cash</w:t>
      </w:r>
      <w:r>
        <w:rPr>
          <w:rFonts w:ascii="Times New Roman" w:cs="Times New Roman" w:eastAsia="Times New Roman" w:hAnsi="Times New Roman"/>
          <w:sz w:val="18"/>
          <w:szCs w:val="18"/>
          <w:color w:val="auto"/>
        </w:rPr>
        <w:t>” has the meaning given to the term in Clause 22.1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Cash Equivalent Investments</w:t>
      </w:r>
      <w:r>
        <w:rPr>
          <w:rFonts w:ascii="Times New Roman" w:cs="Times New Roman" w:eastAsia="Times New Roman" w:hAnsi="Times New Roman"/>
          <w:sz w:val="18"/>
          <w:szCs w:val="18"/>
          <w:color w:val="auto"/>
        </w:rPr>
        <w:t>” has the meaning given to the term in Clause 22.1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Member</w:t>
      </w:r>
      <w:r>
        <w:rPr>
          <w:rFonts w:ascii="Times New Roman" w:cs="Times New Roman" w:eastAsia="Times New Roman" w:hAnsi="Times New Roman"/>
          <w:sz w:val="18"/>
          <w:szCs w:val="18"/>
          <w:color w:val="auto"/>
        </w:rPr>
        <w:t>” has the meaning given to the term in the definition of “Group”.</w:t>
      </w:r>
    </w:p>
    <w:p>
      <w:pPr>
        <w:spacing w:after="0" w:line="117" w:lineRule="exact"/>
        <w:rPr>
          <w:sz w:val="20"/>
          <w:szCs w:val="20"/>
          <w:color w:val="auto"/>
        </w:rPr>
      </w:pPr>
    </w:p>
    <w:p>
      <w:pPr>
        <w:ind w:left="540"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Structure Chart</w:t>
      </w:r>
      <w:r>
        <w:rPr>
          <w:rFonts w:ascii="Times New Roman" w:cs="Times New Roman" w:eastAsia="Times New Roman" w:hAnsi="Times New Roman"/>
          <w:sz w:val="18"/>
          <w:szCs w:val="18"/>
          <w:color w:val="auto"/>
        </w:rPr>
        <w:t>” means the group structure chart delivered to the Agent on or around the Signing Date which shall comply with the requirements set out under Clause 20.22 (</w:t>
      </w:r>
      <w:r>
        <w:rPr>
          <w:rFonts w:ascii="Times New Roman" w:cs="Times New Roman" w:eastAsia="Times New Roman" w:hAnsi="Times New Roman"/>
          <w:sz w:val="18"/>
          <w:szCs w:val="18"/>
          <w:i w:val="1"/>
          <w:iCs w:val="1"/>
          <w:color w:val="auto"/>
        </w:rPr>
        <w:t>Group Structure Chart</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540"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Historic CME Term SOFR</w:t>
      </w:r>
      <w:r>
        <w:rPr>
          <w:rFonts w:ascii="Times New Roman" w:cs="Times New Roman" w:eastAsia="Times New Roman" w:hAnsi="Times New Roman"/>
          <w:sz w:val="18"/>
          <w:szCs w:val="18"/>
          <w:color w:val="auto"/>
        </w:rPr>
        <w:t>” means, in relation to any Loan (Facility B), the most recent applicable CME Term SOFR for a period equal in length to the Interest Period of that Loan (Facility B) and which is as of a day which is no more than three U.S. Government Securities Business Days before the Quotation Day.</w:t>
      </w:r>
    </w:p>
    <w:p>
      <w:pPr>
        <w:spacing w:after="0" w:line="63" w:lineRule="exact"/>
        <w:rPr>
          <w:sz w:val="20"/>
          <w:szCs w:val="20"/>
          <w:color w:val="auto"/>
        </w:rPr>
      </w:pPr>
    </w:p>
    <w:p>
      <w:pPr>
        <w:ind w:left="540"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Historic Screen Rate</w:t>
      </w:r>
      <w:r>
        <w:rPr>
          <w:rFonts w:ascii="Times New Roman" w:cs="Times New Roman" w:eastAsia="Times New Roman" w:hAnsi="Times New Roman"/>
          <w:sz w:val="18"/>
          <w:szCs w:val="18"/>
          <w:color w:val="auto"/>
        </w:rPr>
        <w:t>” means, in relation to any Loan (Facility A), the most recent applicable Screen Rate for EUR and for a period equal in length to the Interest Period of that Loan (Facility A) and which is as of a day which is no more than three (3) Business Days before the Quotation Day.</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in relation to a person, any other person in respect of which it is a Subsidiary.</w:t>
      </w:r>
    </w:p>
    <w:p>
      <w:pPr>
        <w:spacing w:after="0" w:line="117" w:lineRule="exact"/>
        <w:rPr>
          <w:sz w:val="20"/>
          <w:szCs w:val="20"/>
          <w:color w:val="auto"/>
        </w:rPr>
      </w:pPr>
    </w:p>
    <w:p>
      <w:pPr>
        <w:ind w:left="540"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ICE Term SOFR</w:t>
      </w:r>
      <w:r>
        <w:rPr>
          <w:rFonts w:ascii="Times New Roman" w:cs="Times New Roman" w:eastAsia="Times New Roman" w:hAnsi="Times New Roman"/>
          <w:sz w:val="18"/>
          <w:szCs w:val="18"/>
          <w:color w:val="auto"/>
        </w:rPr>
        <w:t>” means the Term SOFR reference rate administered by ICE Benchmark Administration Limited (or any other person which takes over the administration of that rate) for the relevant period published (before any correction, recalculation or republication by the administrator) by ICE Benchmark Administration Limited (or any other person which takes over the publication of that rate).</w:t>
      </w:r>
    </w:p>
    <w:p>
      <w:pPr>
        <w:spacing w:after="0" w:line="63" w:lineRule="exact"/>
        <w:rPr>
          <w:sz w:val="20"/>
          <w:szCs w:val="20"/>
          <w:color w:val="auto"/>
        </w:rPr>
      </w:pPr>
    </w:p>
    <w:p>
      <w:pPr>
        <w:ind w:left="540"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accounting standards within the meaning of the IAS Regulation 1606/2002 to the extent applicable to the relevant financial statements.</w:t>
      </w:r>
    </w:p>
    <w:p>
      <w:pPr>
        <w:spacing w:after="0" w:line="91"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6" w:right="439" w:bottom="1440" w:gutter="0" w:footer="0" w:header="0"/>
        </w:sectPr>
      </w:pPr>
    </w:p>
    <w:bookmarkStart w:id="21" w:name="page22"/>
    <w:bookmarkEnd w:id="21"/>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Impaired Agent</w:t>
      </w:r>
      <w:r>
        <w:rPr>
          <w:rFonts w:ascii="Times New Roman" w:cs="Times New Roman" w:eastAsia="Times New Roman" w:hAnsi="Times New Roman"/>
          <w:sz w:val="18"/>
          <w:szCs w:val="18"/>
          <w:color w:val="auto"/>
        </w:rPr>
        <w:t>” means the Agent at any time when:</w:t>
      </w:r>
    </w:p>
    <w:p>
      <w:pPr>
        <w:spacing w:after="0" w:line="135" w:lineRule="exact"/>
        <w:rPr>
          <w:sz w:val="20"/>
          <w:szCs w:val="20"/>
          <w:color w:val="auto"/>
        </w:rPr>
      </w:pPr>
    </w:p>
    <w:p>
      <w:pPr>
        <w:ind w:left="1180" w:right="60" w:hanging="644"/>
        <w:spacing w:after="0" w:line="282" w:lineRule="auto"/>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failed to make (or has notified a Party that it will not make) a payment required to be made by it under the Finance Documents by the due date for payment;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otherwise rescinds or repudiates a Finance Document;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also a Lender) it is a Defaulting Lender under paragraph (a) or (b) of the definition of “Defaulting Lender”;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has occurred and is continuing with respect to the Agent;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unless, in the case of paragraph (a) above:</w:t>
      </w:r>
    </w:p>
    <w:p>
      <w:pPr>
        <w:spacing w:after="0" w:line="131" w:lineRule="exact"/>
        <w:rPr>
          <w:sz w:val="20"/>
          <w:szCs w:val="20"/>
          <w:color w:val="auto"/>
        </w:rPr>
      </w:pPr>
    </w:p>
    <w:p>
      <w:pPr>
        <w:ind w:left="1740" w:hanging="543"/>
        <w:spacing w:after="0"/>
        <w:tabs>
          <w:tab w:leader="none" w:pos="1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payment is made within five (5) Business Days of its due date; or</w:t>
      </w:r>
    </w:p>
    <w:p>
      <w:pPr>
        <w:spacing w:after="0" w:line="131" w:lineRule="exact"/>
        <w:rPr>
          <w:sz w:val="20"/>
          <w:szCs w:val="20"/>
          <w:color w:val="auto"/>
        </w:rPr>
      </w:pPr>
    </w:p>
    <w:p>
      <w:pPr>
        <w:ind w:left="540" w:right="1800" w:firstLine="657"/>
        <w:spacing w:after="0" w:line="373" w:lineRule="auto"/>
        <w:tabs>
          <w:tab w:leader="none" w:pos="173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disputing in good faith whether it is contractually obliged to make the payment in question. “</w:t>
      </w:r>
      <w:r>
        <w:rPr>
          <w:rFonts w:ascii="Times New Roman" w:cs="Times New Roman" w:eastAsia="Times New Roman" w:hAnsi="Times New Roman"/>
          <w:sz w:val="18"/>
          <w:szCs w:val="18"/>
          <w:b w:val="1"/>
          <w:bCs w:val="1"/>
          <w:color w:val="auto"/>
        </w:rPr>
        <w:t>Increased Costs</w:t>
      </w:r>
      <w:r>
        <w:rPr>
          <w:rFonts w:ascii="Times New Roman" w:cs="Times New Roman" w:eastAsia="Times New Roman" w:hAnsi="Times New Roman"/>
          <w:sz w:val="18"/>
          <w:szCs w:val="18"/>
          <w:color w:val="auto"/>
        </w:rPr>
        <w:t>” has the meaning given to the term under paragraph (b) of Clause 15.1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w:t>
      </w:r>
    </w:p>
    <w:p>
      <w:pPr>
        <w:ind w:left="540" w:right="2620"/>
        <w:spacing w:after="0" w:line="3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Utilisation Date</w:t>
      </w:r>
      <w:r>
        <w:rPr>
          <w:rFonts w:ascii="Times New Roman" w:cs="Times New Roman" w:eastAsia="Times New Roman" w:hAnsi="Times New Roman"/>
          <w:sz w:val="18"/>
          <w:szCs w:val="18"/>
          <w:color w:val="auto"/>
        </w:rPr>
        <w:t>” means the date on which the first Loan (Facility A) and Loan (Facility B) is made. “</w:t>
      </w:r>
      <w:r>
        <w:rPr>
          <w:rFonts w:ascii="Times New Roman" w:cs="Times New Roman" w:eastAsia="Times New Roman" w:hAnsi="Times New Roman"/>
          <w:sz w:val="18"/>
          <w:szCs w:val="18"/>
          <w:b w:val="1"/>
          <w:bCs w:val="1"/>
          <w:color w:val="auto"/>
        </w:rPr>
        <w:t>Insolvency Event</w:t>
      </w:r>
      <w:r>
        <w:rPr>
          <w:rFonts w:ascii="Times New Roman" w:cs="Times New Roman" w:eastAsia="Times New Roman" w:hAnsi="Times New Roman"/>
          <w:sz w:val="18"/>
          <w:szCs w:val="18"/>
          <w:color w:val="auto"/>
        </w:rPr>
        <w:t>” in relation to an entity means that the entity:</w:t>
      </w:r>
    </w:p>
    <w:p>
      <w:pPr>
        <w:spacing w:after="0" w:line="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dissolved (other than pursuant to a consolidation, amalgamation or merger);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insolvent or is unable to pay its debts or fails or admits in writing its inability generally to pay its debts as they become due;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arrangement or composition with or for the benefit of its creditors;</w:t>
      </w:r>
    </w:p>
    <w:p>
      <w:pPr>
        <w:spacing w:after="0" w:line="130" w:lineRule="exact"/>
        <w:rPr>
          <w:rFonts w:ascii="Times New Roman" w:cs="Times New Roman" w:eastAsia="Times New Roman" w:hAnsi="Times New Roman"/>
          <w:sz w:val="18"/>
          <w:szCs w:val="18"/>
          <w:color w:val="auto"/>
        </w:rPr>
      </w:pPr>
    </w:p>
    <w:p>
      <w:pPr>
        <w:ind w:left="1180" w:right="100" w:hanging="644"/>
        <w:spacing w:after="0" w:line="258" w:lineRule="auto"/>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other official;</w:t>
      </w:r>
    </w:p>
    <w:p>
      <w:pPr>
        <w:spacing w:after="0" w:line="88" w:lineRule="exact"/>
        <w:rPr>
          <w:rFonts w:ascii="Times New Roman" w:cs="Times New Roman" w:eastAsia="Times New Roman" w:hAnsi="Times New Roman"/>
          <w:sz w:val="18"/>
          <w:szCs w:val="18"/>
          <w:color w:val="auto"/>
        </w:rPr>
      </w:pPr>
    </w:p>
    <w:p>
      <w:pPr>
        <w:ind w:left="1180" w:right="360" w:hanging="644"/>
        <w:spacing w:after="0" w:line="261" w:lineRule="auto"/>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85" w:lineRule="exact"/>
        <w:rPr>
          <w:rFonts w:ascii="Times New Roman" w:cs="Times New Roman" w:eastAsia="Times New Roman" w:hAnsi="Times New Roman"/>
          <w:sz w:val="18"/>
          <w:szCs w:val="18"/>
          <w:color w:val="auto"/>
        </w:rPr>
      </w:pPr>
    </w:p>
    <w:p>
      <w:pPr>
        <w:ind w:left="1740" w:right="100" w:hanging="543"/>
        <w:spacing w:after="0" w:line="282" w:lineRule="auto"/>
        <w:tabs>
          <w:tab w:leader="none" w:pos="17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judgment of insolvency or bankruptcy or the entry of an order for relief or the making of an order for its winding-up or liquidation; or</w:t>
      </w:r>
    </w:p>
    <w:p>
      <w:pPr>
        <w:spacing w:after="0" w:line="94"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6" w:right="439" w:bottom="1440" w:gutter="0" w:footer="0" w:header="0"/>
        </w:sectPr>
      </w:pPr>
    </w:p>
    <w:bookmarkStart w:id="22" w:name="page23"/>
    <w:bookmarkEnd w:id="22"/>
    <w:p>
      <w:pPr>
        <w:ind w:left="1740" w:hanging="543"/>
        <w:spacing w:after="0"/>
        <w:tabs>
          <w:tab w:leader="none" w:pos="17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not dismissed, discharged, stayed or restrained in each case within 30 days of the institution or presentation thereof;</w:t>
      </w:r>
    </w:p>
    <w:p>
      <w:pPr>
        <w:spacing w:after="0" w:line="130" w:lineRule="exact"/>
        <w:rPr>
          <w:rFonts w:ascii="Times New Roman" w:cs="Times New Roman" w:eastAsia="Times New Roman" w:hAnsi="Times New Roman"/>
          <w:sz w:val="18"/>
          <w:szCs w:val="18"/>
          <w:color w:val="auto"/>
        </w:rPr>
      </w:pPr>
    </w:p>
    <w:p>
      <w:pPr>
        <w:ind w:left="1180" w:right="20" w:hanging="644"/>
        <w:spacing w:after="0" w:line="266" w:lineRule="auto"/>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81"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resolution passed for its winding-up, official management or liquidation (other than pursuant to a consolidation, amalgamation or merger);</w:t>
      </w:r>
    </w:p>
    <w:p>
      <w:pPr>
        <w:spacing w:after="0" w:line="67" w:lineRule="exact"/>
        <w:rPr>
          <w:rFonts w:ascii="Times New Roman" w:cs="Times New Roman" w:eastAsia="Times New Roman" w:hAnsi="Times New Roman"/>
          <w:sz w:val="18"/>
          <w:szCs w:val="18"/>
          <w:color w:val="auto"/>
        </w:rPr>
      </w:pPr>
    </w:p>
    <w:p>
      <w:pPr>
        <w:ind w:left="1180" w:right="40" w:hanging="644"/>
        <w:spacing w:after="0" w:line="266" w:lineRule="auto"/>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81" w:lineRule="exact"/>
        <w:rPr>
          <w:rFonts w:ascii="Times New Roman" w:cs="Times New Roman" w:eastAsia="Times New Roman" w:hAnsi="Times New Roman"/>
          <w:sz w:val="18"/>
          <w:szCs w:val="18"/>
          <w:color w:val="auto"/>
        </w:rPr>
      </w:pPr>
    </w:p>
    <w:p>
      <w:pPr>
        <w:ind w:left="1180" w:right="80" w:hanging="644"/>
        <w:spacing w:after="0" w:line="266" w:lineRule="auto"/>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81" w:lineRule="exact"/>
        <w:rPr>
          <w:rFonts w:ascii="Times New Roman" w:cs="Times New Roman" w:eastAsia="Times New Roman" w:hAnsi="Times New Roman"/>
          <w:sz w:val="18"/>
          <w:szCs w:val="18"/>
          <w:color w:val="auto"/>
        </w:rPr>
      </w:pPr>
    </w:p>
    <w:p>
      <w:pPr>
        <w:ind w:left="1180" w:right="60" w:hanging="644"/>
        <w:spacing w:after="0" w:line="282" w:lineRule="auto"/>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or is subject to any event with respect to it which, under the applicable laws of any jurisdiction, has an analogous effect to any of the events specified in paragraphs (a) to (i) above; or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action in furtherance of, or indicating its consent to, approval of, or acquiescence, in any of the foregoing acts.</w:t>
      </w:r>
    </w:p>
    <w:p>
      <w:pPr>
        <w:spacing w:after="0" w:line="113" w:lineRule="exact"/>
        <w:rPr>
          <w:sz w:val="20"/>
          <w:szCs w:val="20"/>
          <w:color w:val="auto"/>
        </w:rPr>
      </w:pPr>
    </w:p>
    <w:p>
      <w:pPr>
        <w:ind w:left="540" w:right="3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means, in relation to a Loan, each period determined in accordance with Clause 11 (</w:t>
      </w:r>
      <w:r>
        <w:rPr>
          <w:rFonts w:ascii="Times New Roman" w:cs="Times New Roman" w:eastAsia="Times New Roman" w:hAnsi="Times New Roman"/>
          <w:sz w:val="18"/>
          <w:szCs w:val="18"/>
          <w:i w:val="1"/>
          <w:iCs w:val="1"/>
          <w:color w:val="auto"/>
        </w:rPr>
        <w:t>Interest Periods</w:t>
      </w:r>
      <w:r>
        <w:rPr>
          <w:rFonts w:ascii="Times New Roman" w:cs="Times New Roman" w:eastAsia="Times New Roman" w:hAnsi="Times New Roman"/>
          <w:sz w:val="18"/>
          <w:szCs w:val="18"/>
          <w:color w:val="auto"/>
        </w:rPr>
        <w:t>) and, in relation to an Unpaid Sum, each period determined in accordance with Clause 10.4 (</w:t>
      </w:r>
      <w:r>
        <w:rPr>
          <w:rFonts w:ascii="Times New Roman" w:cs="Times New Roman" w:eastAsia="Times New Roman" w:hAnsi="Times New Roman"/>
          <w:sz w:val="18"/>
          <w:szCs w:val="18"/>
          <w:i w:val="1"/>
          <w:iCs w:val="1"/>
          <w:color w:val="auto"/>
        </w:rPr>
        <w:t>Default interest</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jc w:val="both"/>
        <w:ind w:left="540"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Reserve Account</w:t>
      </w:r>
      <w:r>
        <w:rPr>
          <w:rFonts w:ascii="Times New Roman" w:cs="Times New Roman" w:eastAsia="Times New Roman" w:hAnsi="Times New Roman"/>
          <w:sz w:val="18"/>
          <w:szCs w:val="18"/>
          <w:color w:val="auto"/>
        </w:rPr>
        <w:t>” means Interest Reserve Account (USD) or Interest Reserve Account (EUR) (or both of them), as the context may require.</w:t>
      </w:r>
    </w:p>
    <w:p>
      <w:pPr>
        <w:spacing w:after="0" w:line="47" w:lineRule="exact"/>
        <w:rPr>
          <w:sz w:val="20"/>
          <w:szCs w:val="20"/>
          <w:color w:val="auto"/>
        </w:rPr>
      </w:pPr>
    </w:p>
    <w:p>
      <w:pPr>
        <w:jc w:val="both"/>
        <w:ind w:left="540"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Reserve Account (EUR)</w:t>
      </w:r>
      <w:r>
        <w:rPr>
          <w:rFonts w:ascii="Times New Roman" w:cs="Times New Roman" w:eastAsia="Times New Roman" w:hAnsi="Times New Roman"/>
          <w:sz w:val="18"/>
          <w:szCs w:val="18"/>
          <w:color w:val="auto"/>
        </w:rPr>
        <w:t>” means an EUR bank account with account number [***] and [***] in the name of the Borrower held with the Account Bank, located in London, and designated as such by the Borrower and the Agent (as the same may be re-designated, substituted or replaced from time to time).</w:t>
      </w:r>
    </w:p>
    <w:p>
      <w:pPr>
        <w:spacing w:after="0" w:line="63" w:lineRule="exact"/>
        <w:rPr>
          <w:sz w:val="20"/>
          <w:szCs w:val="20"/>
          <w:color w:val="auto"/>
        </w:rPr>
      </w:pPr>
    </w:p>
    <w:p>
      <w:pPr>
        <w:ind w:left="54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Reserve Account (USD)</w:t>
      </w:r>
      <w:r>
        <w:rPr>
          <w:rFonts w:ascii="Times New Roman" w:cs="Times New Roman" w:eastAsia="Times New Roman" w:hAnsi="Times New Roman"/>
          <w:sz w:val="18"/>
          <w:szCs w:val="18"/>
          <w:color w:val="auto"/>
        </w:rPr>
        <w:t>” means a USD bank account with account number [***] and [***] in the name of the Borrower held with the Account Bank, located in London, and designated as such by the Borrower and the Agent (as the same may be re-designated, substituted or replaced from time to time).</w:t>
      </w:r>
    </w:p>
    <w:p>
      <w:pPr>
        <w:spacing w:after="0" w:line="63" w:lineRule="exact"/>
        <w:rPr>
          <w:sz w:val="20"/>
          <w:szCs w:val="20"/>
          <w:color w:val="auto"/>
        </w:rPr>
      </w:pPr>
    </w:p>
    <w:p>
      <w:pPr>
        <w:ind w:left="540"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Reserve Amount</w:t>
      </w:r>
      <w:r>
        <w:rPr>
          <w:rFonts w:ascii="Times New Roman" w:cs="Times New Roman" w:eastAsia="Times New Roman" w:hAnsi="Times New Roman"/>
          <w:sz w:val="18"/>
          <w:szCs w:val="18"/>
          <w:color w:val="auto"/>
        </w:rPr>
        <w:t>” means Interest Reserve Amount (USD) or Interest Reserve Amount (EUR) (or both of them), as the context may require.</w:t>
      </w:r>
    </w:p>
    <w:p>
      <w:pPr>
        <w:spacing w:after="0" w:line="91"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3" w:name="page24"/>
    <w:bookmarkEnd w:id="23"/>
    <w:p>
      <w:pPr>
        <w:ind w:left="540" w:right="16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Interest Reserve Amount (EUR)</w:t>
      </w:r>
      <w:r>
        <w:rPr>
          <w:rFonts w:ascii="Times New Roman" w:cs="Times New Roman" w:eastAsia="Times New Roman" w:hAnsi="Times New Roman"/>
          <w:sz w:val="18"/>
          <w:szCs w:val="18"/>
          <w:color w:val="auto"/>
        </w:rPr>
        <w:t>” means, on any date, an amount denominated in EUR equal to the aggregate amount of interest that will accrue on the Loans (Facility A) for the following three (3) Months from that date (calculated based on the amount of Loans (Facility A) outstanding as at such date, applying the interest rate most recently determined in relation to each of those Loans (Facility A) (disregarding any intervening consolidation or division of Loans (Facility A), for this purpose) and assuming no intervening prepayments or repayment of those Loans (Facility A)).</w:t>
      </w:r>
    </w:p>
    <w:p>
      <w:pPr>
        <w:spacing w:after="0" w:line="71" w:lineRule="exact"/>
        <w:rPr>
          <w:sz w:val="20"/>
          <w:szCs w:val="20"/>
          <w:color w:val="auto"/>
        </w:rPr>
      </w:pPr>
    </w:p>
    <w:p>
      <w:pPr>
        <w:ind w:left="540" w:right="1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Reserve Amount (USD)</w:t>
      </w:r>
      <w:r>
        <w:rPr>
          <w:rFonts w:ascii="Times New Roman" w:cs="Times New Roman" w:eastAsia="Times New Roman" w:hAnsi="Times New Roman"/>
          <w:sz w:val="18"/>
          <w:szCs w:val="18"/>
          <w:color w:val="auto"/>
        </w:rPr>
        <w:t>” means, on any date, an amount denominated in USD equal to the aggregate amount of interest that will accrue on the Loans (Facility B) for the following three (3) Months from that date (calculated based on the amount of Loans (Facility B) outstanding as at such date, applying the interest rate most recently determined in relation to each of those Loans (Facility B) (disregarding any intervening consolidation or division of Loans (Facility B), for this purpose) and assuming no intervening prepayments or repayment of those Loans (Facility B)).</w:t>
      </w:r>
    </w:p>
    <w:p>
      <w:pPr>
        <w:spacing w:after="0" w:line="71" w:lineRule="exact"/>
        <w:rPr>
          <w:sz w:val="20"/>
          <w:szCs w:val="20"/>
          <w:color w:val="auto"/>
        </w:rPr>
      </w:pPr>
    </w:p>
    <w:p>
      <w:pPr>
        <w:ind w:left="54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Interpolated CME Term SOFR</w:t>
      </w:r>
      <w:r>
        <w:rPr>
          <w:rFonts w:ascii="Times New Roman" w:cs="Times New Roman" w:eastAsia="Times New Roman" w:hAnsi="Times New Roman"/>
          <w:sz w:val="18"/>
          <w:szCs w:val="18"/>
          <w:color w:val="auto"/>
        </w:rPr>
        <w:t>” means, in relation to any Loan (Facility B), the rate (rounded to the same number of decimal places as CME Term SOFR) which results from interpolating on a linear basis between:</w:t>
      </w:r>
    </w:p>
    <w:p>
      <w:pPr>
        <w:spacing w:after="0" w:line="64" w:lineRule="exact"/>
        <w:rPr>
          <w:sz w:val="20"/>
          <w:szCs w:val="20"/>
          <w:color w:val="auto"/>
        </w:rPr>
      </w:pPr>
    </w:p>
    <w:p>
      <w:pPr>
        <w:ind w:left="1180" w:hanging="644"/>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740" w:right="340" w:hanging="543"/>
        <w:spacing w:after="0" w:line="282" w:lineRule="auto"/>
        <w:tabs>
          <w:tab w:leader="none" w:pos="17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CME Term SOFR (as of the Specified Time) for the longest period (for which CME Term SOFR is available) which is less than the Interest Period of that Loan (Facility B); or</w:t>
      </w:r>
    </w:p>
    <w:p>
      <w:pPr>
        <w:spacing w:after="0" w:line="67" w:lineRule="exact"/>
        <w:rPr>
          <w:rFonts w:ascii="Times New Roman" w:cs="Times New Roman" w:eastAsia="Times New Roman" w:hAnsi="Times New Roman"/>
          <w:sz w:val="18"/>
          <w:szCs w:val="18"/>
          <w:color w:val="auto"/>
        </w:rPr>
      </w:pPr>
    </w:p>
    <w:p>
      <w:pPr>
        <w:ind w:left="1740" w:right="200" w:hanging="543"/>
        <w:spacing w:after="0" w:line="282" w:lineRule="auto"/>
        <w:tabs>
          <w:tab w:leader="none" w:pos="17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such CME Term SOFR is available for a period which is less than the Interest Period of that Loan (Facility B), SOFR for the day which is two US Government Securities Business Days before the Quotation Day; and</w:t>
      </w:r>
    </w:p>
    <w:p>
      <w:pPr>
        <w:spacing w:after="0" w:line="67"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CME Term SOFR (as of the Specified Time) for the shortest period (for which CME Term SOFR is available) which exceeds the Interest Period of that Loan (Facility B).</w:t>
      </w:r>
    </w:p>
    <w:p>
      <w:pPr>
        <w:spacing w:after="0" w:line="50" w:lineRule="exact"/>
        <w:rPr>
          <w:sz w:val="20"/>
          <w:szCs w:val="20"/>
          <w:color w:val="auto"/>
        </w:rPr>
      </w:pPr>
    </w:p>
    <w:p>
      <w:pPr>
        <w:ind w:left="540"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Interpolated Historic CME Term SOFR</w:t>
      </w:r>
      <w:r>
        <w:rPr>
          <w:rFonts w:ascii="Times New Roman" w:cs="Times New Roman" w:eastAsia="Times New Roman" w:hAnsi="Times New Roman"/>
          <w:sz w:val="18"/>
          <w:szCs w:val="18"/>
          <w:color w:val="auto"/>
        </w:rPr>
        <w:t>” means, in relation to any Loan (Facility B), the rate (rounded to the same number of decimal places as CME Term SOFR) which results from interpolating on a linear basis between:</w:t>
      </w:r>
    </w:p>
    <w:p>
      <w:pPr>
        <w:spacing w:after="0" w:line="64" w:lineRule="exact"/>
        <w:rPr>
          <w:sz w:val="20"/>
          <w:szCs w:val="20"/>
          <w:color w:val="auto"/>
        </w:rPr>
      </w:pPr>
    </w:p>
    <w:p>
      <w:pPr>
        <w:ind w:left="1180" w:hanging="644"/>
        <w:spacing w:after="0"/>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740" w:right="140" w:hanging="543"/>
        <w:spacing w:after="0" w:line="266" w:lineRule="auto"/>
        <w:tabs>
          <w:tab w:leader="none" w:pos="17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applicable CME Term SOFR (as of a day which is not more than three U.S. Government Securities Business Days before the Quotation Day) for the longest period (for which CME Term SOFR is available) which is less than the Interest Period of that Loan (Facility B); or</w:t>
      </w:r>
    </w:p>
    <w:p>
      <w:pPr>
        <w:spacing w:after="0" w:line="81" w:lineRule="exact"/>
        <w:rPr>
          <w:rFonts w:ascii="Times New Roman" w:cs="Times New Roman" w:eastAsia="Times New Roman" w:hAnsi="Times New Roman"/>
          <w:sz w:val="18"/>
          <w:szCs w:val="18"/>
          <w:color w:val="auto"/>
        </w:rPr>
      </w:pPr>
    </w:p>
    <w:p>
      <w:pPr>
        <w:ind w:left="1740" w:right="280" w:hanging="543"/>
        <w:spacing w:after="0" w:line="266" w:lineRule="auto"/>
        <w:tabs>
          <w:tab w:leader="none" w:pos="17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such CME Term SOFR is available for a period which is less than the Interest Period of that Loan (Facility B), the most recent SOFR (for a day which is no more than five U.S. Government Securities Business Days and no less than two US Government Securities Business Days before the Quotation Day); and</w:t>
      </w:r>
    </w:p>
    <w:p>
      <w:pPr>
        <w:spacing w:after="0" w:line="81" w:lineRule="exact"/>
        <w:rPr>
          <w:rFonts w:ascii="Times New Roman" w:cs="Times New Roman" w:eastAsia="Times New Roman" w:hAnsi="Times New Roman"/>
          <w:sz w:val="18"/>
          <w:szCs w:val="18"/>
          <w:color w:val="auto"/>
        </w:rPr>
      </w:pPr>
    </w:p>
    <w:p>
      <w:pPr>
        <w:ind w:left="1180" w:right="260" w:hanging="644"/>
        <w:spacing w:after="0" w:line="266" w:lineRule="auto"/>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applicable CME Term SOFR (as of a day which is not more than three U.S. Government Securities Business Days before the Quotation Day) for the shortest period (for which CME Term SOFR is available) which exceeds the Interest Period of that Loan (Facility B).</w:t>
      </w:r>
    </w:p>
    <w:p>
      <w:pPr>
        <w:spacing w:after="0" w:line="10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6" w:right="439" w:bottom="1440" w:gutter="0" w:footer="0" w:header="0"/>
        </w:sectPr>
      </w:pPr>
    </w:p>
    <w:bookmarkStart w:id="24" w:name="page25"/>
    <w:bookmarkEnd w:id="24"/>
    <w:p>
      <w:pPr>
        <w:ind w:left="540" w:right="6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Interpolated Historic Screen Rate</w:t>
      </w:r>
      <w:r>
        <w:rPr>
          <w:rFonts w:ascii="Times New Roman" w:cs="Times New Roman" w:eastAsia="Times New Roman" w:hAnsi="Times New Roman"/>
          <w:sz w:val="18"/>
          <w:szCs w:val="18"/>
          <w:color w:val="auto"/>
        </w:rPr>
        <w:t>” means, in relation to any Loan (Facility A), the rate (rounded to the same number of decimal places as the two relevant Screen Rates which results from interpolating on a linear basis between:</w:t>
      </w:r>
    </w:p>
    <w:p>
      <w:pPr>
        <w:spacing w:after="0" w:line="64" w:lineRule="exact"/>
        <w:rPr>
          <w:sz w:val="20"/>
          <w:szCs w:val="20"/>
          <w:color w:val="auto"/>
        </w:rPr>
      </w:pPr>
    </w:p>
    <w:p>
      <w:pPr>
        <w:ind w:left="1180" w:right="340" w:hanging="644"/>
        <w:spacing w:after="0" w:line="282"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applicable Screen Rate for the longest period (for which that Screen Rate is available) which is less than the Interest Period of that Loan (Facility A); and</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applicable Screen Rate for the shortest period (for which that Screen Rate is available) which exceeds the Interest Period of that Loan (Facility A),</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for EUR and each of which is as of a day which is no more than three (3) Business Days before the Quotation Day.</w:t>
      </w:r>
    </w:p>
    <w:p>
      <w:pPr>
        <w:spacing w:after="0" w:line="113" w:lineRule="exact"/>
        <w:rPr>
          <w:sz w:val="20"/>
          <w:szCs w:val="20"/>
          <w:color w:val="auto"/>
        </w:rPr>
      </w:pPr>
    </w:p>
    <w:p>
      <w:pPr>
        <w:ind w:left="540"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Interpolated ICE Term SOFR</w:t>
      </w:r>
      <w:r>
        <w:rPr>
          <w:rFonts w:ascii="Times New Roman" w:cs="Times New Roman" w:eastAsia="Times New Roman" w:hAnsi="Times New Roman"/>
          <w:sz w:val="18"/>
          <w:szCs w:val="18"/>
          <w:color w:val="auto"/>
        </w:rPr>
        <w:t>” means, in relation to any Loan (Facility B), the rate (rounded to the same number of decimal places as ICE Term SOFR) which results from interpolating on a linear basis between:</w:t>
      </w:r>
    </w:p>
    <w:p>
      <w:pPr>
        <w:spacing w:after="0" w:line="64" w:lineRule="exact"/>
        <w:rPr>
          <w:sz w:val="20"/>
          <w:szCs w:val="20"/>
          <w:color w:val="auto"/>
        </w:rPr>
      </w:pPr>
    </w:p>
    <w:p>
      <w:pPr>
        <w:ind w:left="1180" w:hanging="644"/>
        <w:spacing w:after="0"/>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740" w:right="60" w:hanging="543"/>
        <w:spacing w:after="0" w:line="282" w:lineRule="auto"/>
        <w:tabs>
          <w:tab w:leader="none" w:pos="17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ICE Term SOFR (as of the Specified Time) for the longest period (for which ICE Term SOFR is available) which is less than the Interest Period of that Loan (Facility B); or</w:t>
      </w:r>
    </w:p>
    <w:p>
      <w:pPr>
        <w:spacing w:after="0" w:line="67" w:lineRule="exact"/>
        <w:rPr>
          <w:rFonts w:ascii="Times New Roman" w:cs="Times New Roman" w:eastAsia="Times New Roman" w:hAnsi="Times New Roman"/>
          <w:sz w:val="18"/>
          <w:szCs w:val="18"/>
          <w:color w:val="auto"/>
        </w:rPr>
      </w:pPr>
    </w:p>
    <w:p>
      <w:pPr>
        <w:ind w:left="1740" w:right="40" w:hanging="543"/>
        <w:spacing w:after="0" w:line="282" w:lineRule="auto"/>
        <w:tabs>
          <w:tab w:leader="none" w:pos="17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such ICE Term SOFR is available for a period which is less than the Interest Period of that Loan (Facility B), SOFR for the day which is two US Government Securities Business Days before the Quotation Day; and</w:t>
      </w:r>
    </w:p>
    <w:p>
      <w:pPr>
        <w:spacing w:after="0" w:line="67" w:lineRule="exact"/>
        <w:rPr>
          <w:rFonts w:ascii="Times New Roman" w:cs="Times New Roman" w:eastAsia="Times New Roman" w:hAnsi="Times New Roman"/>
          <w:sz w:val="18"/>
          <w:szCs w:val="18"/>
          <w:color w:val="auto"/>
        </w:rPr>
      </w:pPr>
    </w:p>
    <w:p>
      <w:pPr>
        <w:ind w:left="1180" w:right="580" w:hanging="644"/>
        <w:spacing w:after="0" w:line="282" w:lineRule="auto"/>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ICE Term SOFR (as of the Specified Time) for the shortest period (for which ICE Term SOFR is available) which exceeds the Interest Period of that Loan (Facility B).</w:t>
      </w:r>
    </w:p>
    <w:p>
      <w:pPr>
        <w:spacing w:after="0" w:line="50" w:lineRule="exact"/>
        <w:rPr>
          <w:sz w:val="20"/>
          <w:szCs w:val="20"/>
          <w:color w:val="auto"/>
        </w:rPr>
      </w:pPr>
    </w:p>
    <w:p>
      <w:pPr>
        <w:ind w:left="540"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Interpolated Screen Rate</w:t>
      </w:r>
      <w:r>
        <w:rPr>
          <w:rFonts w:ascii="Times New Roman" w:cs="Times New Roman" w:eastAsia="Times New Roman" w:hAnsi="Times New Roman"/>
          <w:sz w:val="18"/>
          <w:szCs w:val="18"/>
          <w:color w:val="auto"/>
        </w:rPr>
        <w:t>” means, in relation to any Loan (Facility A), the rate (rounded to the same number of decimal places as the two relevant Screen Rates) which results from interpolating on a linear basis between:</w:t>
      </w:r>
    </w:p>
    <w:p>
      <w:pPr>
        <w:spacing w:after="0" w:line="64" w:lineRule="exact"/>
        <w:rPr>
          <w:sz w:val="20"/>
          <w:szCs w:val="20"/>
          <w:color w:val="auto"/>
        </w:rPr>
      </w:pPr>
    </w:p>
    <w:p>
      <w:pPr>
        <w:ind w:left="1180" w:right="200" w:hanging="644"/>
        <w:spacing w:after="0" w:line="282" w:lineRule="auto"/>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for the longest period (for which that Screen Rate is available) which is less than the Interest Period of that Loan (Facility A); and</w:t>
      </w:r>
    </w:p>
    <w:p>
      <w:pPr>
        <w:spacing w:after="0" w:line="67"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for the shortest period (for which that Screen Rate is available) which exceeds the Interest Period of that Loan (Facility A),</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as of the Specified Time for the currency of that Loan (Facility A).</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ITA</w:t>
      </w:r>
      <w:r>
        <w:rPr>
          <w:rFonts w:ascii="Times New Roman" w:cs="Times New Roman" w:eastAsia="Times New Roman" w:hAnsi="Times New Roman"/>
          <w:sz w:val="18"/>
          <w:szCs w:val="18"/>
          <w:color w:val="auto"/>
        </w:rPr>
        <w:t>” means the Income Tax Act 2007.</w:t>
      </w:r>
    </w:p>
    <w:p>
      <w:pPr>
        <w:spacing w:after="0" w:line="117" w:lineRule="exact"/>
        <w:rPr>
          <w:sz w:val="20"/>
          <w:szCs w:val="20"/>
          <w:color w:val="auto"/>
        </w:rPr>
      </w:pPr>
    </w:p>
    <w:p>
      <w:pPr>
        <w:ind w:left="54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means any joint venture entity, whether a company, unincorporated firm, undertaking, association, joint venture or partnership or any other entity.</w:t>
      </w:r>
    </w:p>
    <w:p>
      <w:pPr>
        <w:spacing w:after="0" w:line="47" w:lineRule="exact"/>
        <w:rPr>
          <w:sz w:val="20"/>
          <w:szCs w:val="20"/>
          <w:color w:val="auto"/>
        </w:rPr>
      </w:pPr>
    </w:p>
    <w:p>
      <w:pPr>
        <w:ind w:left="540"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Keepwell Deed</w:t>
      </w:r>
      <w:r>
        <w:rPr>
          <w:rFonts w:ascii="Times New Roman" w:cs="Times New Roman" w:eastAsia="Times New Roman" w:hAnsi="Times New Roman"/>
          <w:sz w:val="18"/>
          <w:szCs w:val="18"/>
          <w:color w:val="auto"/>
        </w:rPr>
        <w:t>” means a Hong Kong law keepwell deed entered into by the Keepwell Provider in favour of the Finance Parties dated on or around the Signing Date.</w:t>
      </w:r>
    </w:p>
    <w:p>
      <w:pPr>
        <w:spacing w:after="0" w:line="91"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66" w:right="439" w:bottom="1440" w:gutter="0" w:footer="0" w:header="0"/>
        </w:sectPr>
      </w:pPr>
    </w:p>
    <w:bookmarkStart w:id="25" w:name="page26"/>
    <w:bookmarkEnd w:id="25"/>
    <w:p>
      <w:pPr>
        <w:ind w:left="540" w:right="220"/>
        <w:spacing w:after="0" w:line="228" w:lineRule="exact"/>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Keepwell Provider</w:t>
      </w:r>
      <w:r>
        <w:rPr>
          <w:rFonts w:ascii="Times New Roman" w:cs="Times New Roman" w:eastAsia="Times New Roman" w:hAnsi="Times New Roman"/>
          <w:sz w:val="18"/>
          <w:szCs w:val="18"/>
          <w:color w:val="auto"/>
        </w:rPr>
        <w:t xml:space="preserve">” means </w:t>
      </w:r>
      <w:r>
        <w:rPr>
          <w:rFonts w:ascii="SimSun" w:cs="SimSun" w:eastAsia="SimSun" w:hAnsi="SimSun"/>
          <w:sz w:val="18"/>
          <w:szCs w:val="18"/>
          <w:color w:val="auto"/>
        </w:rPr>
        <w:t>浙江吉利控股集团有限公司</w:t>
      </w:r>
      <w:r>
        <w:rPr>
          <w:rFonts w:ascii="Times New Roman" w:cs="Times New Roman" w:eastAsia="Times New Roman" w:hAnsi="Times New Roman"/>
          <w:sz w:val="18"/>
          <w:szCs w:val="18"/>
          <w:color w:val="auto"/>
        </w:rPr>
        <w:t xml:space="preserve"> (ZHEJIANG GEELY HOLDING GROUP CO., LTD.), a limited liability company incorporated under the laws of the PRC, with its uniformed social credit code of 91330000747735638J and its registered address at 1760 Jiangling Road, Binjiang District, Hangzhou.</w:t>
      </w:r>
    </w:p>
    <w:p>
      <w:pPr>
        <w:spacing w:after="0" w:line="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right="320" w:hanging="644"/>
        <w:spacing w:after="0" w:line="282" w:lineRule="auto"/>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67" w:lineRule="exact"/>
        <w:rPr>
          <w:rFonts w:ascii="Times New Roman" w:cs="Times New Roman" w:eastAsia="Times New Roman" w:hAnsi="Times New Roman"/>
          <w:sz w:val="18"/>
          <w:szCs w:val="18"/>
          <w:color w:val="auto"/>
        </w:rPr>
      </w:pPr>
    </w:p>
    <w:p>
      <w:pPr>
        <w:ind w:left="1180" w:right="300" w:hanging="644"/>
        <w:spacing w:after="0" w:line="282" w:lineRule="auto"/>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barring of claims under the Limitation Acts, the possibility that an undertaking to assume liability for or indemnify a person against non-payment of UK stamp duty may be void and defences of set-off or counterclaim;</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principles, rights and defences under the laws of any Relevant Jurisdiction; and</w:t>
      </w:r>
    </w:p>
    <w:p>
      <w:pPr>
        <w:spacing w:after="0" w:line="130" w:lineRule="exact"/>
        <w:rPr>
          <w:rFonts w:ascii="Times New Roman" w:cs="Times New Roman" w:eastAsia="Times New Roman" w:hAnsi="Times New Roman"/>
          <w:sz w:val="18"/>
          <w:szCs w:val="18"/>
          <w:color w:val="auto"/>
        </w:rPr>
      </w:pPr>
    </w:p>
    <w:p>
      <w:pPr>
        <w:ind w:left="1180" w:right="520" w:hanging="644"/>
        <w:spacing w:after="0" w:line="282" w:lineRule="auto"/>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which are set out as qualifications or reservations as to matters of law of general application in any legal opinion delivered under clause 4.1 (</w:t>
      </w:r>
      <w:r>
        <w:rPr>
          <w:rFonts w:ascii="Times New Roman" w:cs="Times New Roman" w:eastAsia="Times New Roman" w:hAnsi="Times New Roman"/>
          <w:sz w:val="18"/>
          <w:szCs w:val="18"/>
          <w:i w:val="1"/>
          <w:iCs w:val="1"/>
          <w:color w:val="auto"/>
        </w:rPr>
        <w:t>Initial conditions precedent</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 a Lender (Facility A) or a Lender (Facility B).</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(Facility A)</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hanging="644"/>
        <w:spacing w:after="0"/>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Original Lender (Facility A); and</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 financial institution, trust, fund or other entity which has become a Party as a “Lender (Facility A)” in accordance with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which in each case has not ceased to be a Party as such in accordance with the terms of this Agreement.</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(Facility B)</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hanging="644"/>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Original Lender (Facility B); and</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 financial institution, trust, fund or other entity which has become a Party as a “Lender (Facility B)” in accordance with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which in each case has not ceased to be a Party as such in accordance with the terms of this Agreement.</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Comfort</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right="580" w:hanging="644"/>
        <w:spacing w:after="0" w:line="282" w:lineRule="auto"/>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Swedish law letter of comfort entered into by Snita dated on or around the Signing Date and endorsed by VCC in favour of the Finance Parties; or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PRC law letter of comfort entered into by PSD and endorsed by the Keepwell Provider in favour of the Finance Parties.</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Comfort Provider</w:t>
      </w:r>
      <w:r>
        <w:rPr>
          <w:rFonts w:ascii="Times New Roman" w:cs="Times New Roman" w:eastAsia="Times New Roman" w:hAnsi="Times New Roman"/>
          <w:sz w:val="18"/>
          <w:szCs w:val="18"/>
          <w:color w:val="auto"/>
        </w:rPr>
        <w:t>” means Snita or PSD and “</w:t>
      </w:r>
      <w:r>
        <w:rPr>
          <w:rFonts w:ascii="Times New Roman" w:cs="Times New Roman" w:eastAsia="Times New Roman" w:hAnsi="Times New Roman"/>
          <w:sz w:val="18"/>
          <w:szCs w:val="18"/>
          <w:b w:val="1"/>
          <w:bCs w:val="1"/>
          <w:color w:val="auto"/>
        </w:rPr>
        <w:t>Letter of Comfort Providers</w:t>
      </w:r>
      <w:r>
        <w:rPr>
          <w:rFonts w:ascii="Times New Roman" w:cs="Times New Roman" w:eastAsia="Times New Roman" w:hAnsi="Times New Roman"/>
          <w:sz w:val="18"/>
          <w:szCs w:val="18"/>
          <w:color w:val="auto"/>
        </w:rPr>
        <w:t>” means both of them.</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Limitation Acts</w:t>
      </w:r>
      <w:r>
        <w:rPr>
          <w:rFonts w:ascii="Times New Roman" w:cs="Times New Roman" w:eastAsia="Times New Roman" w:hAnsi="Times New Roman"/>
          <w:sz w:val="18"/>
          <w:szCs w:val="18"/>
          <w:color w:val="auto"/>
        </w:rPr>
        <w:t>” means the Limitation Act 1980 and the Foreign Limitation Periods Act 1984.</w:t>
      </w:r>
    </w:p>
    <w:p>
      <w:pPr>
        <w:spacing w:after="0" w:line="162"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9" w:right="439" w:bottom="1440" w:gutter="0" w:footer="0" w:header="0"/>
        </w:sectPr>
      </w:pPr>
    </w:p>
    <w:bookmarkStart w:id="26" w:name="page27"/>
    <w:bookmarkEnd w:id="26"/>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Listco ADSs</w:t>
      </w:r>
      <w:r>
        <w:rPr>
          <w:rFonts w:ascii="Times New Roman" w:cs="Times New Roman" w:eastAsia="Times New Roman" w:hAnsi="Times New Roman"/>
          <w:sz w:val="18"/>
          <w:szCs w:val="18"/>
          <w:color w:val="auto"/>
        </w:rPr>
        <w:t>” means the Listco Class A ADSs, Listco Class B ADSs, the Listco Class C-1 ADSs or the Listco Class C-2 ADSs.</w:t>
      </w:r>
    </w:p>
    <w:p>
      <w:pPr>
        <w:spacing w:after="0" w:line="117" w:lineRule="exact"/>
        <w:rPr>
          <w:sz w:val="20"/>
          <w:szCs w:val="20"/>
          <w:color w:val="auto"/>
        </w:rPr>
      </w:pPr>
    </w:p>
    <w:p>
      <w:pPr>
        <w:ind w:left="54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Listco Class A ADSs</w:t>
      </w:r>
      <w:r>
        <w:rPr>
          <w:rFonts w:ascii="Times New Roman" w:cs="Times New Roman" w:eastAsia="Times New Roman" w:hAnsi="Times New Roman"/>
          <w:sz w:val="18"/>
          <w:szCs w:val="18"/>
          <w:color w:val="auto"/>
        </w:rPr>
        <w:t>” means the ADSs of the Borrower duly and validly issued against the deposit with the Depositary of underlying Class A ordinary shares of the Borrower, and listed on the Exchange (ticker symbol: PSNY).</w:t>
      </w:r>
    </w:p>
    <w:p>
      <w:pPr>
        <w:spacing w:after="0" w:line="47" w:lineRule="exact"/>
        <w:rPr>
          <w:sz w:val="20"/>
          <w:szCs w:val="20"/>
          <w:color w:val="auto"/>
        </w:rPr>
      </w:pPr>
    </w:p>
    <w:p>
      <w:pPr>
        <w:ind w:left="54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Listco Class B ADSs</w:t>
      </w:r>
      <w:r>
        <w:rPr>
          <w:rFonts w:ascii="Times New Roman" w:cs="Times New Roman" w:eastAsia="Times New Roman" w:hAnsi="Times New Roman"/>
          <w:sz w:val="18"/>
          <w:szCs w:val="18"/>
          <w:color w:val="auto"/>
        </w:rPr>
        <w:t>” means the ADSs of the Borrower duly and validly issued against the deposit with the Depositary of underlying Class B ordinary shares of the Borrower.</w:t>
      </w:r>
    </w:p>
    <w:p>
      <w:pPr>
        <w:spacing w:after="0" w:line="47" w:lineRule="exact"/>
        <w:rPr>
          <w:sz w:val="20"/>
          <w:szCs w:val="20"/>
          <w:color w:val="auto"/>
        </w:rPr>
      </w:pPr>
    </w:p>
    <w:p>
      <w:pPr>
        <w:ind w:left="540"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Listco Class C-1 ADSs</w:t>
      </w:r>
      <w:r>
        <w:rPr>
          <w:rFonts w:ascii="Times New Roman" w:cs="Times New Roman" w:eastAsia="Times New Roman" w:hAnsi="Times New Roman"/>
          <w:sz w:val="18"/>
          <w:szCs w:val="18"/>
          <w:color w:val="auto"/>
        </w:rPr>
        <w:t>” means the ADSs of the Borrower duly and validly issued against the deposit with the Depositary of underlying Class C-1 ordinary shares of the Borrower, and listed on the Exchange (ticker symbol: PSNYW).</w:t>
      </w:r>
    </w:p>
    <w:p>
      <w:pPr>
        <w:spacing w:after="0" w:line="47" w:lineRule="exact"/>
        <w:rPr>
          <w:sz w:val="20"/>
          <w:szCs w:val="20"/>
          <w:color w:val="auto"/>
        </w:rPr>
      </w:pPr>
    </w:p>
    <w:p>
      <w:pPr>
        <w:ind w:left="540"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Listco Class C-2 ADSs</w:t>
      </w:r>
      <w:r>
        <w:rPr>
          <w:rFonts w:ascii="Times New Roman" w:cs="Times New Roman" w:eastAsia="Times New Roman" w:hAnsi="Times New Roman"/>
          <w:sz w:val="18"/>
          <w:szCs w:val="18"/>
          <w:color w:val="auto"/>
        </w:rPr>
        <w:t>” means the ADSs of the Borrower duly and validly issued against the deposit with the Depositary of the underlying Class C-2 ordinary shares of the Borrower.</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LMA</w:t>
      </w:r>
      <w:r>
        <w:rPr>
          <w:rFonts w:ascii="Times New Roman" w:cs="Times New Roman" w:eastAsia="Times New Roman" w:hAnsi="Times New Roman"/>
          <w:sz w:val="18"/>
          <w:szCs w:val="18"/>
          <w:color w:val="auto"/>
        </w:rPr>
        <w:t>” means the Loan Market Association.</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a Loan (Facility A) or a Loan (Facility B).</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(Facility A)</w:t>
      </w:r>
      <w:r>
        <w:rPr>
          <w:rFonts w:ascii="Times New Roman" w:cs="Times New Roman" w:eastAsia="Times New Roman" w:hAnsi="Times New Roman"/>
          <w:sz w:val="18"/>
          <w:szCs w:val="18"/>
          <w:color w:val="auto"/>
        </w:rPr>
        <w:t>” means a loan made or to be made under Facility A or the principal amount outstanding for the time being of that loan.</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(Facility B)</w:t>
      </w:r>
      <w:r>
        <w:rPr>
          <w:rFonts w:ascii="Times New Roman" w:cs="Times New Roman" w:eastAsia="Times New Roman" w:hAnsi="Times New Roman"/>
          <w:sz w:val="18"/>
          <w:szCs w:val="18"/>
          <w:color w:val="auto"/>
        </w:rPr>
        <w:t>” means a loan made or to be made under Facility B or the principal amount outstanding for the time being of that loan.</w:t>
      </w:r>
    </w:p>
    <w:p>
      <w:pPr>
        <w:spacing w:after="0" w:line="31" w:lineRule="exact"/>
        <w:rPr>
          <w:sz w:val="20"/>
          <w:szCs w:val="20"/>
          <w:color w:val="auto"/>
        </w:rPr>
      </w:pPr>
    </w:p>
    <w:p>
      <w:pPr>
        <w:ind w:left="540" w:right="140"/>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Lenders</w:t>
      </w:r>
      <w:r>
        <w:rPr>
          <w:rFonts w:ascii="Times New Roman" w:cs="Times New Roman" w:eastAsia="Times New Roman" w:hAnsi="Times New Roman"/>
          <w:sz w:val="18"/>
          <w:szCs w:val="18"/>
          <w:color w:val="auto"/>
        </w:rPr>
        <w:t>” means a Lender or Lenders whose Commitments aggregate more than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per cent. of the Total Commitments (or, if the Total Commitments have been reduced to zero, aggregated more than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per cent. of the Total Commitments immediately prior to the reduction).</w:t>
      </w:r>
    </w:p>
    <w:p>
      <w:pPr>
        <w:spacing w:after="0" w:line="1" w:lineRule="exact"/>
        <w:rPr>
          <w:sz w:val="20"/>
          <w:szCs w:val="20"/>
          <w:color w:val="auto"/>
        </w:rPr>
      </w:pPr>
    </w:p>
    <w:p>
      <w:pPr>
        <w:ind w:left="540" w:right="100"/>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Lenders (Facility A)</w:t>
      </w:r>
      <w:r>
        <w:rPr>
          <w:rFonts w:ascii="Times New Roman" w:cs="Times New Roman" w:eastAsia="Times New Roman" w:hAnsi="Times New Roman"/>
          <w:sz w:val="18"/>
          <w:szCs w:val="18"/>
          <w:color w:val="auto"/>
        </w:rPr>
        <w:t>” means a Lender or Lenders whose Commitments (Facility A) aggregate more than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per cent. of the Total Facility A Commitments (or, if the Total Facility A Commitments have been reduced to zero, aggregated more than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per cent. of the Total Facility A Commitments immediately prior to the reduction).</w:t>
      </w:r>
    </w:p>
    <w:p>
      <w:pPr>
        <w:spacing w:after="0" w:line="1" w:lineRule="exact"/>
        <w:rPr>
          <w:sz w:val="20"/>
          <w:szCs w:val="20"/>
          <w:color w:val="auto"/>
        </w:rPr>
      </w:pPr>
    </w:p>
    <w:p>
      <w:pPr>
        <w:ind w:left="540" w:right="120"/>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Lenders (Facility B)</w:t>
      </w:r>
      <w:r>
        <w:rPr>
          <w:rFonts w:ascii="Times New Roman" w:cs="Times New Roman" w:eastAsia="Times New Roman" w:hAnsi="Times New Roman"/>
          <w:sz w:val="18"/>
          <w:szCs w:val="18"/>
          <w:color w:val="auto"/>
        </w:rPr>
        <w:t>” means a Lender or Lenders whose Commitments (Facility B) aggregate more than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per cent. of the Total Facility B Commitments (or, if the Total Facility B Commitments have been reduced to zero, aggregated more than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per cent. of the Total Facility B Commitments immediately prior to the reduction).</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hanging="644"/>
        <w:spacing w:after="0"/>
        <w:tabs>
          <w:tab w:leader="none" w:pos="1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Facility A, 2.85 per cent. per annum;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Facility B, 3.35 per cent. per annum.</w:t>
      </w:r>
    </w:p>
    <w:p>
      <w:pPr>
        <w:spacing w:after="0" w:line="113"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Rate</w:t>
      </w:r>
      <w:r>
        <w:rPr>
          <w:rFonts w:ascii="Times New Roman" w:cs="Times New Roman" w:eastAsia="Times New Roman" w:hAnsi="Times New Roman"/>
          <w:sz w:val="18"/>
          <w:szCs w:val="18"/>
          <w:color w:val="auto"/>
        </w:rPr>
        <w:t>” means, in respect of the rate of interest of an Interest Period relating to a Loan (Facility B), the percentage rate per annum which is the applicable Reference Rate of that Loan (Facility B).</w:t>
      </w:r>
    </w:p>
    <w:p>
      <w:pPr>
        <w:spacing w:after="0" w:line="91"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66" w:right="439" w:bottom="1440" w:gutter="0" w:footer="0" w:header="0"/>
        </w:sectPr>
      </w:pPr>
    </w:p>
    <w:bookmarkStart w:id="27" w:name="page28"/>
    <w:bookmarkEnd w:id="27"/>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w:t>
      </w:r>
    </w:p>
    <w:p>
      <w:pPr>
        <w:spacing w:after="0" w:line="135" w:lineRule="exact"/>
        <w:rPr>
          <w:sz w:val="20"/>
          <w:szCs w:val="20"/>
          <w:color w:val="auto"/>
        </w:rPr>
      </w:pPr>
    </w:p>
    <w:p>
      <w:pPr>
        <w:ind w:left="1180" w:hanging="644"/>
        <w:spacing w:after="0"/>
        <w:tabs>
          <w:tab w:leader="none" w:pos="1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operations, property, condition (financial or otherwise) or prospects of the Group taken as a whole;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an Obligor or the Keepwell Provider to perform its obligations under the Finance Documents; or</w:t>
      </w:r>
    </w:p>
    <w:p>
      <w:pPr>
        <w:spacing w:after="0" w:line="130" w:lineRule="exact"/>
        <w:rPr>
          <w:rFonts w:ascii="Times New Roman" w:cs="Times New Roman" w:eastAsia="Times New Roman" w:hAnsi="Times New Roman"/>
          <w:sz w:val="18"/>
          <w:szCs w:val="18"/>
          <w:color w:val="auto"/>
        </w:rPr>
      </w:pPr>
    </w:p>
    <w:p>
      <w:pPr>
        <w:ind w:left="1180" w:right="100" w:hanging="644"/>
        <w:spacing w:after="0" w:line="266" w:lineRule="auto"/>
        <w:tabs>
          <w:tab w:leader="none" w:pos="1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the validity or enforceability of, or the effectiveness or ranking of any Security granted or purporting to be granted pursuant to any of, the Finance Documents or the rights or remedies of any Finance Party under any of the Finance Documents.</w:t>
      </w:r>
    </w:p>
    <w:p>
      <w:pPr>
        <w:spacing w:after="0" w:line="64" w:lineRule="exact"/>
        <w:rPr>
          <w:sz w:val="20"/>
          <w:szCs w:val="20"/>
          <w:color w:val="auto"/>
        </w:rPr>
      </w:pPr>
    </w:p>
    <w:p>
      <w:pPr>
        <w:ind w:left="540" w:right="1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IP Disposal</w:t>
      </w:r>
      <w:r>
        <w:rPr>
          <w:rFonts w:ascii="Times New Roman" w:cs="Times New Roman" w:eastAsia="Times New Roman" w:hAnsi="Times New Roman"/>
          <w:sz w:val="18"/>
          <w:szCs w:val="18"/>
          <w:color w:val="auto"/>
        </w:rPr>
        <w:t>” means a Disposal (other than licensing) of an intellectual property the consideration in relation to which is equal to or more than ten (10) per cent. of the value of the Group’s reported intangible assets (for the avoidance of doubt, excluding goodwill) as at the end of the most recently reported on Financial Year of the Group, as reported in the annual financial statements relating to that Financial Year delivered pursuant to paragraph (a) of Clause 21.1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(or the Original Financial Statements, if such Disposal is made before the first set of such annual financial statements is delivered).</w:t>
      </w:r>
    </w:p>
    <w:p>
      <w:pPr>
        <w:spacing w:after="0" w:line="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Licences</w:t>
      </w:r>
      <w:r>
        <w:rPr>
          <w:rFonts w:ascii="Times New Roman" w:cs="Times New Roman" w:eastAsia="Times New Roman" w:hAnsi="Times New Roman"/>
          <w:sz w:val="18"/>
          <w:szCs w:val="18"/>
          <w:color w:val="auto"/>
        </w:rPr>
        <w:t>” means any licences necessary for the Group to conduct their business in such markets in which they operate.</w:t>
      </w:r>
    </w:p>
    <w:p>
      <w:pPr>
        <w:spacing w:after="0" w:line="117" w:lineRule="exact"/>
        <w:rPr>
          <w:sz w:val="20"/>
          <w:szCs w:val="20"/>
          <w:color w:val="auto"/>
        </w:rPr>
      </w:pPr>
    </w:p>
    <w:p>
      <w:pPr>
        <w:ind w:left="540"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a period starting on one day in a calendar month and ending on the numerically corresponding day in the next calendar month, except that:</w:t>
      </w:r>
    </w:p>
    <w:p>
      <w:pPr>
        <w:spacing w:after="0" w:line="64" w:lineRule="exact"/>
        <w:rPr>
          <w:sz w:val="20"/>
          <w:szCs w:val="20"/>
          <w:color w:val="auto"/>
        </w:rPr>
      </w:pPr>
    </w:p>
    <w:p>
      <w:pPr>
        <w:jc w:val="both"/>
        <w:ind w:left="1180" w:right="160" w:hanging="644"/>
        <w:spacing w:after="0" w:line="312" w:lineRule="auto"/>
        <w:tabs>
          <w:tab w:leader="none" w:pos="11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45" w:lineRule="exact"/>
        <w:rPr>
          <w:rFonts w:ascii="Times New Roman" w:cs="Times New Roman" w:eastAsia="Times New Roman" w:hAnsi="Times New Roman"/>
          <w:sz w:val="17"/>
          <w:szCs w:val="17"/>
          <w:color w:val="auto"/>
        </w:rPr>
      </w:pPr>
    </w:p>
    <w:p>
      <w:pPr>
        <w:ind w:left="1180" w:right="560" w:hanging="644"/>
        <w:spacing w:after="0" w:line="282" w:lineRule="auto"/>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numerically corresponding day in the calendar month in which that period is to end, that period shall end on the last Business Day in that calendar month; and</w:t>
      </w:r>
    </w:p>
    <w:p>
      <w:pPr>
        <w:spacing w:after="0" w:line="67" w:lineRule="exact"/>
        <w:rPr>
          <w:rFonts w:ascii="Times New Roman" w:cs="Times New Roman" w:eastAsia="Times New Roman" w:hAnsi="Times New Roman"/>
          <w:sz w:val="18"/>
          <w:szCs w:val="18"/>
          <w:color w:val="auto"/>
        </w:rPr>
      </w:pPr>
    </w:p>
    <w:p>
      <w:pPr>
        <w:ind w:left="1180" w:right="200" w:hanging="644"/>
        <w:spacing w:after="0" w:line="282" w:lineRule="auto"/>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Interest Period begins on the last Business Day of a calendar month, that Interest Period shall end on the last Business Day in the calendar month in which that Interest Period is to end.</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above rules will only apply to the last Month of any period.</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Mr. Li</w:t>
      </w:r>
      <w:r>
        <w:rPr>
          <w:rFonts w:ascii="Times New Roman" w:cs="Times New Roman" w:eastAsia="Times New Roman" w:hAnsi="Times New Roman"/>
          <w:sz w:val="18"/>
          <w:szCs w:val="18"/>
          <w:color w:val="auto"/>
        </w:rPr>
        <w:t>” means Mr. Li Shufu, a PRC citizen with identification number 332603196306255311.</w:t>
      </w:r>
    </w:p>
    <w:p>
      <w:pPr>
        <w:spacing w:after="0" w:line="131" w:lineRule="exact"/>
        <w:rPr>
          <w:sz w:val="20"/>
          <w:szCs w:val="20"/>
          <w:color w:val="auto"/>
        </w:rPr>
      </w:pPr>
    </w:p>
    <w:p>
      <w:pPr>
        <w:ind w:left="540" w:right="240"/>
        <w:spacing w:after="0" w:line="23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NDRC</w:t>
      </w:r>
      <w:r>
        <w:rPr>
          <w:rFonts w:ascii="Times New Roman" w:cs="Times New Roman" w:eastAsia="Times New Roman" w:hAnsi="Times New Roman"/>
          <w:sz w:val="18"/>
          <w:szCs w:val="18"/>
          <w:color w:val="auto"/>
        </w:rPr>
        <w:t>” means the National Development and Reform Commission of the PRC (</w:t>
      </w:r>
      <w:r>
        <w:rPr>
          <w:rFonts w:ascii="SimSun" w:cs="SimSun" w:eastAsia="SimSun" w:hAnsi="SimSun"/>
          <w:sz w:val="18"/>
          <w:szCs w:val="18"/>
          <w:color w:val="auto"/>
        </w:rPr>
        <w:t>中华人民共和 国国家发展和改革委员会</w:t>
      </w:r>
      <w:r>
        <w:rPr>
          <w:rFonts w:ascii="Times New Roman" w:cs="Times New Roman" w:eastAsia="Times New Roman" w:hAnsi="Times New Roman"/>
          <w:sz w:val="18"/>
          <w:szCs w:val="18"/>
          <w:color w:val="auto"/>
        </w:rPr>
        <w:t>) or its competent local counterpart or any other authority succeeding to its functions.</w:t>
      </w:r>
    </w:p>
    <w:p>
      <w:pPr>
        <w:spacing w:after="0" w:line="87" w:lineRule="exact"/>
        <w:rPr>
          <w:sz w:val="20"/>
          <w:szCs w:val="20"/>
          <w:color w:val="auto"/>
        </w:rPr>
      </w:pPr>
    </w:p>
    <w:p>
      <w:pPr>
        <w:ind w:left="540" w:right="280"/>
        <w:spacing w:after="0" w:line="233"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NDRC Order No. 56</w:t>
      </w:r>
      <w:r>
        <w:rPr>
          <w:rFonts w:ascii="Times New Roman" w:cs="Times New Roman" w:eastAsia="Times New Roman" w:hAnsi="Times New Roman"/>
          <w:sz w:val="18"/>
          <w:szCs w:val="18"/>
          <w:color w:val="auto"/>
        </w:rPr>
        <w:t>” means the Administrative Measures for the Approval and Registration of Mid-to-Long Term Foreign Debt of Enterprises (</w:t>
      </w:r>
      <w:r>
        <w:rPr>
          <w:rFonts w:ascii="SimSun" w:cs="SimSun" w:eastAsia="SimSun" w:hAnsi="SimSun"/>
          <w:sz w:val="18"/>
          <w:szCs w:val="18"/>
          <w:color w:val="auto"/>
        </w:rPr>
        <w:t>《企业中长期外债审核登记管理办法》国家发展和改革委员会令第</w:t>
      </w:r>
      <w:r>
        <w:rPr>
          <w:rFonts w:ascii="Times New Roman" w:cs="Times New Roman" w:eastAsia="Times New Roman" w:hAnsi="Times New Roman"/>
          <w:sz w:val="18"/>
          <w:szCs w:val="18"/>
          <w:color w:val="auto"/>
        </w:rPr>
        <w:t xml:space="preserve">  56 </w:t>
      </w:r>
      <w:r>
        <w:rPr>
          <w:rFonts w:ascii="SimSun" w:cs="SimSun" w:eastAsia="SimSun" w:hAnsi="SimSun"/>
          <w:sz w:val="18"/>
          <w:szCs w:val="18"/>
          <w:color w:val="auto"/>
        </w:rPr>
        <w:t>号</w:t>
      </w:r>
      <w:r>
        <w:rPr>
          <w:rFonts w:ascii="Times New Roman" w:cs="Times New Roman" w:eastAsia="Times New Roman" w:hAnsi="Times New Roman"/>
          <w:sz w:val="18"/>
          <w:szCs w:val="18"/>
          <w:color w:val="auto"/>
        </w:rPr>
        <w:t>) promulgated by the NDRC on 5 January 2023 and effective from 10 February 2023 and its implementation rules and interpretations.</w:t>
      </w:r>
    </w:p>
    <w:p>
      <w:pPr>
        <w:spacing w:after="0" w:line="131"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6" w:right="439" w:bottom="1440" w:gutter="0" w:footer="0" w:header="0"/>
        </w:sectPr>
      </w:pPr>
    </w:p>
    <w:bookmarkStart w:id="28" w:name="page29"/>
    <w:bookmarkEnd w:id="28"/>
    <w:p>
      <w:pPr>
        <w:jc w:val="both"/>
        <w:ind w:left="540" w:right="360"/>
        <w:spacing w:after="0" w:line="228" w:lineRule="exact"/>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NDRC Registration Certificate</w:t>
      </w:r>
      <w:r>
        <w:rPr>
          <w:rFonts w:ascii="Times New Roman" w:cs="Times New Roman" w:eastAsia="Times New Roman" w:hAnsi="Times New Roman"/>
          <w:sz w:val="18"/>
          <w:szCs w:val="18"/>
          <w:color w:val="auto"/>
        </w:rPr>
        <w:t>” means Enterprise Foreign Debt Filing/Registration Certificate (</w:t>
      </w:r>
      <w:r>
        <w:rPr>
          <w:rFonts w:ascii="SimSun" w:cs="SimSun" w:eastAsia="SimSun" w:hAnsi="SimSun"/>
          <w:sz w:val="18"/>
          <w:szCs w:val="18"/>
          <w:color w:val="auto"/>
        </w:rPr>
        <w:t>企业借用外债审核登记证明</w:t>
      </w:r>
      <w:r>
        <w:rPr>
          <w:rFonts w:ascii="Times New Roman" w:cs="Times New Roman" w:eastAsia="Times New Roman" w:hAnsi="Times New Roman"/>
          <w:sz w:val="18"/>
          <w:szCs w:val="18"/>
          <w:color w:val="auto"/>
        </w:rPr>
        <w:t>) issued by NDRC evidencing the completion of the NDRC foreign debt quota approval and registration process relating to the Facilities pursuant to the NDRC Order No. 56 showing an aggregate principal amount of no less than the Total Commitments.</w:t>
      </w:r>
    </w:p>
    <w:p>
      <w:pPr>
        <w:spacing w:after="0" w:line="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 has the meaning given to that term in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Non-Material IP Disposal</w:t>
      </w:r>
      <w:r>
        <w:rPr>
          <w:rFonts w:ascii="Times New Roman" w:cs="Times New Roman" w:eastAsia="Times New Roman" w:hAnsi="Times New Roman"/>
          <w:sz w:val="18"/>
          <w:szCs w:val="18"/>
          <w:color w:val="auto"/>
        </w:rPr>
        <w:t>” means a Disposal (other than licensing) of intellectual property that is not a Material IP Disposal.</w:t>
      </w:r>
    </w:p>
    <w:p>
      <w:pPr>
        <w:spacing w:after="0" w:line="117" w:lineRule="exact"/>
        <w:rPr>
          <w:sz w:val="20"/>
          <w:szCs w:val="20"/>
          <w:color w:val="auto"/>
        </w:rPr>
      </w:pPr>
    </w:p>
    <w:p>
      <w:pPr>
        <w:ind w:left="540"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Notifiable Debt Purchase Transaction</w:t>
      </w:r>
      <w:r>
        <w:rPr>
          <w:rFonts w:ascii="Times New Roman" w:cs="Times New Roman" w:eastAsia="Times New Roman" w:hAnsi="Times New Roman"/>
          <w:sz w:val="18"/>
          <w:szCs w:val="18"/>
          <w:color w:val="auto"/>
        </w:rPr>
        <w:t>” has the meaning given to that term in paragraph (b) of Clause 26.2 (</w:t>
      </w:r>
      <w:r>
        <w:rPr>
          <w:rFonts w:ascii="Times New Roman" w:cs="Times New Roman" w:eastAsia="Times New Roman" w:hAnsi="Times New Roman"/>
          <w:sz w:val="18"/>
          <w:szCs w:val="18"/>
          <w:i w:val="1"/>
          <w:iCs w:val="1"/>
          <w:color w:val="auto"/>
        </w:rPr>
        <w:t>Disenfranchisement of 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Affiliates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hanging="644"/>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b w:val="1"/>
          <w:bCs w:val="1"/>
          <w:color w:val="auto"/>
        </w:rPr>
        <w:t>Obligors</w:t>
      </w:r>
      <w:r>
        <w:rPr>
          <w:rFonts w:ascii="Times New Roman" w:cs="Times New Roman" w:eastAsia="Times New Roman" w:hAnsi="Times New Roman"/>
          <w:sz w:val="18"/>
          <w:szCs w:val="18"/>
          <w:color w:val="auto"/>
        </w:rPr>
        <w:t>” means all of them.</w:t>
      </w:r>
    </w:p>
    <w:p>
      <w:pPr>
        <w:spacing w:after="0" w:line="117" w:lineRule="exact"/>
        <w:rPr>
          <w:sz w:val="20"/>
          <w:szCs w:val="20"/>
          <w:color w:val="auto"/>
        </w:rPr>
      </w:pPr>
    </w:p>
    <w:p>
      <w:pPr>
        <w:ind w:left="540" w:right="7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Obligors’ Agent</w:t>
      </w:r>
      <w:r>
        <w:rPr>
          <w:rFonts w:ascii="Times New Roman" w:cs="Times New Roman" w:eastAsia="Times New Roman" w:hAnsi="Times New Roman"/>
          <w:sz w:val="18"/>
          <w:szCs w:val="18"/>
          <w:color w:val="auto"/>
        </w:rPr>
        <w:t>” means the Borrower, appointed to act on behalf of each Obligor (other than the Borrower) in relation to the Finance Documents pursuant to Clause 2.3 (</w:t>
      </w:r>
      <w:r>
        <w:rPr>
          <w:rFonts w:ascii="Times New Roman" w:cs="Times New Roman" w:eastAsia="Times New Roman" w:hAnsi="Times New Roman"/>
          <w:sz w:val="18"/>
          <w:szCs w:val="18"/>
          <w:i w:val="1"/>
          <w:iCs w:val="1"/>
          <w:color w:val="auto"/>
        </w:rPr>
        <w:t>Obligors’ Agent</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has the meaning given to the term under the definition of “Sanctions Authority”.</w:t>
      </w:r>
    </w:p>
    <w:p>
      <w:pPr>
        <w:spacing w:after="0" w:line="117" w:lineRule="exact"/>
        <w:rPr>
          <w:sz w:val="20"/>
          <w:szCs w:val="20"/>
          <w:color w:val="auto"/>
        </w:rPr>
      </w:pPr>
    </w:p>
    <w:p>
      <w:pPr>
        <w:ind w:left="540"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Financial Statements</w:t>
      </w:r>
      <w:r>
        <w:rPr>
          <w:rFonts w:ascii="Times New Roman" w:cs="Times New Roman" w:eastAsia="Times New Roman" w:hAnsi="Times New Roman"/>
          <w:sz w:val="18"/>
          <w:szCs w:val="18"/>
          <w:color w:val="auto"/>
        </w:rPr>
        <w:t>” means the audited consolidated financial statements of the Group for the financial year ended 31 December 2022.</w:t>
      </w:r>
    </w:p>
    <w:p>
      <w:pPr>
        <w:spacing w:after="0" w:line="47" w:lineRule="exact"/>
        <w:rPr>
          <w:sz w:val="20"/>
          <w:szCs w:val="20"/>
          <w:color w:val="auto"/>
        </w:rPr>
      </w:pPr>
    </w:p>
    <w:p>
      <w:pPr>
        <w:ind w:left="540"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Jurisdiction</w:t>
      </w:r>
      <w:r>
        <w:rPr>
          <w:rFonts w:ascii="Times New Roman" w:cs="Times New Roman" w:eastAsia="Times New Roman" w:hAnsi="Times New Roman"/>
          <w:sz w:val="18"/>
          <w:szCs w:val="18"/>
          <w:color w:val="auto"/>
        </w:rPr>
        <w:t>” means, in relation to an Obligor, the jurisdiction under whose laws that Obligor is incorporated or organised as at the Signing Date.</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Lender (Facility A)</w:t>
      </w:r>
      <w:r>
        <w:rPr>
          <w:rFonts w:ascii="Times New Roman" w:cs="Times New Roman" w:eastAsia="Times New Roman" w:hAnsi="Times New Roman"/>
          <w:sz w:val="18"/>
          <w:szCs w:val="18"/>
          <w:color w:val="auto"/>
        </w:rPr>
        <w:t>” means a Lender listed in Schedule 1 (</w:t>
      </w:r>
      <w:r>
        <w:rPr>
          <w:rFonts w:ascii="Times New Roman" w:cs="Times New Roman" w:eastAsia="Times New Roman" w:hAnsi="Times New Roman"/>
          <w:sz w:val="18"/>
          <w:szCs w:val="18"/>
          <w:i w:val="1"/>
          <w:iCs w:val="1"/>
          <w:color w:val="auto"/>
        </w:rPr>
        <w:t>The Original Lenders</w:t>
      </w:r>
      <w:r>
        <w:rPr>
          <w:rFonts w:ascii="Times New Roman" w:cs="Times New Roman" w:eastAsia="Times New Roman" w:hAnsi="Times New Roman"/>
          <w:sz w:val="18"/>
          <w:szCs w:val="18"/>
          <w:color w:val="auto"/>
        </w:rPr>
        <w:t>) as having a Commitment (Facility A).</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Lender (Facility B)</w:t>
      </w:r>
      <w:r>
        <w:rPr>
          <w:rFonts w:ascii="Times New Roman" w:cs="Times New Roman" w:eastAsia="Times New Roman" w:hAnsi="Times New Roman"/>
          <w:sz w:val="18"/>
          <w:szCs w:val="18"/>
          <w:color w:val="auto"/>
        </w:rPr>
        <w:t>” means a Lender listed in Schedule 1 (</w:t>
      </w:r>
      <w:r>
        <w:rPr>
          <w:rFonts w:ascii="Times New Roman" w:cs="Times New Roman" w:eastAsia="Times New Roman" w:hAnsi="Times New Roman"/>
          <w:sz w:val="18"/>
          <w:szCs w:val="18"/>
          <w:i w:val="1"/>
          <w:iCs w:val="1"/>
          <w:color w:val="auto"/>
        </w:rPr>
        <w:t>The Original Lenders</w:t>
      </w:r>
      <w:r>
        <w:rPr>
          <w:rFonts w:ascii="Times New Roman" w:cs="Times New Roman" w:eastAsia="Times New Roman" w:hAnsi="Times New Roman"/>
          <w:sz w:val="18"/>
          <w:szCs w:val="18"/>
          <w:color w:val="auto"/>
        </w:rPr>
        <w:t>) as having a Commitment (Facility B).</w:t>
      </w:r>
    </w:p>
    <w:p>
      <w:pPr>
        <w:spacing w:after="0" w:line="117" w:lineRule="exact"/>
        <w:rPr>
          <w:sz w:val="20"/>
          <w:szCs w:val="20"/>
          <w:color w:val="auto"/>
        </w:rPr>
      </w:pPr>
    </w:p>
    <w:p>
      <w:pPr>
        <w:ind w:left="540"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Member State</w:t>
      </w:r>
      <w:r>
        <w:rPr>
          <w:rFonts w:ascii="Times New Roman" w:cs="Times New Roman" w:eastAsia="Times New Roman" w:hAnsi="Times New Roman"/>
          <w:sz w:val="18"/>
          <w:szCs w:val="18"/>
          <w:color w:val="auto"/>
        </w:rPr>
        <w:t>” means any member state of the European Union that adopts or has adopted, and in each case continues to adopt, the euro as its lawful currency in accordance with legislation of the European Union relating to Economic and Monetary Union.</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 party to this Agreement.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right="800" w:hanging="644"/>
        <w:spacing w:after="0" w:line="282" w:lineRule="auto"/>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by a Group Member of an asset sold, leased, transferred or otherwise disposed of by another Group Member in circumstances constituting a Permitted Disposal;</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arising as a result of or in relation to a Permitted Share Transaction or Permitted Share Issue;</w:t>
      </w:r>
    </w:p>
    <w:p>
      <w:pPr>
        <w:spacing w:after="0" w:line="130" w:lineRule="exact"/>
        <w:rPr>
          <w:rFonts w:ascii="Times New Roman" w:cs="Times New Roman" w:eastAsia="Times New Roman" w:hAnsi="Times New Roman"/>
          <w:sz w:val="18"/>
          <w:szCs w:val="18"/>
          <w:color w:val="auto"/>
        </w:rPr>
      </w:pPr>
    </w:p>
    <w:p>
      <w:pPr>
        <w:ind w:left="1180" w:right="80" w:hanging="644"/>
        <w:spacing w:after="0" w:line="266" w:lineRule="auto"/>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incorporation of a limited liability company (or acquisition of a newly incorporated or shelf company or special purpose vehicle with no material assets or liabilities (for the avoidance of doubt, with no Financial Indebtedness)) which on incorporation or acquisition (as applicable) becomes a Group Member;</w:t>
      </w:r>
    </w:p>
    <w:p>
      <w:pPr>
        <w:spacing w:after="0" w:line="10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9" w:right="439" w:bottom="1440" w:gutter="0" w:footer="0" w:header="0"/>
        </w:sectPr>
      </w:pPr>
    </w:p>
    <w:bookmarkStart w:id="29" w:name="page30"/>
    <w:bookmarkEnd w:id="29"/>
    <w:p>
      <w:pPr>
        <w:ind w:left="1180" w:right="180" w:hanging="644"/>
        <w:spacing w:after="0" w:line="282" w:lineRule="auto"/>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acquisition or establishment of, or involvement in, any share or interest in any Permitted Joint Venture (whether in cash or in kind) that gives the purchaser Control;</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cash or Cash Equivalent Investments for treasury management purposes in the ordinary course of business and not for speculative purposes;</w:t>
      </w:r>
    </w:p>
    <w:p>
      <w:pPr>
        <w:spacing w:after="0" w:line="63" w:lineRule="exact"/>
        <w:rPr>
          <w:rFonts w:ascii="Times New Roman" w:cs="Times New Roman" w:eastAsia="Times New Roman" w:hAnsi="Times New Roman"/>
          <w:sz w:val="18"/>
          <w:szCs w:val="18"/>
          <w:color w:val="auto"/>
        </w:rPr>
      </w:pPr>
    </w:p>
    <w:p>
      <w:pPr>
        <w:ind w:left="1180" w:right="320" w:hanging="644"/>
        <w:spacing w:after="0" w:line="286" w:lineRule="auto"/>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acquisition of ownership interests in a Group Member which are not, in each case, already owned by a Group Member </w:t>
      </w:r>
      <w:r>
        <w:rPr>
          <w:rFonts w:ascii="Times New Roman" w:cs="Times New Roman" w:eastAsia="Times New Roman" w:hAnsi="Times New Roman"/>
          <w:sz w:val="18"/>
          <w:szCs w:val="18"/>
          <w:b w:val="1"/>
          <w:bCs w:val="1"/>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that</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incurred to finance investment in such ownership interests is Permitted Financial Indebtedness;</w:t>
      </w:r>
    </w:p>
    <w:p>
      <w:pPr>
        <w:spacing w:after="0" w:line="130" w:lineRule="exact"/>
        <w:rPr>
          <w:rFonts w:ascii="Times New Roman" w:cs="Times New Roman" w:eastAsia="Times New Roman" w:hAnsi="Times New Roman"/>
          <w:sz w:val="18"/>
          <w:szCs w:val="18"/>
          <w:color w:val="auto"/>
        </w:rPr>
      </w:pPr>
    </w:p>
    <w:p>
      <w:pPr>
        <w:ind w:left="1740" w:right="160" w:hanging="543"/>
        <w:spacing w:after="0" w:line="282" w:lineRule="auto"/>
        <w:tabs>
          <w:tab w:leader="none" w:pos="17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acquisition is for the purposes of buying back any shares held by current or former managers, directors, employees or officers in an aggregate amount not exceeding US$5,000,000 (or its equivalent) in any Financial Year; or</w:t>
      </w:r>
    </w:p>
    <w:p>
      <w:pPr>
        <w:spacing w:after="0" w:line="67" w:lineRule="exact"/>
        <w:rPr>
          <w:rFonts w:ascii="Times New Roman" w:cs="Times New Roman" w:eastAsia="Times New Roman" w:hAnsi="Times New Roman"/>
          <w:sz w:val="18"/>
          <w:szCs w:val="18"/>
          <w:color w:val="auto"/>
        </w:rPr>
      </w:pPr>
    </w:p>
    <w:p>
      <w:pPr>
        <w:ind w:left="1740" w:right="180" w:hanging="543"/>
        <w:spacing w:after="0" w:line="258" w:lineRule="auto"/>
        <w:tabs>
          <w:tab w:leader="none" w:pos="17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cases, provided that the shares or equity interests to be acquired are not held by any person in which Mr. Li holds directly or indirectly holds at least 51 per cent. of the shares or equity interests or Mr. Li) in an aggregate amount (when aggregated with (I) the Total Purchase Price in respect of Permitted Business Acquisitions in that Financial Year and (II) the amount of any investment in any Permitted Joint Venture pursuant to paragraph (a) of that definition) not exceeding US$50,000,000 (or its equivalent) in any Financial Year; or</w:t>
      </w:r>
    </w:p>
    <w:p>
      <w:pPr>
        <w:spacing w:after="0" w:line="88"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Permitted Business Acquisition.</w:t>
      </w:r>
    </w:p>
    <w:p>
      <w:pPr>
        <w:spacing w:after="0" w:line="113" w:lineRule="exact"/>
        <w:rPr>
          <w:sz w:val="20"/>
          <w:szCs w:val="20"/>
          <w:color w:val="auto"/>
        </w:rPr>
      </w:pPr>
    </w:p>
    <w:p>
      <w:pPr>
        <w:ind w:left="540"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Business Acquisition</w:t>
      </w:r>
      <w:r>
        <w:rPr>
          <w:rFonts w:ascii="Times New Roman" w:cs="Times New Roman" w:eastAsia="Times New Roman" w:hAnsi="Times New Roman"/>
          <w:sz w:val="18"/>
          <w:szCs w:val="18"/>
          <w:color w:val="auto"/>
        </w:rPr>
        <w:t>” means an acquisition, for cash consideration, of (A) a sufficient percentage of the issued share capital of a limited liability company as is required in order to have Control or (B) (if the acquisition is made by a limited liability company whose sole purpose is to make the acquisition) a business or undertaking carried on as a going concern, but only if:</w:t>
      </w:r>
    </w:p>
    <w:p>
      <w:pPr>
        <w:spacing w:after="0" w:line="80" w:lineRule="exact"/>
        <w:rPr>
          <w:sz w:val="20"/>
          <w:szCs w:val="20"/>
          <w:color w:val="auto"/>
        </w:rPr>
      </w:pPr>
    </w:p>
    <w:p>
      <w:pPr>
        <w:ind w:left="1180" w:right="60" w:hanging="644"/>
        <w:spacing w:after="0" w:line="282" w:lineRule="auto"/>
        <w:tabs>
          <w:tab w:leader="none" w:pos="1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is continuing or would occur as a result of the acquisition, both tested on the date that the Group legally commits to the acquisition (the “</w:t>
      </w:r>
      <w:r>
        <w:rPr>
          <w:rFonts w:ascii="Times New Roman" w:cs="Times New Roman" w:eastAsia="Times New Roman" w:hAnsi="Times New Roman"/>
          <w:sz w:val="18"/>
          <w:szCs w:val="18"/>
          <w:b w:val="1"/>
          <w:bCs w:val="1"/>
          <w:color w:val="auto"/>
        </w:rPr>
        <w:t>Commitment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80" w:right="340" w:hanging="644"/>
        <w:spacing w:after="0" w:line="282" w:lineRule="auto"/>
        <w:tabs>
          <w:tab w:leader="none" w:pos="1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 business or undertaking is incorporated or established, and carries on a business substantially the same as (or complementary to) that carried on by the Group;</w:t>
      </w:r>
    </w:p>
    <w:p>
      <w:pPr>
        <w:spacing w:after="0" w:line="67" w:lineRule="exact"/>
        <w:rPr>
          <w:rFonts w:ascii="Times New Roman" w:cs="Times New Roman" w:eastAsia="Times New Roman" w:hAnsi="Times New Roman"/>
          <w:sz w:val="18"/>
          <w:szCs w:val="18"/>
          <w:color w:val="auto"/>
        </w:rPr>
      </w:pPr>
    </w:p>
    <w:p>
      <w:pPr>
        <w:ind w:left="1180" w:right="20" w:hanging="644"/>
        <w:spacing w:after="0" w:line="273" w:lineRule="auto"/>
        <w:tabs>
          <w:tab w:leader="none" w:pos="11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consideration (including associated costs and expenses) for the acquisition and any Financial Indebtedness or other assumed actual or contingent liability, in each case remaining in the acquired company (or any such business) at the date of acquisition (when aggregated with the consideration (including associated costs and expenses) for any other Permitted Business Acquisition and any Financial Indebtedness or other assumed actual or contingent liability, in each case remaining in any such acquired companies or businesses at the time of acquisition (the “</w:t>
      </w:r>
      <w:r>
        <w:rPr>
          <w:rFonts w:ascii="Times New Roman" w:cs="Times New Roman" w:eastAsia="Times New Roman" w:hAnsi="Times New Roman"/>
          <w:sz w:val="17"/>
          <w:szCs w:val="17"/>
          <w:b w:val="1"/>
          <w:bCs w:val="1"/>
          <w:color w:val="auto"/>
        </w:rPr>
        <w:t>Total Purchase Price</w:t>
      </w:r>
      <w:r>
        <w:rPr>
          <w:rFonts w:ascii="Times New Roman" w:cs="Times New Roman" w:eastAsia="Times New Roman" w:hAnsi="Times New Roman"/>
          <w:sz w:val="17"/>
          <w:szCs w:val="17"/>
          <w:color w:val="auto"/>
        </w:rPr>
        <w:t>”) together with (I) the amount of any investment in any Permitted Joint Venture pursuant to paragraph (a) of that definition and (II) the amount of any Permitted Acquisition pursuant to paragraph (f)(iii) of that definition) does not in any Financial Year of the Borrower exceed in aggregate USD50,000,000 or its equivalent in other currencies;</w:t>
      </w:r>
    </w:p>
    <w:p>
      <w:pPr>
        <w:spacing w:after="0" w:line="104"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30" w:name="page31"/>
    <w:bookmarkEnd w:id="30"/>
    <w:p>
      <w:pPr>
        <w:ind w:left="1180" w:right="40" w:hanging="644"/>
        <w:spacing w:after="0" w:line="282" w:lineRule="auto"/>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earnings before tax, depreciation and amortisation of the entity or business so acquired for the 12-month period immediately prior to the proposed acquisition is:</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w:t>
      </w:r>
    </w:p>
    <w:p>
      <w:pPr>
        <w:spacing w:after="0" w:line="130" w:lineRule="exact"/>
        <w:rPr>
          <w:rFonts w:ascii="Times New Roman" w:cs="Times New Roman" w:eastAsia="Times New Roman" w:hAnsi="Times New Roman"/>
          <w:sz w:val="18"/>
          <w:szCs w:val="18"/>
          <w:color w:val="auto"/>
        </w:rPr>
      </w:pPr>
    </w:p>
    <w:p>
      <w:pPr>
        <w:ind w:left="1740" w:right="160" w:hanging="543"/>
        <w:spacing w:after="0" w:line="282" w:lineRule="auto"/>
        <w:tabs>
          <w:tab w:leader="none" w:pos="174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where the Total Purchase Price of all such acquisitions under this paragraph (B) does not in any Financial Year of the Borrower exceed in aggregate USD25,000,000 or its equivalent in other currencies;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entity or business has (A) no material contingent liabilities other than as permitted under the Finance Documents and</w:t>
      </w:r>
    </w:p>
    <w:p>
      <w:pPr>
        <w:spacing w:after="0" w:line="27" w:lineRule="exact"/>
        <w:rPr>
          <w:rFonts w:ascii="Times New Roman" w:cs="Times New Roman" w:eastAsia="Times New Roman" w:hAnsi="Times New Roman"/>
          <w:sz w:val="18"/>
          <w:szCs w:val="18"/>
          <w:color w:val="auto"/>
        </w:rPr>
      </w:pPr>
    </w:p>
    <w:p>
      <w:pPr>
        <w:ind w:left="1180" w:right="700" w:firstLine="4"/>
        <w:spacing w:after="0" w:line="260" w:lineRule="auto"/>
        <w:tabs>
          <w:tab w:leader="none" w:pos="146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defined benefit pension scheme other than those which are or would be fully funded at the time of the completion of the acquisition;</w:t>
      </w:r>
    </w:p>
    <w:p>
      <w:pPr>
        <w:spacing w:after="0" w:line="84" w:lineRule="exact"/>
        <w:rPr>
          <w:rFonts w:ascii="Times New Roman" w:cs="Times New Roman" w:eastAsia="Times New Roman" w:hAnsi="Times New Roman"/>
          <w:sz w:val="18"/>
          <w:szCs w:val="18"/>
          <w:color w:val="auto"/>
        </w:rPr>
      </w:pPr>
    </w:p>
    <w:p>
      <w:pPr>
        <w:ind w:left="1180" w:right="20" w:hanging="644"/>
        <w:spacing w:after="0" w:line="258" w:lineRule="auto"/>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would have remained in compliance with its obligations under Clause 22.2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xml:space="preserve">) if each of the covenant tests were recalculated for the Test Date falling immediately prior to the Commitment Date and, for the purposes of such recalculation, consolidating the financial statements of the target entity (consolidated if it has Subsidiaries) or business with the financial statements of the Group for such period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and as if the consideration for the proposed acquisition had been paid at the start of the period to which that Test Date relates; and</w:t>
      </w:r>
    </w:p>
    <w:p>
      <w:pPr>
        <w:spacing w:after="0" w:line="90" w:lineRule="exact"/>
        <w:rPr>
          <w:rFonts w:ascii="Times New Roman" w:cs="Times New Roman" w:eastAsia="Times New Roman" w:hAnsi="Times New Roman"/>
          <w:sz w:val="18"/>
          <w:szCs w:val="18"/>
          <w:color w:val="auto"/>
        </w:rPr>
      </w:pPr>
    </w:p>
    <w:p>
      <w:pPr>
        <w:ind w:left="1180" w:right="40" w:hanging="644"/>
        <w:spacing w:after="0" w:line="266" w:lineRule="auto"/>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form legal, tax and accounting due diligence reports and other reports which would be customary for the type and scale of entity or business being acquired (including, if applicable, but not limited to, commercial, operational, environmental and pensions) have been delivered to the Agent.</w:t>
      </w:r>
    </w:p>
    <w:p>
      <w:pPr>
        <w:spacing w:after="0" w:line="68"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Any acquisition will only be permitted under this definition if the Borrower has delivered to the Agent not later than 10 Business Days before the Commitment Date a certificate signed by a director of it (in form and substance satisfactory to the Agent (acting on the instructions of the Majority Lenders)) confirming or demonstrating (with calculations giving reasonable detail) that each of the conditions set out in this definition have been met and to which is attached a copy of the latest audited accounts (or if not available, management accounts) of the target company or business.</w:t>
      </w:r>
    </w:p>
    <w:p>
      <w:pPr>
        <w:spacing w:after="0" w:line="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Disposal</w:t>
      </w:r>
      <w:r>
        <w:rPr>
          <w:rFonts w:ascii="Times New Roman" w:cs="Times New Roman" w:eastAsia="Times New Roman" w:hAnsi="Times New Roman"/>
          <w:sz w:val="18"/>
          <w:szCs w:val="18"/>
          <w:color w:val="auto"/>
        </w:rPr>
        <w:t>” means any Disposal:</w:t>
      </w:r>
    </w:p>
    <w:p>
      <w:pPr>
        <w:spacing w:after="0" w:line="135" w:lineRule="exact"/>
        <w:rPr>
          <w:sz w:val="20"/>
          <w:szCs w:val="20"/>
          <w:color w:val="auto"/>
        </w:rPr>
      </w:pPr>
    </w:p>
    <w:p>
      <w:pPr>
        <w:ind w:left="1180" w:hanging="644"/>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Loans are repaid or prepaid in full substantially simultaneously with that disposal;</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cash for purposes not otherwise prohibited by this Agreement;</w:t>
      </w:r>
    </w:p>
    <w:p>
      <w:pPr>
        <w:spacing w:after="0" w:line="130" w:lineRule="exact"/>
        <w:rPr>
          <w:rFonts w:ascii="Times New Roman" w:cs="Times New Roman" w:eastAsia="Times New Roman" w:hAnsi="Times New Roman"/>
          <w:sz w:val="18"/>
          <w:szCs w:val="18"/>
          <w:color w:val="auto"/>
        </w:rPr>
      </w:pPr>
    </w:p>
    <w:p>
      <w:pPr>
        <w:ind w:left="1180" w:right="300" w:hanging="644"/>
        <w:spacing w:after="0" w:line="282"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any Permitted Vehicle Leaseback and Financing Transaction to the extent such Permitted Vehicle Leaseback and Financing Transaction constitutes Permitted Financial Indebtedness;</w:t>
      </w:r>
    </w:p>
    <w:p>
      <w:pPr>
        <w:spacing w:after="0" w:line="94"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31" w:name="page32"/>
    <w:bookmarkEnd w:id="31"/>
    <w:p>
      <w:pPr>
        <w:ind w:left="1180" w:right="120" w:hanging="644"/>
        <w:spacing w:after="0" w:line="258" w:lineRule="auto"/>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of any Charged Property) made in the ordinary course of day-to-day trading or operation of the disposing entity (including, without limitation, the licensing of intellectual property (which for the avoidance of doubt is not a Material IP Disposal or a Non-Material IP Disposal), the sale of inventory or the Disposal of receivables of any Group Member on a non-recourse basis (subject to customary exceptions in the ordinary course of trading) or on a basis which achieves accounting de-recognition under the applicable Accounting Principles;</w:t>
      </w:r>
    </w:p>
    <w:p>
      <w:pPr>
        <w:spacing w:after="0" w:line="88"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assets by a member of the Group to another member of the Group;</w:t>
      </w:r>
    </w:p>
    <w:p>
      <w:pPr>
        <w:spacing w:after="0" w:line="130" w:lineRule="exact"/>
        <w:rPr>
          <w:rFonts w:ascii="Times New Roman" w:cs="Times New Roman" w:eastAsia="Times New Roman" w:hAnsi="Times New Roman"/>
          <w:sz w:val="18"/>
          <w:szCs w:val="18"/>
          <w:color w:val="auto"/>
        </w:rPr>
      </w:pPr>
    </w:p>
    <w:p>
      <w:pPr>
        <w:ind w:left="1180" w:right="20" w:hanging="644"/>
        <w:spacing w:after="0" w:line="266" w:lineRule="auto"/>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shares or equity interests in any Subsidiaries or Joint Ventures with a view to facilitating a listing on a public exchange of that Subsidiary or as part of such listing, to the extent the proceeds received by the disposing entity should be applied to prepay the Facilities immediately upon receipt of such proceeds;</w:t>
      </w:r>
    </w:p>
    <w:p>
      <w:pPr>
        <w:spacing w:after="0" w:line="81" w:lineRule="exact"/>
        <w:rPr>
          <w:rFonts w:ascii="Times New Roman" w:cs="Times New Roman" w:eastAsia="Times New Roman" w:hAnsi="Times New Roman"/>
          <w:sz w:val="18"/>
          <w:szCs w:val="18"/>
          <w:color w:val="auto"/>
        </w:rPr>
      </w:pPr>
    </w:p>
    <w:p>
      <w:pPr>
        <w:ind w:left="1180" w:right="480" w:hanging="644"/>
        <w:spacing w:after="0" w:line="282" w:lineRule="auto"/>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consists of the making by the Borrower of a Permitted Distribution, a Permitted Share Issue or as a result of the conversion of shares or equity interests into another class of shares or equity interests;</w:t>
      </w:r>
    </w:p>
    <w:p>
      <w:pPr>
        <w:spacing w:after="0" w:line="67" w:lineRule="exact"/>
        <w:rPr>
          <w:rFonts w:ascii="Times New Roman" w:cs="Times New Roman" w:eastAsia="Times New Roman" w:hAnsi="Times New Roman"/>
          <w:sz w:val="18"/>
          <w:szCs w:val="18"/>
          <w:color w:val="auto"/>
        </w:rPr>
      </w:pPr>
    </w:p>
    <w:p>
      <w:pPr>
        <w:ind w:left="1180" w:right="280" w:hanging="644"/>
        <w:spacing w:after="0" w:line="282" w:lineRule="auto"/>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consists of a distribution (within the meaning of relevant laws and regulations) by a Group Member (other than the Borrower) in favour of the holder(s) of shares or equity interests in such Group Member, provided that:</w:t>
      </w:r>
    </w:p>
    <w:p>
      <w:pPr>
        <w:spacing w:after="0" w:line="65" w:lineRule="exact"/>
        <w:rPr>
          <w:rFonts w:ascii="Times New Roman" w:cs="Times New Roman" w:eastAsia="Times New Roman" w:hAnsi="Times New Roman"/>
          <w:sz w:val="18"/>
          <w:szCs w:val="18"/>
          <w:color w:val="auto"/>
        </w:rPr>
      </w:pPr>
    </w:p>
    <w:p>
      <w:pPr>
        <w:ind w:left="1740" w:right="700" w:hanging="543"/>
        <w:spacing w:after="0" w:line="284" w:lineRule="auto"/>
        <w:tabs>
          <w:tab w:leader="none" w:pos="17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distribution is made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(or more favourable to the holder(s) of shares or equity interests who is or are Group Member(s) according to the applicable shareholding of percentage in such first-mentioned Group Member; and</w:t>
      </w:r>
    </w:p>
    <w:p>
      <w:pPr>
        <w:spacing w:after="0" w:line="65"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or would arise as a result thereof;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 intra-Group loan as a result of the conversion of such intra-Group loan into equity;</w:t>
      </w:r>
    </w:p>
    <w:p>
      <w:pPr>
        <w:spacing w:after="0" w:line="130"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assets in exchange for other assets comparable or superior as to type, value and quality which are also used or will be used in the operation of the business of the Group (other than an exchange of a non-cash asset for cash);</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obsolete or redundant assets or waste;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non-Core Business related assets, businesses or product lines;</w:t>
      </w:r>
    </w:p>
    <w:p>
      <w:pPr>
        <w:spacing w:after="0" w:line="130" w:lineRule="exact"/>
        <w:rPr>
          <w:rFonts w:ascii="Times New Roman" w:cs="Times New Roman" w:eastAsia="Times New Roman" w:hAnsi="Times New Roman"/>
          <w:sz w:val="18"/>
          <w:szCs w:val="18"/>
          <w:color w:val="auto"/>
        </w:rPr>
      </w:pPr>
    </w:p>
    <w:p>
      <w:pPr>
        <w:ind w:left="1180" w:right="20" w:hanging="644"/>
        <w:spacing w:after="0" w:line="261" w:lineRule="auto"/>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assets on arms’ length terms and in the ordinary course of business to a person who is providing services related to such assets, the provision of which have been (or are to be) outsourced by the Group to such person (or its affiliates or related entities), provided that the proceeds of such Disposal are either applied to set off the service fee payable to such service provider or applied in accordance with the parameters set out in Clause 8.2 (</w:t>
      </w:r>
      <w:r>
        <w:rPr>
          <w:rFonts w:ascii="Times New Roman" w:cs="Times New Roman" w:eastAsia="Times New Roman" w:hAnsi="Times New Roman"/>
          <w:sz w:val="18"/>
          <w:szCs w:val="18"/>
          <w:i w:val="1"/>
          <w:iCs w:val="1"/>
          <w:color w:val="auto"/>
        </w:rPr>
        <w:t>Disposal Proceeds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Group Cash Equivalent Investments or cash, in each case in a manner not prohibited by the Finance Documents;</w:t>
      </w:r>
    </w:p>
    <w:p>
      <w:pPr>
        <w:spacing w:after="0" w:line="130" w:lineRule="exact"/>
        <w:rPr>
          <w:rFonts w:ascii="Times New Roman" w:cs="Times New Roman" w:eastAsia="Times New Roman" w:hAnsi="Times New Roman"/>
          <w:sz w:val="18"/>
          <w:szCs w:val="18"/>
          <w:color w:val="auto"/>
        </w:rPr>
      </w:pPr>
    </w:p>
    <w:p>
      <w:pPr>
        <w:ind w:left="1180" w:right="120" w:hanging="644"/>
        <w:spacing w:after="0" w:line="258" w:lineRule="auto"/>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any Group Member (otherwise than as permitted under any other paragraph of this definition “Permitted Disposal”) provided that the higher of book value and cash proceeds received by such Group Member pursuant to such Disposal (when aggregated with the higher of book value and cash proceeds received from all Group Members pursuant to any other such Disposals permitted under this paragraph (o)) in any Financial Year of the Borrower is no more than 10% of the Consolidated Group Assets (when expressed in dollar terms) of the Group in respect of that Financial Year on a consolidated basis;</w:t>
      </w:r>
    </w:p>
    <w:p>
      <w:pPr>
        <w:spacing w:after="0" w:line="116"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32" w:name="page33"/>
    <w:bookmarkEnd w:id="32"/>
    <w:p>
      <w:pPr>
        <w:ind w:left="1180" w:right="620" w:hanging="644"/>
        <w:spacing w:after="0" w:line="282"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arising as a result of or in relation to a Permitted Loan, Permitted Joint Venture, Permitted Acquisition, Permitted Security, or as permitted pursuant to Clause 23.10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80" w:right="100" w:hanging="644"/>
        <w:spacing w:after="0" w:line="266"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assets which are seized, expropriated or acquired by compulsory purchase, in each case by or by the order of (as applicable) any central or local governmental agency or authority or other regulatory body, provided that such disposal is not attributable to any default or breach by the relevant Group Member and does not have a Material Adverse Effect;</w:t>
      </w:r>
    </w:p>
    <w:p>
      <w:pPr>
        <w:spacing w:after="0" w:line="81" w:lineRule="exact"/>
        <w:rPr>
          <w:rFonts w:ascii="Times New Roman" w:cs="Times New Roman" w:eastAsia="Times New Roman" w:hAnsi="Times New Roman"/>
          <w:sz w:val="18"/>
          <w:szCs w:val="18"/>
          <w:color w:val="auto"/>
        </w:rPr>
      </w:pPr>
    </w:p>
    <w:p>
      <w:pPr>
        <w:jc w:val="both"/>
        <w:ind w:left="1180" w:right="220" w:hanging="644"/>
        <w:spacing w:after="0" w:line="266"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asset made in order to comply with an order of any agency of state, authority or other regulatory body or any applicable law or regulation, provided that such disposal is not attributable to any default or breach by the relevant Group Member and does not have a Material Adverse Effect;</w:t>
      </w:r>
    </w:p>
    <w:p>
      <w:pPr>
        <w:spacing w:after="0" w:line="81" w:lineRule="exact"/>
        <w:rPr>
          <w:rFonts w:ascii="Times New Roman" w:cs="Times New Roman" w:eastAsia="Times New Roman" w:hAnsi="Times New Roman"/>
          <w:sz w:val="18"/>
          <w:szCs w:val="18"/>
          <w:color w:val="auto"/>
        </w:rPr>
      </w:pPr>
    </w:p>
    <w:p>
      <w:pPr>
        <w:ind w:left="1180" w:right="360" w:hanging="644"/>
        <w:spacing w:after="0" w:line="282"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grant or termination of leasehold interests in, or licences, sub-licences or sub-letting of, real property in the ordinary course of business;</w:t>
      </w:r>
    </w:p>
    <w:p>
      <w:pPr>
        <w:spacing w:after="0" w:line="67" w:lineRule="exact"/>
        <w:rPr>
          <w:rFonts w:ascii="Times New Roman" w:cs="Times New Roman" w:eastAsia="Times New Roman" w:hAnsi="Times New Roman"/>
          <w:sz w:val="18"/>
          <w:szCs w:val="18"/>
          <w:color w:val="auto"/>
        </w:rPr>
      </w:pPr>
    </w:p>
    <w:p>
      <w:pPr>
        <w:ind w:left="1180" w:right="400" w:hanging="644"/>
        <w:spacing w:after="0" w:line="282"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set-off or netting arrangements under hedging transactions in the ordinary course of business of the Group and not for speculative purposes;</w:t>
      </w:r>
    </w:p>
    <w:p>
      <w:pPr>
        <w:spacing w:after="0" w:line="67" w:lineRule="exact"/>
        <w:rPr>
          <w:rFonts w:ascii="Times New Roman" w:cs="Times New Roman" w:eastAsia="Times New Roman" w:hAnsi="Times New Roman"/>
          <w:sz w:val="18"/>
          <w:szCs w:val="18"/>
          <w:color w:val="auto"/>
        </w:rPr>
      </w:pPr>
    </w:p>
    <w:p>
      <w:pPr>
        <w:ind w:left="1180" w:right="40" w:hanging="644"/>
        <w:spacing w:after="0" w:line="261"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Material IP Disposal, provided that the proceeds of such Disposal are applied to prepay the Facilities on the last day of the Interest Period during which the date of receipt of such proceeds falls (however, if an Event of Default has occurred and is continuing at the date of such receipt or thereafter, such proceeds shall be applied to prepay the Facilities immediately in lieu of the last day of the relevant Interest Period);</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Non-Material IP Disposal;</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with the prior written consent of the Agent (acting on the instructions of the Majority Lenders);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Permitted Sale and Leaseback; or</w:t>
      </w:r>
    </w:p>
    <w:p>
      <w:pPr>
        <w:spacing w:after="0" w:line="130"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assets the aggregate value of all items disposed of pursuant to this paragraph (y) do not exceed USD10,000,000 for the purposes of acquisition and development of premises intended as the headquarters of any Group Member in Gothenburg, Sweden.</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Distribution</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right="240" w:hanging="644"/>
        <w:spacing w:after="0" w:line="266" w:lineRule="auto"/>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by the Borrower to a director officer, employee, member of management or manager of any Group Member provided such payment is required to be paid by a member of the Group under the terms of the relevant director’s or officer’s service contract (provided that their service contracts relate principally to the business of the Group and in the ordinary course of business);</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constituting a Permitted Share Transaction;</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3" w:name="page34"/>
    <w:bookmarkEnd w:id="33"/>
    <w:p>
      <w:pPr>
        <w:ind w:left="1180" w:right="100" w:hanging="644"/>
        <w:spacing w:after="0" w:line="258" w:lineRule="auto"/>
        <w:tabs>
          <w:tab w:leader="none" w:pos="1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distribution by the Borrower in the form of payment of any interest or premium in respect of any equity linked indebtedness (whether in the form of debt securities, notes, loans or similar instruments which are convertible into equity and/or shares that are redeemable and/or preference shares, or otherwise) raised by it from a person which is not a Sponsor Affiliate provided that no Event of Default is continuing or would occur immediately after making such a distribution and that such distribution would not result Clause 22.2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being breached.</w:t>
      </w:r>
    </w:p>
    <w:p>
      <w:pPr>
        <w:spacing w:after="0" w:line="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Financial Indebtedness</w:t>
      </w:r>
      <w:r>
        <w:rPr>
          <w:rFonts w:ascii="Times New Roman" w:cs="Times New Roman" w:eastAsia="Times New Roman" w:hAnsi="Times New Roman"/>
          <w:sz w:val="18"/>
          <w:szCs w:val="18"/>
          <w:color w:val="auto"/>
        </w:rPr>
        <w:t>” means Financial Indebtedness:</w:t>
      </w:r>
    </w:p>
    <w:p>
      <w:pPr>
        <w:spacing w:after="0" w:line="135" w:lineRule="exact"/>
        <w:rPr>
          <w:sz w:val="20"/>
          <w:szCs w:val="20"/>
          <w:color w:val="auto"/>
        </w:rPr>
      </w:pPr>
    </w:p>
    <w:p>
      <w:pPr>
        <w:ind w:left="1180" w:right="100" w:hanging="644"/>
        <w:spacing w:after="0" w:line="282" w:lineRule="auto"/>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under the Finance Documents or pursuant to the requirements of the Finance Documents (including, for the avoidance of doubt, any actions or measures required or contemplated under the Keepwell Deed);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constitutes Permitted Vehicle Leaseback and Financing Transaction;</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Group Member that is incurred in favour of another Group Member;</w:t>
      </w:r>
    </w:p>
    <w:p>
      <w:pPr>
        <w:spacing w:after="0" w:line="130" w:lineRule="exact"/>
        <w:rPr>
          <w:rFonts w:ascii="Times New Roman" w:cs="Times New Roman" w:eastAsia="Times New Roman" w:hAnsi="Times New Roman"/>
          <w:sz w:val="18"/>
          <w:szCs w:val="18"/>
          <w:color w:val="auto"/>
        </w:rPr>
      </w:pPr>
    </w:p>
    <w:p>
      <w:pPr>
        <w:ind w:left="1180" w:right="80" w:hanging="644"/>
        <w:spacing w:after="0" w:line="266" w:lineRule="auto"/>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under a foreign exchange transaction for spot or forward delivery entered into in connection with protection against fluctuation in currency rates where that foreign exchange exposure arises in the ordinary course of trade, but not a foreign exchange transaction for investment or speculative purposes;</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under, as a result of or in relation to a Permitted Loan or Permitted Guarantee;</w:t>
      </w:r>
    </w:p>
    <w:p>
      <w:pPr>
        <w:spacing w:after="0" w:line="130" w:lineRule="exact"/>
        <w:rPr>
          <w:rFonts w:ascii="Times New Roman" w:cs="Times New Roman" w:eastAsia="Times New Roman" w:hAnsi="Times New Roman"/>
          <w:sz w:val="18"/>
          <w:szCs w:val="18"/>
          <w:color w:val="auto"/>
        </w:rPr>
      </w:pPr>
    </w:p>
    <w:p>
      <w:pPr>
        <w:ind w:left="1180" w:right="120" w:hanging="644"/>
        <w:spacing w:after="0" w:line="266" w:lineRule="auto"/>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hedging transaction entered into by a Group Member for the purpose of (i) hedging any risk to which that Group Member is exposed in its ordinary course of trading; or (ii) its interest rate or currency management operations which are carried out in the ordinary course of business and for non-speculative purposes only;</w:t>
      </w:r>
    </w:p>
    <w:p>
      <w:pPr>
        <w:spacing w:after="0" w:line="81"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pursuant to cash pooling, overdraft arrangements, cash management and/or netting arrangements entered into by some or all of the Group Members with any bank or financial institution;</w:t>
      </w:r>
    </w:p>
    <w:p>
      <w:pPr>
        <w:spacing w:after="0" w:line="67" w:lineRule="exact"/>
        <w:rPr>
          <w:rFonts w:ascii="Times New Roman" w:cs="Times New Roman" w:eastAsia="Times New Roman" w:hAnsi="Times New Roman"/>
          <w:sz w:val="18"/>
          <w:szCs w:val="18"/>
          <w:color w:val="auto"/>
        </w:rPr>
      </w:pPr>
    </w:p>
    <w:p>
      <w:pPr>
        <w:ind w:left="1180" w:right="420" w:hanging="644"/>
        <w:spacing w:after="0" w:line="266" w:lineRule="auto"/>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person acquired by a Group Member after the Signing Date which is incurred under arrangements in existence at the date of acquisition, but not incurred or increased or having its maturity date extended in contemplation of, or since, that acquisition, and outstanding only for a period of three Months following the date of acquisition;</w:t>
      </w:r>
    </w:p>
    <w:p>
      <w:pPr>
        <w:spacing w:after="0" w:line="81" w:lineRule="exact"/>
        <w:rPr>
          <w:rFonts w:ascii="Times New Roman" w:cs="Times New Roman" w:eastAsia="Times New Roman" w:hAnsi="Times New Roman"/>
          <w:sz w:val="18"/>
          <w:szCs w:val="18"/>
          <w:color w:val="auto"/>
        </w:rPr>
      </w:pPr>
    </w:p>
    <w:p>
      <w:pPr>
        <w:ind w:left="1180" w:right="80" w:hanging="644"/>
        <w:spacing w:after="0" w:line="261" w:lineRule="auto"/>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Subordinated Debt or any Unsubordinated Shareholder Loan provided that in each case, the parameters in respect of each such Financial Indebtedness under this Agreement or the Subordination Deed have been complied with and the Borrower shall not make any early repayment or payment (regardless of the reasons) of all or any part of the Unsubordinated Shareholder Loan unless with the prior written consent of the Agent (acting on the instructions of the Majority Lenders);</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permitted by the preceding paragraphs, but the incurrence or subsistence of which would not result in any of paragraphs (c), (d) or</w:t>
      </w:r>
    </w:p>
    <w:p>
      <w:pPr>
        <w:spacing w:after="0" w:line="27"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of Clause 22.2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being breached;</w:t>
      </w:r>
    </w:p>
    <w:p>
      <w:pPr>
        <w:spacing w:after="0" w:line="139"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34" w:name="page35"/>
    <w:bookmarkEnd w:id="34"/>
    <w:p>
      <w:pPr>
        <w:ind w:left="1180" w:right="120" w:hanging="644"/>
        <w:spacing w:after="0" w:line="261" w:lineRule="auto"/>
        <w:tabs>
          <w:tab w:leader="none" w:pos="1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Financial Indebtedness incurred with the prior written consent of the Agent (acting on the instructions of the Majority Lenders) provided that the Group has a positive equity, earnings before interest, tax, depreciation and amortisation and cashflow (the parameters of “equity”, “earnings before interest, tax, depreciation and amortisation” and “cashflow” to be agreed between the Borrower and the Lenders) for the most recent 12-Month period as at date of incurrence of such Financial Indebtedness.</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Guarantee</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hanging="644"/>
        <w:spacing w:after="0"/>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under the Finance Documents;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in respect of, or constituting, Permitted Financial Indebtedness;</w:t>
      </w:r>
    </w:p>
    <w:p>
      <w:pPr>
        <w:spacing w:after="0" w:line="130" w:lineRule="exact"/>
        <w:rPr>
          <w:rFonts w:ascii="Times New Roman" w:cs="Times New Roman" w:eastAsia="Times New Roman" w:hAnsi="Times New Roman"/>
          <w:sz w:val="18"/>
          <w:szCs w:val="18"/>
          <w:color w:val="auto"/>
        </w:rPr>
      </w:pPr>
    </w:p>
    <w:p>
      <w:pPr>
        <w:ind w:left="1180" w:right="740" w:hanging="644"/>
        <w:spacing w:after="0" w:line="282"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indemnity given in the ordinary course of the documentation of an acquisition or disposal transaction which is a Permitted Acquisition or Permitted Disposal and which indemnity is in customary form and subject to customary limitations;</w:t>
      </w:r>
    </w:p>
    <w:p>
      <w:pPr>
        <w:spacing w:after="0" w:line="67" w:lineRule="exact"/>
        <w:rPr>
          <w:rFonts w:ascii="Times New Roman" w:cs="Times New Roman" w:eastAsia="Times New Roman" w:hAnsi="Times New Roman"/>
          <w:sz w:val="18"/>
          <w:szCs w:val="18"/>
          <w:color w:val="auto"/>
        </w:rPr>
      </w:pPr>
    </w:p>
    <w:p>
      <w:pPr>
        <w:ind w:left="1180" w:right="500" w:hanging="644"/>
        <w:spacing w:after="0" w:line="282"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 bond, advance payment bond, documentary letter of credit, standby letter of credit, or similar bond guaranteeing performance by a member of the Group under any contract entered into in the ordinary course of trade;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endorsement of negotiable instruments and the giving of indemnities in the ordinary course of day-to-day business;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guarantee of a Joint Venture to the extent constituting a Permitted Joint Venture;</w:t>
      </w:r>
    </w:p>
    <w:p>
      <w:pPr>
        <w:spacing w:after="0" w:line="130"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or indemnity arising as a result of or in relation to any Permitted Security, Permitted Loan or which, if it were a loan, would be a Permitted Loan;</w:t>
      </w:r>
    </w:p>
    <w:p>
      <w:pPr>
        <w:spacing w:after="0" w:line="67" w:lineRule="exact"/>
        <w:rPr>
          <w:rFonts w:ascii="Times New Roman" w:cs="Times New Roman" w:eastAsia="Times New Roman" w:hAnsi="Times New Roman"/>
          <w:sz w:val="18"/>
          <w:szCs w:val="18"/>
          <w:color w:val="auto"/>
        </w:rPr>
      </w:pPr>
    </w:p>
    <w:p>
      <w:pPr>
        <w:ind w:left="1180" w:right="80" w:hanging="644"/>
        <w:spacing w:after="0" w:line="266"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or indemnity made, granted or given by any Group Member to its customers, suppliers, franchisees, licensees, depositary or relating to any research and/or development project, in each case of or concerning a Group Member, on normal commercial terms and in the ordinary course of business;</w:t>
      </w:r>
    </w:p>
    <w:p>
      <w:pPr>
        <w:spacing w:after="0" w:line="81" w:lineRule="exact"/>
        <w:rPr>
          <w:rFonts w:ascii="Times New Roman" w:cs="Times New Roman" w:eastAsia="Times New Roman" w:hAnsi="Times New Roman"/>
          <w:sz w:val="18"/>
          <w:szCs w:val="18"/>
          <w:color w:val="auto"/>
        </w:rPr>
      </w:pPr>
    </w:p>
    <w:p>
      <w:pPr>
        <w:ind w:left="1180" w:right="120" w:hanging="644"/>
        <w:spacing w:after="0" w:line="266"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to landlords and counter indemnities in favour of financial institutions or other persons which have guaranteed rent obligations of a Group Member (to the extent such rent obligations constitutes Permitted Financial Indebtedness, or does not constitute Financial Indebtedness);</w:t>
      </w:r>
    </w:p>
    <w:p>
      <w:pPr>
        <w:spacing w:after="0" w:line="81" w:lineRule="exact"/>
        <w:rPr>
          <w:rFonts w:ascii="Times New Roman" w:cs="Times New Roman" w:eastAsia="Times New Roman" w:hAnsi="Times New Roman"/>
          <w:sz w:val="18"/>
          <w:szCs w:val="18"/>
          <w:color w:val="auto"/>
        </w:rPr>
      </w:pPr>
    </w:p>
    <w:p>
      <w:pPr>
        <w:ind w:left="1180" w:right="340" w:hanging="644"/>
        <w:spacing w:after="0" w:line="258"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by any Group Member after the Signing Date which is incurred under arrangements in existence at the date of acquisition and outstanding only for a period of three Months following the date of acquisition (save to the extent that such guarantee constitutes a Permitted Guarantee under another paragraph of this definition) provided that the aggregate principal liability (whether actual or contingent) of Group Members under all such guarantees does not exceed USD20,000,000 (or its equivalent in other currencies) in aggregate at any time;</w:t>
      </w:r>
    </w:p>
    <w:p>
      <w:pPr>
        <w:spacing w:after="0" w:line="88" w:lineRule="exact"/>
        <w:rPr>
          <w:rFonts w:ascii="Times New Roman" w:cs="Times New Roman" w:eastAsia="Times New Roman" w:hAnsi="Times New Roman"/>
          <w:sz w:val="18"/>
          <w:szCs w:val="18"/>
          <w:color w:val="auto"/>
        </w:rPr>
      </w:pPr>
    </w:p>
    <w:p>
      <w:pPr>
        <w:ind w:left="1180" w:right="80" w:hanging="644"/>
        <w:spacing w:after="0" w:line="282"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guarantees and indemnities given in favour of current or former directors, officers, employees, members of management and managers of any Group Member in respect of their function as such;</w:t>
      </w:r>
    </w:p>
    <w:p>
      <w:pPr>
        <w:spacing w:after="0" w:line="94"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5" w:name="page36"/>
    <w:bookmarkEnd w:id="35"/>
    <w:p>
      <w:pPr>
        <w:ind w:left="1180" w:right="160" w:hanging="644"/>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guarantee given in respect of cash pooling, netting or set-off arrangements entered into by a Group Member in the ordinary course of its banking arrangements for the purpose of netting debit and credit balances of Group Member(s);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guarantees and indemnities given in mandate or engagement letters to professional advisers and consultants;</w:t>
      </w:r>
    </w:p>
    <w:p>
      <w:pPr>
        <w:spacing w:after="0" w:line="130"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and indemnities issued in respect of Tax or required under applicable law (or provided by contract with substantially the same effect and to the same extent) or required by any applicable Tax authorities;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as a result of two or more Group Members belonging to a fiscal unity for Tax purposes;</w:t>
      </w:r>
    </w:p>
    <w:p>
      <w:pPr>
        <w:spacing w:after="0" w:line="130" w:lineRule="exact"/>
        <w:rPr>
          <w:rFonts w:ascii="Times New Roman" w:cs="Times New Roman" w:eastAsia="Times New Roman" w:hAnsi="Times New Roman"/>
          <w:sz w:val="18"/>
          <w:szCs w:val="18"/>
          <w:color w:val="auto"/>
        </w:rPr>
      </w:pPr>
    </w:p>
    <w:p>
      <w:pPr>
        <w:ind w:left="1180" w:right="200" w:hanging="644"/>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or indemnity provided by a Group Member for the obligations of another Group Member in connection with such other Group Member claiming exemption from audit, the preparation and filing of its accounts or other similar exemptions;</w:t>
      </w:r>
    </w:p>
    <w:p>
      <w:pPr>
        <w:spacing w:after="0" w:line="67" w:lineRule="exact"/>
        <w:rPr>
          <w:rFonts w:ascii="Times New Roman" w:cs="Times New Roman" w:eastAsia="Times New Roman" w:hAnsi="Times New Roman"/>
          <w:sz w:val="18"/>
          <w:szCs w:val="18"/>
          <w:color w:val="auto"/>
        </w:rPr>
      </w:pPr>
    </w:p>
    <w:p>
      <w:pPr>
        <w:ind w:left="1180" w:right="520" w:hanging="644"/>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issued to the trustees of, or otherwise in respect of the obligations owing to, a pension scheme operated by a Group Member for the benefit of its employees where such guarantee is unsecured in the ordinary course of business;</w:t>
      </w:r>
    </w:p>
    <w:p>
      <w:pPr>
        <w:spacing w:after="0" w:line="67" w:lineRule="exact"/>
        <w:rPr>
          <w:rFonts w:ascii="Times New Roman" w:cs="Times New Roman" w:eastAsia="Times New Roman" w:hAnsi="Times New Roman"/>
          <w:sz w:val="18"/>
          <w:szCs w:val="18"/>
          <w:color w:val="auto"/>
        </w:rPr>
      </w:pPr>
    </w:p>
    <w:p>
      <w:pPr>
        <w:ind w:left="1180" w:right="120" w:hanging="644"/>
        <w:spacing w:after="0" w:line="266"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not permitted by the preceding paragraphs and not given to or for the benefit of a Group Member or a Restricted Person, where the aggregate principal liability (whether actual or contingent) of Group Members under all such guarantees does not exceed USD50,000,000 (or its equivalent in other currencies) in aggregate at any time; or</w:t>
      </w:r>
    </w:p>
    <w:p>
      <w:pPr>
        <w:spacing w:after="0" w:line="81" w:lineRule="exact"/>
        <w:rPr>
          <w:rFonts w:ascii="Times New Roman" w:cs="Times New Roman" w:eastAsia="Times New Roman" w:hAnsi="Times New Roman"/>
          <w:sz w:val="18"/>
          <w:szCs w:val="18"/>
          <w:color w:val="auto"/>
        </w:rPr>
      </w:pPr>
    </w:p>
    <w:p>
      <w:pPr>
        <w:ind w:left="1180" w:right="660" w:hanging="644"/>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or indemnity made, granted or given with the prior written consent of the Agent (acting on the instructions of the Majority Lenders).</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Joint Venture</w:t>
      </w:r>
      <w:r>
        <w:rPr>
          <w:rFonts w:ascii="Times New Roman" w:cs="Times New Roman" w:eastAsia="Times New Roman" w:hAnsi="Times New Roman"/>
          <w:sz w:val="18"/>
          <w:szCs w:val="18"/>
          <w:color w:val="auto"/>
        </w:rPr>
        <w:t>” means any investment in any Joint Venture where:</w:t>
      </w:r>
    </w:p>
    <w:p>
      <w:pPr>
        <w:spacing w:after="0" w:line="135" w:lineRule="exact"/>
        <w:rPr>
          <w:sz w:val="20"/>
          <w:szCs w:val="20"/>
          <w:color w:val="auto"/>
        </w:rPr>
      </w:pPr>
    </w:p>
    <w:p>
      <w:pPr>
        <w:ind w:left="1180" w:hanging="644"/>
        <w:spacing w:after="0"/>
        <w:tabs>
          <w:tab w:leader="none" w:pos="1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conditions is satisfied: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Venture is engaged in a business substantially the same as (or complementary to) that carried on by the Group;</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Financial Year of the Borrower, the aggregate of:</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subscribed for shares in, lent to, or invested in all such Joint Ventures by any Group Member;</w:t>
      </w:r>
    </w:p>
    <w:p>
      <w:pPr>
        <w:spacing w:after="0" w:line="130" w:lineRule="exact"/>
        <w:rPr>
          <w:rFonts w:ascii="Times New Roman" w:cs="Times New Roman" w:eastAsia="Times New Roman" w:hAnsi="Times New Roman"/>
          <w:sz w:val="18"/>
          <w:szCs w:val="18"/>
          <w:color w:val="auto"/>
        </w:rPr>
      </w:pPr>
    </w:p>
    <w:p>
      <w:pPr>
        <w:ind w:left="2400" w:right="100" w:hanging="649"/>
        <w:spacing w:after="0" w:line="282" w:lineRule="auto"/>
        <w:tabs>
          <w:tab w:leader="none" w:pos="240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contingent liabilities of any Group Member under any guarantee given in respect of the liabilities of any such Joint Venture; and</w:t>
      </w:r>
    </w:p>
    <w:p>
      <w:pPr>
        <w:spacing w:after="0" w:line="67"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any assets transferred by any Group Member to any such Joint Venture,</w:t>
      </w:r>
    </w:p>
    <w:p>
      <w:pPr>
        <w:spacing w:after="0" w:line="117" w:lineRule="exact"/>
        <w:rPr>
          <w:sz w:val="20"/>
          <w:szCs w:val="20"/>
          <w:color w:val="auto"/>
        </w:rPr>
      </w:pPr>
    </w:p>
    <w:p>
      <w:pPr>
        <w:ind w:left="1760" w:right="60"/>
        <w:spacing w:after="0" w:line="261" w:lineRule="auto"/>
        <w:rPr>
          <w:sz w:val="20"/>
          <w:szCs w:val="20"/>
          <w:color w:val="auto"/>
        </w:rPr>
      </w:pPr>
      <w:r>
        <w:rPr>
          <w:rFonts w:ascii="Times New Roman" w:cs="Times New Roman" w:eastAsia="Times New Roman" w:hAnsi="Times New Roman"/>
          <w:sz w:val="18"/>
          <w:szCs w:val="18"/>
          <w:color w:val="auto"/>
        </w:rPr>
        <w:t>in each case, net of profit distributions and returns on investment in cash from Permitted Joint Ventures (in each case received by a Group Member after the Signing Date), when aggregated with (I) the Total Purchase Price in respect of Permitted Business Acquisitions in that Financial Year and (II) the amount of any Permitted Acquisition pursuant to paragraph (f)(iii) of that definition, does not exceed USD50,000,000 (or its equivalent in other currencies);</w:t>
      </w:r>
    </w:p>
    <w:p>
      <w:pPr>
        <w:spacing w:after="0" w:line="112"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6" w:name="page37"/>
    <w:bookmarkEnd w:id="36"/>
    <w:p>
      <w:pPr>
        <w:ind w:left="1740" w:right="60" w:hanging="543"/>
        <w:spacing w:after="0" w:line="261" w:lineRule="auto"/>
        <w:tabs>
          <w:tab w:leader="none" w:pos="174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Event of Default is continuing on the date of the acquisition of, or investment in, or transfer or loan to, or guarantee, Security or Quasi-Security for the obligations of, or the incurring of any other liability to, the Joint Venture or would occur as a result of the acquisition of or investment in, or transfer or loan to, or guarantee, Security or Quasi-Security for the obligations of, or the incurring of any other liability to, the Joint Venture; and</w:t>
      </w:r>
    </w:p>
    <w:p>
      <w:pPr>
        <w:spacing w:after="0" w:line="85" w:lineRule="exact"/>
        <w:rPr>
          <w:rFonts w:ascii="Times New Roman" w:cs="Times New Roman" w:eastAsia="Times New Roman" w:hAnsi="Times New Roman"/>
          <w:sz w:val="18"/>
          <w:szCs w:val="18"/>
          <w:color w:val="auto"/>
        </w:rPr>
      </w:pPr>
    </w:p>
    <w:p>
      <w:pPr>
        <w:ind w:left="1740" w:right="120" w:hanging="543"/>
        <w:spacing w:after="0" w:line="282" w:lineRule="auto"/>
        <w:tabs>
          <w:tab w:leader="none" w:pos="174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evidencing the terms of the Joint Venture do not commit any Group Member to fund obligations in excess of the amount permitted under paragraph (ii) above;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Joint Venture existing as at Signing Date, provided that the aggregate investment (in dollar terms) pursuant to this paragraph</w:t>
      </w:r>
    </w:p>
    <w:p>
      <w:pPr>
        <w:spacing w:after="0" w:line="27" w:lineRule="exact"/>
        <w:rPr>
          <w:rFonts w:ascii="Times New Roman" w:cs="Times New Roman" w:eastAsia="Times New Roman" w:hAnsi="Times New Roman"/>
          <w:sz w:val="18"/>
          <w:szCs w:val="18"/>
          <w:color w:val="auto"/>
        </w:rPr>
      </w:pPr>
    </w:p>
    <w:p>
      <w:pPr>
        <w:ind w:left="1180" w:right="40" w:firstLine="4"/>
        <w:spacing w:after="0" w:line="260" w:lineRule="auto"/>
        <w:tabs>
          <w:tab w:leader="none" w:pos="143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 greater than USD50,000,000 in excess of the amount which is contractually committed as at the Signing Date (or its equivalent in other currencies); or</w:t>
      </w:r>
    </w:p>
    <w:p>
      <w:pPr>
        <w:spacing w:after="0" w:line="86"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Agent (acting on the instructions of the Majority Lenders).</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Loan</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hanging="644"/>
        <w:spacing w:after="0"/>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which is referred to in the definition of, or otherwise constitutes, Permitted Financial Indebtedness;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intercompany loan or credit granted by a Group Member to another Group Member;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made to a Joint Venture to the extent constituting a Permitted Joint Venture;</w:t>
      </w:r>
    </w:p>
    <w:p>
      <w:pPr>
        <w:spacing w:after="0" w:line="130" w:lineRule="exact"/>
        <w:rPr>
          <w:rFonts w:ascii="Times New Roman" w:cs="Times New Roman" w:eastAsia="Times New Roman" w:hAnsi="Times New Roman"/>
          <w:sz w:val="18"/>
          <w:szCs w:val="18"/>
          <w:color w:val="auto"/>
        </w:rPr>
      </w:pPr>
    </w:p>
    <w:p>
      <w:pPr>
        <w:jc w:val="both"/>
        <w:ind w:left="1180" w:right="180" w:hanging="644"/>
        <w:spacing w:after="0" w:line="266" w:lineRule="auto"/>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deferred consideration in relation to Permitted Disposals where the amount of such deferred consideration does not exceed 30 per cent. of the aggregate consideration receivable by the Group Member(s) in respect of that Permitted Disposal and where such deferred consideration has to be paid within 12 months of the date of such Permitted Disposal;</w:t>
      </w:r>
    </w:p>
    <w:p>
      <w:pPr>
        <w:spacing w:after="0" w:line="81" w:lineRule="exact"/>
        <w:rPr>
          <w:rFonts w:ascii="Times New Roman" w:cs="Times New Roman" w:eastAsia="Times New Roman" w:hAnsi="Times New Roman"/>
          <w:sz w:val="18"/>
          <w:szCs w:val="18"/>
          <w:color w:val="auto"/>
        </w:rPr>
      </w:pPr>
    </w:p>
    <w:p>
      <w:pPr>
        <w:ind w:left="1180" w:right="240" w:hanging="644"/>
        <w:spacing w:after="0" w:line="266" w:lineRule="auto"/>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made by a Group Member to a director, officer, employee, member of management or manager of any Group Member in the ordinary course of business provided that the aggregate principal liability (whether actual or contingent) of Group Members under all such loans does not exceed USD 5,000,000 (or its equivalent in other currencies) in aggregate at any time;</w:t>
      </w:r>
    </w:p>
    <w:p>
      <w:pPr>
        <w:spacing w:after="0" w:line="81" w:lineRule="exact"/>
        <w:rPr>
          <w:rFonts w:ascii="Times New Roman" w:cs="Times New Roman" w:eastAsia="Times New Roman" w:hAnsi="Times New Roman"/>
          <w:sz w:val="18"/>
          <w:szCs w:val="18"/>
          <w:color w:val="auto"/>
        </w:rPr>
      </w:pPr>
    </w:p>
    <w:p>
      <w:pPr>
        <w:jc w:val="both"/>
        <w:ind w:left="1180" w:right="220" w:hanging="644"/>
        <w:spacing w:after="0" w:line="266" w:lineRule="auto"/>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(other than a loan made by a Group Member to another Group Member or to any Restricted Person) so long as the aggregate amount of the Financial Indebtedness under any such loans, does not exceed USD20,000,000 (or its equivalent in other currencies) at any time; or</w:t>
      </w:r>
    </w:p>
    <w:p>
      <w:pPr>
        <w:spacing w:after="0" w:line="81" w:lineRule="exact"/>
        <w:rPr>
          <w:rFonts w:ascii="Times New Roman" w:cs="Times New Roman" w:eastAsia="Times New Roman" w:hAnsi="Times New Roman"/>
          <w:sz w:val="18"/>
          <w:szCs w:val="18"/>
          <w:color w:val="auto"/>
        </w:rPr>
      </w:pPr>
    </w:p>
    <w:p>
      <w:pPr>
        <w:ind w:left="1180" w:right="700" w:hanging="644"/>
        <w:spacing w:after="0" w:line="282" w:lineRule="auto"/>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or credit made, granted or given with the prior written consent of the Agent (acting on the instructions of the Majority Lenders).</w:t>
      </w:r>
    </w:p>
    <w:p>
      <w:pPr>
        <w:spacing w:after="0" w:line="94"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37" w:name="page38"/>
    <w:bookmarkEnd w:id="37"/>
    <w:p>
      <w:pPr>
        <w:ind w:left="540" w:right="1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Sale and Leaseback</w:t>
      </w:r>
      <w:r>
        <w:rPr>
          <w:rFonts w:ascii="Times New Roman" w:cs="Times New Roman" w:eastAsia="Times New Roman" w:hAnsi="Times New Roman"/>
          <w:sz w:val="18"/>
          <w:szCs w:val="18"/>
          <w:color w:val="auto"/>
        </w:rPr>
        <w:t>” means the disposal of tooling, machinery and other equipment used in the production or development of cars (each, a “</w:t>
      </w:r>
      <w:r>
        <w:rPr>
          <w:rFonts w:ascii="Times New Roman" w:cs="Times New Roman" w:eastAsia="Times New Roman" w:hAnsi="Times New Roman"/>
          <w:sz w:val="18"/>
          <w:szCs w:val="18"/>
          <w:b w:val="1"/>
          <w:bCs w:val="1"/>
          <w:color w:val="auto"/>
        </w:rPr>
        <w:t>Tooling Asset</w:t>
      </w:r>
      <w:r>
        <w:rPr>
          <w:rFonts w:ascii="Times New Roman" w:cs="Times New Roman" w:eastAsia="Times New Roman" w:hAnsi="Times New Roman"/>
          <w:sz w:val="18"/>
          <w:szCs w:val="18"/>
          <w:color w:val="auto"/>
        </w:rPr>
        <w:t>”) (for the avoidance of doubt, not including cars) by a Group Member to the Keepwell Provider or any of its Affiliates on terms where they may be leased back to a Group Member, provided that the aggregate amount of the book value of such Tooling Assets disposed of under such arrangement does not exceed (aggregated with any other such sale and leaseback arrangements) US$150,000,000 (or its equivalent) in any Financial Year of the Group.</w:t>
      </w:r>
    </w:p>
    <w:p>
      <w:pPr>
        <w:spacing w:after="0" w:line="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Security</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right="320" w:hanging="644"/>
        <w:spacing w:after="0" w:line="282" w:lineRule="auto"/>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arising as a result of or in relation to any Permitted Vehicle Leaseback or Finance Transaction or any Permitted Sale and Leaseback;</w:t>
      </w:r>
    </w:p>
    <w:p>
      <w:pPr>
        <w:spacing w:after="0" w:line="67" w:lineRule="exact"/>
        <w:rPr>
          <w:rFonts w:ascii="Times New Roman" w:cs="Times New Roman" w:eastAsia="Times New Roman" w:hAnsi="Times New Roman"/>
          <w:sz w:val="18"/>
          <w:szCs w:val="18"/>
          <w:color w:val="auto"/>
        </w:rPr>
      </w:pPr>
    </w:p>
    <w:p>
      <w:pPr>
        <w:ind w:left="1180" w:right="40" w:hanging="644"/>
        <w:spacing w:after="0" w:line="261" w:lineRule="auto"/>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netting or set-off arrangement entered into by any Group Member in the ordinary course of its banking arrangements for the purpose of netting debit and credit balances (and if customary in the relevant jurisdiction, any other Security or Quasi-Security over cash balances granted in favour of an account bank in accordance with its general terms and conditions with respect to the relevant bank account);</w:t>
      </w:r>
    </w:p>
    <w:p>
      <w:pPr>
        <w:spacing w:after="0" w:line="85" w:lineRule="exact"/>
        <w:rPr>
          <w:rFonts w:ascii="Times New Roman" w:cs="Times New Roman" w:eastAsia="Times New Roman" w:hAnsi="Times New Roman"/>
          <w:sz w:val="18"/>
          <w:szCs w:val="18"/>
          <w:color w:val="auto"/>
        </w:rPr>
      </w:pPr>
    </w:p>
    <w:p>
      <w:pPr>
        <w:ind w:left="1180" w:right="300" w:hanging="644"/>
        <w:spacing w:after="0" w:line="282" w:lineRule="auto"/>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close out netting or set-off arrangement pursuant to any hedging transaction entered into by a Group Member for the purpose of:</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any risk to which that Group Member is exposed in its ordinary course of trading; or</w:t>
      </w:r>
    </w:p>
    <w:p>
      <w:pPr>
        <w:spacing w:after="0" w:line="130" w:lineRule="exact"/>
        <w:rPr>
          <w:rFonts w:ascii="Times New Roman" w:cs="Times New Roman" w:eastAsia="Times New Roman" w:hAnsi="Times New Roman"/>
          <w:sz w:val="18"/>
          <w:szCs w:val="18"/>
          <w:color w:val="auto"/>
        </w:rPr>
      </w:pPr>
    </w:p>
    <w:p>
      <w:pPr>
        <w:ind w:left="1740" w:right="1000" w:hanging="543"/>
        <w:spacing w:after="0" w:line="282" w:lineRule="auto"/>
        <w:tabs>
          <w:tab w:leader="none" w:pos="17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interest rate or currency management operations which are carried out in the ordinary course of business and for non-speculative purposes only,</w:t>
      </w:r>
    </w:p>
    <w:p>
      <w:pPr>
        <w:spacing w:after="0" w:line="5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excluding, in each case, any Security or Quasi-Security under a credit support arrangement in relation to a hedging transaction;</w:t>
      </w:r>
    </w:p>
    <w:p>
      <w:pPr>
        <w:spacing w:after="0" w:line="131" w:lineRule="exact"/>
        <w:rPr>
          <w:sz w:val="20"/>
          <w:szCs w:val="20"/>
          <w:color w:val="auto"/>
        </w:rPr>
      </w:pPr>
    </w:p>
    <w:p>
      <w:pPr>
        <w:ind w:left="1180" w:right="340" w:hanging="644"/>
        <w:spacing w:after="0" w:line="282" w:lineRule="auto"/>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arising by operation of law and/or in the ordinary course of business provided that the debt which is secured thereby is paid when due or contested in good faith by appropriate proceedings and properly provisioned;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created pursuant to any Finance Document;</w:t>
      </w:r>
    </w:p>
    <w:p>
      <w:pPr>
        <w:spacing w:after="0" w:line="130" w:lineRule="exact"/>
        <w:rPr>
          <w:rFonts w:ascii="Times New Roman" w:cs="Times New Roman" w:eastAsia="Times New Roman" w:hAnsi="Times New Roman"/>
          <w:sz w:val="18"/>
          <w:szCs w:val="18"/>
          <w:color w:val="auto"/>
        </w:rPr>
      </w:pPr>
    </w:p>
    <w:p>
      <w:pPr>
        <w:ind w:left="1180" w:right="140" w:hanging="644"/>
        <w:spacing w:after="0" w:line="266" w:lineRule="auto"/>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arising under any retention of title, hire purchase or conditional sale arrangement or arrangements having similar effect in respect of goods supplied to a Group Member in the ordinary course of business and on the supplier’s standard or usual terms and not arising as a result of any default or omission by that Group Member;</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arising in connection with a Permitted Disposal or that constitutes a Permitted Disposal;</w:t>
      </w:r>
    </w:p>
    <w:p>
      <w:pPr>
        <w:spacing w:after="0" w:line="130" w:lineRule="exact"/>
        <w:rPr>
          <w:rFonts w:ascii="Times New Roman" w:cs="Times New Roman" w:eastAsia="Times New Roman" w:hAnsi="Times New Roman"/>
          <w:sz w:val="18"/>
          <w:szCs w:val="18"/>
          <w:color w:val="auto"/>
        </w:rPr>
      </w:pPr>
    </w:p>
    <w:p>
      <w:pPr>
        <w:ind w:left="1180" w:right="440" w:hanging="644"/>
        <w:spacing w:after="0" w:line="282" w:lineRule="auto"/>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over cash paid into an escrow account or in respect of cash cover, in each case in connection with a Permitted Acquisition;</w:t>
      </w:r>
    </w:p>
    <w:p>
      <w:pPr>
        <w:spacing w:after="0" w:line="94"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66" w:right="439" w:bottom="1440" w:gutter="0" w:footer="0" w:header="0"/>
        </w:sectPr>
      </w:pPr>
    </w:p>
    <w:bookmarkStart w:id="38" w:name="page39"/>
    <w:bookmarkEnd w:id="38"/>
    <w:p>
      <w:pPr>
        <w:ind w:left="1180" w:right="40" w:hanging="644"/>
        <w:spacing w:after="0" w:line="266" w:lineRule="auto"/>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Security or Quasi-Security securing indebtedness the outstanding principal amount of which (when aggregated with the outstanding principal amount of any indebtedness has the benefit of Security given by any Group Member other than any permitted under paragraphs (b) to (h) of this definition) would not result in:</w:t>
      </w:r>
    </w:p>
    <w:p>
      <w:pPr>
        <w:spacing w:after="0" w:line="81" w:lineRule="exact"/>
        <w:rPr>
          <w:rFonts w:ascii="Times New Roman" w:cs="Times New Roman" w:eastAsia="Times New Roman" w:hAnsi="Times New Roman"/>
          <w:sz w:val="18"/>
          <w:szCs w:val="18"/>
          <w:color w:val="auto"/>
        </w:rPr>
      </w:pPr>
    </w:p>
    <w:p>
      <w:pPr>
        <w:ind w:left="1740" w:right="820" w:hanging="543"/>
        <w:spacing w:after="0" w:line="282" w:lineRule="auto"/>
        <w:tabs>
          <w:tab w:leader="none" w:pos="17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such Security or Quasi-Security is over cars of a Group Member, paragraph (c) or paragraph (d) of Clause 22.2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being breached; or</w:t>
      </w:r>
    </w:p>
    <w:p>
      <w:pPr>
        <w:spacing w:after="0" w:line="65" w:lineRule="exact"/>
        <w:rPr>
          <w:rFonts w:ascii="Times New Roman" w:cs="Times New Roman" w:eastAsia="Times New Roman" w:hAnsi="Times New Roman"/>
          <w:sz w:val="18"/>
          <w:szCs w:val="18"/>
          <w:color w:val="auto"/>
        </w:rPr>
      </w:pPr>
    </w:p>
    <w:p>
      <w:pPr>
        <w:ind w:left="1740" w:right="160" w:hanging="543"/>
        <w:spacing w:after="0" w:line="284" w:lineRule="auto"/>
        <w:tabs>
          <w:tab w:leader="none" w:pos="17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such Security or Quasi-Security is not over cars of a Group Member, paragraph (d) of Clause 22.2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being breached.</w:t>
      </w:r>
    </w:p>
    <w:p>
      <w:pPr>
        <w:spacing w:after="0" w:line="66" w:lineRule="exact"/>
        <w:rPr>
          <w:sz w:val="20"/>
          <w:szCs w:val="20"/>
          <w:color w:val="auto"/>
        </w:rPr>
      </w:pPr>
    </w:p>
    <w:p>
      <w:pPr>
        <w:ind w:left="540" w:right="140" w:hanging="4"/>
        <w:spacing w:after="0" w:line="383" w:lineRule="auto"/>
        <w:tabs>
          <w:tab w:leader="none" w:pos="117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created with the prior written consent of the Agent (acting on the instructions of the Majority Lenders). “</w:t>
      </w:r>
      <w:r>
        <w:rPr>
          <w:rFonts w:ascii="Times New Roman" w:cs="Times New Roman" w:eastAsia="Times New Roman" w:hAnsi="Times New Roman"/>
          <w:sz w:val="18"/>
          <w:szCs w:val="18"/>
          <w:b w:val="1"/>
          <w:bCs w:val="1"/>
          <w:color w:val="auto"/>
        </w:rPr>
        <w:t>Permitted Share Issue</w:t>
      </w:r>
      <w:r>
        <w:rPr>
          <w:rFonts w:ascii="Times New Roman" w:cs="Times New Roman" w:eastAsia="Times New Roman" w:hAnsi="Times New Roman"/>
          <w:sz w:val="18"/>
          <w:szCs w:val="18"/>
          <w:color w:val="auto"/>
        </w:rPr>
        <w:t>” means an issue of shares by any Group Member, to the extent such issue will not lead to a Change of Control and:</w:t>
      </w:r>
    </w:p>
    <w:p>
      <w:pPr>
        <w:spacing w:after="0" w:line="1" w:lineRule="exact"/>
        <w:rPr>
          <w:sz w:val="20"/>
          <w:szCs w:val="20"/>
          <w:color w:val="auto"/>
        </w:rPr>
      </w:pPr>
    </w:p>
    <w:p>
      <w:pPr>
        <w:ind w:left="1180" w:right="400" w:hanging="644"/>
        <w:spacing w:after="0" w:line="266" w:lineRule="auto"/>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such Group Member is not a wholly-owned Subsidiary of the Borrower) proportionate to (or more favourable from the Borrower’s perspective) the Borrower’s direct or indirect existing holding of shares in such Group Member, provided further that it would not result in such Group Member ceasing to be a Group Member; and</w:t>
      </w:r>
    </w:p>
    <w:p>
      <w:pPr>
        <w:spacing w:after="0" w:line="81"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such Group Member is a wholly-owned Subsidiary of the Borrower) would not result in such Group Member ceasing to be wholly-owned by the Borrower.</w:t>
      </w:r>
    </w:p>
    <w:p>
      <w:pPr>
        <w:spacing w:after="0" w:line="50" w:lineRule="exact"/>
        <w:rPr>
          <w:sz w:val="20"/>
          <w:szCs w:val="20"/>
          <w:color w:val="auto"/>
        </w:rPr>
      </w:pPr>
    </w:p>
    <w:p>
      <w:pPr>
        <w:ind w:left="540"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Share Transaction</w:t>
      </w:r>
      <w:r>
        <w:rPr>
          <w:rFonts w:ascii="Times New Roman" w:cs="Times New Roman" w:eastAsia="Times New Roman" w:hAnsi="Times New Roman"/>
          <w:sz w:val="18"/>
          <w:szCs w:val="18"/>
          <w:color w:val="auto"/>
        </w:rPr>
        <w:t>” means any acquisition or redemption of 50,000 redeemable preference shares in the Borrower, provided that the aggregate consideration payable in respect of such shares is no greater than GBP 70,000.</w:t>
      </w:r>
    </w:p>
    <w:p>
      <w:pPr>
        <w:spacing w:after="0" w:line="47" w:lineRule="exact"/>
        <w:rPr>
          <w:sz w:val="20"/>
          <w:szCs w:val="20"/>
          <w:color w:val="auto"/>
        </w:rPr>
      </w:pPr>
    </w:p>
    <w:p>
      <w:pPr>
        <w:ind w:left="540" w:right="2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Vehicle Leaseback and Financing Transaction</w:t>
      </w:r>
      <w:r>
        <w:rPr>
          <w:rFonts w:ascii="Times New Roman" w:cs="Times New Roman" w:eastAsia="Times New Roman" w:hAnsi="Times New Roman"/>
          <w:sz w:val="18"/>
          <w:szCs w:val="18"/>
          <w:color w:val="auto"/>
        </w:rPr>
        <w:t>” means any bailment, sale and leaseback or sale and buyback transaction where vehicles are purchased by a lease company, buyback company or bank and then leased back, bought back or otherwise returned to a Group Member, in each case the subsistence or incurrence of which would to result in any of the financial covenants set out in paragraph (c), (d) or (e) of Clause 22.2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being breached.</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PPAB Group</w:t>
      </w:r>
      <w:r>
        <w:rPr>
          <w:rFonts w:ascii="Times New Roman" w:cs="Times New Roman" w:eastAsia="Times New Roman" w:hAnsi="Times New Roman"/>
          <w:sz w:val="18"/>
          <w:szCs w:val="18"/>
          <w:color w:val="auto"/>
        </w:rPr>
        <w:t>” means the Guarantor and its Subsidiaries from time to time (each being a “</w:t>
      </w:r>
      <w:r>
        <w:rPr>
          <w:rFonts w:ascii="Times New Roman" w:cs="Times New Roman" w:eastAsia="Times New Roman" w:hAnsi="Times New Roman"/>
          <w:sz w:val="18"/>
          <w:szCs w:val="18"/>
          <w:b w:val="1"/>
          <w:bCs w:val="1"/>
          <w:color w:val="auto"/>
        </w:rPr>
        <w:t>PPAB Group Member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PPAB Group Member</w:t>
      </w:r>
      <w:r>
        <w:rPr>
          <w:rFonts w:ascii="Times New Roman" w:cs="Times New Roman" w:eastAsia="Times New Roman" w:hAnsi="Times New Roman"/>
          <w:sz w:val="18"/>
          <w:szCs w:val="18"/>
          <w:color w:val="auto"/>
        </w:rPr>
        <w:t>” has the meaning given to the term under the definition of “PPAB Group”.</w:t>
      </w:r>
    </w:p>
    <w:p>
      <w:pPr>
        <w:spacing w:after="0" w:line="117" w:lineRule="exact"/>
        <w:rPr>
          <w:sz w:val="20"/>
          <w:szCs w:val="20"/>
          <w:color w:val="auto"/>
        </w:rPr>
      </w:pPr>
    </w:p>
    <w:p>
      <w:pPr>
        <w:ind w:left="540" w:right="8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means the People’s Republic of China, but, for the purpose of Finance Documents, excluding Hong Kong, the Macau Special Administrative Region and Taiwan.</w:t>
      </w:r>
    </w:p>
    <w:p>
      <w:pPr>
        <w:spacing w:after="0" w:line="47" w:lineRule="exact"/>
        <w:rPr>
          <w:sz w:val="20"/>
          <w:szCs w:val="20"/>
          <w:color w:val="auto"/>
        </w:rPr>
      </w:pPr>
    </w:p>
    <w:p>
      <w:pPr>
        <w:ind w:left="540"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PSD</w:t>
      </w:r>
      <w:r>
        <w:rPr>
          <w:rFonts w:ascii="Times New Roman" w:cs="Times New Roman" w:eastAsia="Times New Roman" w:hAnsi="Times New Roman"/>
          <w:sz w:val="18"/>
          <w:szCs w:val="18"/>
          <w:color w:val="auto"/>
        </w:rPr>
        <w:t>” means PSD Investment Limited, a BVI business company with limited liability incorporated under the laws of BVI (Company number 2033695) with its registered address at Craigmuir Chambers, P.O. Box 71, Road Town, Tortola, VG1110, British Virgin Islands.</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Lender</w:t>
      </w:r>
      <w:r>
        <w:rPr>
          <w:rFonts w:ascii="Times New Roman" w:cs="Times New Roman" w:eastAsia="Times New Roman" w:hAnsi="Times New Roman"/>
          <w:sz w:val="18"/>
          <w:szCs w:val="18"/>
          <w:color w:val="auto"/>
        </w:rPr>
        <w:t>” has the meaning given to it in Clause 14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 Date</w:t>
      </w:r>
      <w:r>
        <w:rPr>
          <w:rFonts w:ascii="Times New Roman" w:cs="Times New Roman" w:eastAsia="Times New Roman" w:hAnsi="Times New Roman"/>
          <w:sz w:val="18"/>
          <w:szCs w:val="18"/>
          <w:color w:val="auto"/>
        </w:rPr>
        <w:t>” means each of 31 March, 30 June, 30 September and 31 December.</w:t>
      </w:r>
    </w:p>
    <w:p>
      <w:pPr>
        <w:spacing w:after="0" w:line="117" w:lineRule="exact"/>
        <w:rPr>
          <w:sz w:val="20"/>
          <w:szCs w:val="20"/>
          <w:color w:val="auto"/>
        </w:rPr>
      </w:pPr>
    </w:p>
    <w:p>
      <w:pPr>
        <w:ind w:left="540"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Financial Statements</w:t>
      </w:r>
      <w:r>
        <w:rPr>
          <w:rFonts w:ascii="Times New Roman" w:cs="Times New Roman" w:eastAsia="Times New Roman" w:hAnsi="Times New Roman"/>
          <w:sz w:val="18"/>
          <w:szCs w:val="18"/>
          <w:color w:val="auto"/>
        </w:rPr>
        <w:t>” means the financial statements or management accounts in respect of a person delivered pursuant to paragraph (b) of Clause 21.1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Quasi-Security</w:t>
      </w:r>
      <w:r>
        <w:rPr>
          <w:rFonts w:ascii="Times New Roman" w:cs="Times New Roman" w:eastAsia="Times New Roman" w:hAnsi="Times New Roman"/>
          <w:sz w:val="18"/>
          <w:szCs w:val="18"/>
          <w:color w:val="auto"/>
        </w:rPr>
        <w:t>” has the meaning given to the term in Clause 23.3 (</w:t>
      </w:r>
      <w:r>
        <w:rPr>
          <w:rFonts w:ascii="Times New Roman" w:cs="Times New Roman" w:eastAsia="Times New Roman" w:hAnsi="Times New Roman"/>
          <w:sz w:val="18"/>
          <w:szCs w:val="18"/>
          <w:i w:val="1"/>
          <w:iCs w:val="1"/>
          <w:color w:val="auto"/>
        </w:rPr>
        <w:t>Negative pledge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39" w:name="page40"/>
    <w:bookmarkEnd w:id="39"/>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Quotation Day</w:t>
      </w:r>
      <w:r>
        <w:rPr>
          <w:rFonts w:ascii="Times New Roman" w:cs="Times New Roman" w:eastAsia="Times New Roman" w:hAnsi="Times New Roman"/>
          <w:sz w:val="18"/>
          <w:szCs w:val="18"/>
          <w:color w:val="auto"/>
        </w:rPr>
        <w:t>” means, in relation to any period for which an interest rate is to be determined:</w:t>
      </w:r>
    </w:p>
    <w:p>
      <w:pPr>
        <w:spacing w:after="0" w:line="135" w:lineRule="exact"/>
        <w:rPr>
          <w:sz w:val="20"/>
          <w:szCs w:val="20"/>
          <w:color w:val="auto"/>
        </w:rPr>
      </w:pPr>
    </w:p>
    <w:p>
      <w:pPr>
        <w:ind w:left="1180" w:hanging="644"/>
        <w:spacing w:after="0"/>
        <w:tabs>
          <w:tab w:leader="none" w:pos="1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currency is euro) two TARGET Days before the first day of that period;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currency is USD):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(ii) below, two US Government Securities Business Days before the first day of that period; or</w:t>
      </w:r>
    </w:p>
    <w:p>
      <w:pPr>
        <w:spacing w:after="0" w:line="130" w:lineRule="exact"/>
        <w:rPr>
          <w:rFonts w:ascii="Times New Roman" w:cs="Times New Roman" w:eastAsia="Times New Roman" w:hAnsi="Times New Roman"/>
          <w:sz w:val="18"/>
          <w:szCs w:val="18"/>
          <w:color w:val="auto"/>
        </w:rPr>
      </w:pPr>
    </w:p>
    <w:p>
      <w:pPr>
        <w:ind w:left="1740" w:right="280" w:hanging="543"/>
        <w:spacing w:after="0" w:line="282" w:lineRule="auto"/>
        <w:tabs>
          <w:tab w:leader="none" w:pos="17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Rate is, or is based on, the Central Bank Rate, two US Government Securities Business Days before the first day of that period,</w:t>
      </w:r>
    </w:p>
    <w:p>
      <w:pPr>
        <w:spacing w:after="0" w:line="54" w:lineRule="exact"/>
        <w:rPr>
          <w:sz w:val="20"/>
          <w:szCs w:val="20"/>
          <w:color w:val="auto"/>
        </w:rPr>
      </w:pPr>
    </w:p>
    <w:p>
      <w:pPr>
        <w:ind w:left="540" w:right="240"/>
        <w:spacing w:after="0" w:line="266" w:lineRule="auto"/>
        <w:rPr>
          <w:sz w:val="20"/>
          <w:szCs w:val="20"/>
          <w:color w:val="auto"/>
        </w:rPr>
      </w:pPr>
      <w:r>
        <w:rPr>
          <w:rFonts w:ascii="Times New Roman" w:cs="Times New Roman" w:eastAsia="Times New Roman" w:hAnsi="Times New Roman"/>
          <w:sz w:val="18"/>
          <w:szCs w:val="18"/>
          <w:color w:val="auto"/>
        </w:rPr>
        <w:t>in each case, unless market practice differs in the Relevant Market for that currency, in which case the Quotation Day for that currency will be determined by the Agent in accordance with market practice in the Relevant Market (and if quotations for that currency and period would normally be given on more than one day, the Quotation Day will be the last of those days).</w:t>
      </w:r>
    </w:p>
    <w:p>
      <w:pPr>
        <w:spacing w:after="0" w:line="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Receiver</w:t>
      </w:r>
      <w:r>
        <w:rPr>
          <w:rFonts w:ascii="Times New Roman" w:cs="Times New Roman" w:eastAsia="Times New Roman" w:hAnsi="Times New Roman"/>
          <w:sz w:val="18"/>
          <w:szCs w:val="18"/>
          <w:color w:val="auto"/>
        </w:rPr>
        <w:t>” means a receiver or receiver and manager or administrative receiver of the whole or any part of the Charged Property.</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Rate</w:t>
      </w:r>
      <w:r>
        <w:rPr>
          <w:rFonts w:ascii="Times New Roman" w:cs="Times New Roman" w:eastAsia="Times New Roman" w:hAnsi="Times New Roman"/>
          <w:sz w:val="18"/>
          <w:szCs w:val="18"/>
          <w:color w:val="auto"/>
        </w:rPr>
        <w:t>” means, in relation to any Loan (Facility B):</w:t>
      </w:r>
    </w:p>
    <w:p>
      <w:pPr>
        <w:spacing w:after="0" w:line="135" w:lineRule="exact"/>
        <w:rPr>
          <w:sz w:val="20"/>
          <w:szCs w:val="20"/>
          <w:color w:val="auto"/>
        </w:rPr>
      </w:pPr>
    </w:p>
    <w:p>
      <w:pPr>
        <w:ind w:left="1180" w:right="260" w:hanging="644"/>
        <w:spacing w:after="0" w:line="282" w:lineRule="auto"/>
        <w:tabs>
          <w:tab w:leader="none" w:pos="1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CME Term SOFR as of the Specified Time and for a period equal in length to the Interest Period of that Loan (Facility B); or</w:t>
      </w:r>
    </w:p>
    <w:p>
      <w:pPr>
        <w:spacing w:after="0" w:line="6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determined pursuant to Clause 12.2 (</w:t>
      </w:r>
      <w:r>
        <w:rPr>
          <w:rFonts w:ascii="Times New Roman" w:cs="Times New Roman" w:eastAsia="Times New Roman" w:hAnsi="Times New Roman"/>
          <w:sz w:val="18"/>
          <w:szCs w:val="18"/>
          <w:i w:val="1"/>
          <w:iCs w:val="1"/>
          <w:color w:val="auto"/>
        </w:rPr>
        <w:t>Unavailability of CME Term SOFR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if, in either case, that rate is less than zero, the Reference Rate shall be deemed to be zero.</w:t>
      </w:r>
    </w:p>
    <w:p>
      <w:pPr>
        <w:spacing w:after="0" w:line="113" w:lineRule="exact"/>
        <w:rPr>
          <w:sz w:val="20"/>
          <w:szCs w:val="20"/>
          <w:color w:val="auto"/>
        </w:rPr>
      </w:pPr>
    </w:p>
    <w:p>
      <w:pPr>
        <w:ind w:left="540" w:right="5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w:t>
      </w:r>
      <w:r>
        <w:rPr>
          <w:rFonts w:ascii="Times New Roman" w:cs="Times New Roman" w:eastAsia="Times New Roman" w:hAnsi="Times New Roman"/>
          <w:sz w:val="18"/>
          <w:szCs w:val="18"/>
          <w:color w:val="auto"/>
        </w:rPr>
        <w:t>” in relation to a fund (the “</w:t>
      </w:r>
      <w:r>
        <w:rPr>
          <w:rFonts w:ascii="Times New Roman" w:cs="Times New Roman" w:eastAsia="Times New Roman" w:hAnsi="Times New Roman"/>
          <w:sz w:val="18"/>
          <w:szCs w:val="18"/>
          <w:b w:val="1"/>
          <w:bCs w:val="1"/>
          <w:color w:val="auto"/>
        </w:rPr>
        <w:t>first fund</w:t>
      </w:r>
      <w:r>
        <w:rPr>
          <w:rFonts w:ascii="Times New Roman" w:cs="Times New Roman" w:eastAsia="Times New Roman" w:hAnsi="Times New Roman"/>
          <w:sz w:val="18"/>
          <w:szCs w:val="18"/>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Reinvestment Period</w:t>
      </w:r>
      <w:r>
        <w:rPr>
          <w:rFonts w:ascii="Times New Roman" w:cs="Times New Roman" w:eastAsia="Times New Roman" w:hAnsi="Times New Roman"/>
          <w:sz w:val="18"/>
          <w:szCs w:val="18"/>
          <w:color w:val="auto"/>
        </w:rPr>
        <w:t>” has the meaning given to the term under Clause 8.2 (</w:t>
      </w:r>
      <w:r>
        <w:rPr>
          <w:rFonts w:ascii="Times New Roman" w:cs="Times New Roman" w:eastAsia="Times New Roman" w:hAnsi="Times New Roman"/>
          <w:sz w:val="18"/>
          <w:szCs w:val="18"/>
          <w:i w:val="1"/>
          <w:iCs w:val="1"/>
          <w:color w:val="auto"/>
        </w:rPr>
        <w:t>Disposal Proceeds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Jurisdiction</w:t>
      </w:r>
      <w:r>
        <w:rPr>
          <w:rFonts w:ascii="Times New Roman" w:cs="Times New Roman" w:eastAsia="Times New Roman" w:hAnsi="Times New Roman"/>
          <w:sz w:val="18"/>
          <w:szCs w:val="18"/>
          <w:color w:val="auto"/>
        </w:rPr>
        <w:t>” means, in relation to an Obligor:</w:t>
      </w:r>
    </w:p>
    <w:p>
      <w:pPr>
        <w:spacing w:after="0" w:line="135" w:lineRule="exact"/>
        <w:rPr>
          <w:sz w:val="20"/>
          <w:szCs w:val="20"/>
          <w:color w:val="auto"/>
        </w:rPr>
      </w:pPr>
    </w:p>
    <w:p>
      <w:pPr>
        <w:ind w:left="1180" w:hanging="644"/>
        <w:spacing w:after="0"/>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Original Jurisdiction;</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where any asset subject to or intended to be subject to the Transaction Security to be created by it is situated;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where it conducts its business;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whose laws govern the perfection of any of the Security Documents entered into by it.</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Market</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hanging="644"/>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euro, the European interbank market;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USD, the market for overnight cash borrowing collateralised by US Government securities.</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66" w:right="439" w:bottom="1440" w:gutter="0" w:footer="0" w:header="0"/>
        </w:sectPr>
      </w:pPr>
    </w:p>
    <w:bookmarkStart w:id="40" w:name="page41"/>
    <w:bookmarkEnd w:id="40"/>
    <w:p>
      <w:pPr>
        <w:ind w:left="540" w:right="10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Repeating Representations</w:t>
      </w:r>
      <w:r>
        <w:rPr>
          <w:rFonts w:ascii="Times New Roman" w:cs="Times New Roman" w:eastAsia="Times New Roman" w:hAnsi="Times New Roman"/>
          <w:sz w:val="18"/>
          <w:szCs w:val="18"/>
          <w:color w:val="auto"/>
        </w:rPr>
        <w:t>” means each of the representations set out in Clauses 20.1 (</w:t>
      </w: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 20.2 (</w:t>
      </w:r>
      <w:r>
        <w:rPr>
          <w:rFonts w:ascii="Times New Roman" w:cs="Times New Roman" w:eastAsia="Times New Roman" w:hAnsi="Times New Roman"/>
          <w:sz w:val="18"/>
          <w:szCs w:val="18"/>
          <w:i w:val="1"/>
          <w:iCs w:val="1"/>
          <w:color w:val="auto"/>
        </w:rPr>
        <w:t>Binding obligations</w:t>
      </w:r>
      <w:r>
        <w:rPr>
          <w:rFonts w:ascii="Times New Roman" w:cs="Times New Roman" w:eastAsia="Times New Roman" w:hAnsi="Times New Roman"/>
          <w:sz w:val="18"/>
          <w:szCs w:val="18"/>
          <w:color w:val="auto"/>
        </w:rPr>
        <w:t>), 20.3 (</w:t>
      </w:r>
      <w:r>
        <w:rPr>
          <w:rFonts w:ascii="Times New Roman" w:cs="Times New Roman" w:eastAsia="Times New Roman" w:hAnsi="Times New Roman"/>
          <w:sz w:val="18"/>
          <w:szCs w:val="18"/>
          <w:i w:val="1"/>
          <w:iCs w:val="1"/>
          <w:color w:val="auto"/>
        </w:rPr>
        <w:t>Non-conflict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other obligations</w:t>
      </w:r>
      <w:r>
        <w:rPr>
          <w:rFonts w:ascii="Times New Roman" w:cs="Times New Roman" w:eastAsia="Times New Roman" w:hAnsi="Times New Roman"/>
          <w:sz w:val="18"/>
          <w:szCs w:val="18"/>
          <w:color w:val="auto"/>
        </w:rPr>
        <w:t>), 20.4 (</w:t>
      </w:r>
      <w:r>
        <w:rPr>
          <w:rFonts w:ascii="Times New Roman" w:cs="Times New Roman" w:eastAsia="Times New Roman" w:hAnsi="Times New Roman"/>
          <w:sz w:val="18"/>
          <w:szCs w:val="18"/>
          <w:i w:val="1"/>
          <w:iCs w:val="1"/>
          <w:color w:val="auto"/>
        </w:rPr>
        <w:t>Power and authority</w:t>
      </w:r>
      <w:r>
        <w:rPr>
          <w:rFonts w:ascii="Times New Roman" w:cs="Times New Roman" w:eastAsia="Times New Roman" w:hAnsi="Times New Roman"/>
          <w:sz w:val="18"/>
          <w:szCs w:val="18"/>
          <w:color w:val="auto"/>
        </w:rPr>
        <w:t>), 20.6 (</w:t>
      </w:r>
      <w:r>
        <w:rPr>
          <w:rFonts w:ascii="Times New Roman" w:cs="Times New Roman" w:eastAsia="Times New Roman" w:hAnsi="Times New Roman"/>
          <w:sz w:val="18"/>
          <w:szCs w:val="18"/>
          <w:i w:val="1"/>
          <w:iCs w:val="1"/>
          <w:color w:val="auto"/>
        </w:rPr>
        <w:t>Governing law and enforcement</w:t>
      </w:r>
      <w:r>
        <w:rPr>
          <w:rFonts w:ascii="Times New Roman" w:cs="Times New Roman" w:eastAsia="Times New Roman" w:hAnsi="Times New Roman"/>
          <w:sz w:val="18"/>
          <w:szCs w:val="18"/>
          <w:color w:val="auto"/>
        </w:rPr>
        <w:t>), 20.10 (</w:t>
      </w:r>
      <w:r>
        <w:rPr>
          <w:rFonts w:ascii="Times New Roman" w:cs="Times New Roman" w:eastAsia="Times New Roman" w:hAnsi="Times New Roman"/>
          <w:sz w:val="18"/>
          <w:szCs w:val="18"/>
          <w:i w:val="1"/>
          <w:iCs w:val="1"/>
          <w:color w:val="auto"/>
        </w:rPr>
        <w:t>No default</w:t>
      </w:r>
      <w:r>
        <w:rPr>
          <w:rFonts w:ascii="Times New Roman" w:cs="Times New Roman" w:eastAsia="Times New Roman" w:hAnsi="Times New Roman"/>
          <w:sz w:val="18"/>
          <w:szCs w:val="18"/>
          <w:color w:val="auto"/>
        </w:rPr>
        <w:t>), 20.12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and Clause 20.21 (</w:t>
      </w:r>
      <w:r>
        <w:rPr>
          <w:rFonts w:ascii="Times New Roman" w:cs="Times New Roman" w:eastAsia="Times New Roman" w:hAnsi="Times New Roman"/>
          <w:sz w:val="18"/>
          <w:szCs w:val="18"/>
          <w:i w:val="1"/>
          <w:iCs w:val="1"/>
          <w:color w:val="auto"/>
        </w:rPr>
        <w:t>Legal and beneficial ownership</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Day</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hanging="644"/>
        <w:spacing w:after="0"/>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the Quotation Day for the relevant Interest Period; or</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Rate is, or is based on, ICE Term SOFR or the Central Bank Rate, the date falling one Business Day after the Quotation Day for the relevant Interest Period.</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any delegate, agent, manager, administrator, nominee, attorney, trustee or custodian.</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Person</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hanging="644"/>
        <w:spacing w:after="0"/>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shareholder of the Borrower;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otherwise (except for those referred to under paragraph (a)) with an interest (direct or indirect) in the shares in the Borrower;</w:t>
      </w:r>
    </w:p>
    <w:p>
      <w:pPr>
        <w:spacing w:after="0" w:line="130" w:lineRule="exact"/>
        <w:rPr>
          <w:rFonts w:ascii="Times New Roman" w:cs="Times New Roman" w:eastAsia="Times New Roman" w:hAnsi="Times New Roman"/>
          <w:sz w:val="18"/>
          <w:szCs w:val="18"/>
          <w:color w:val="auto"/>
        </w:rPr>
      </w:pPr>
    </w:p>
    <w:p>
      <w:pPr>
        <w:ind w:left="1180" w:right="420" w:hanging="644"/>
        <w:spacing w:after="0" w:line="282" w:lineRule="auto"/>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consortium, partnership or similar arrangement of which any person described in paragraphs (a) to (b) above is a member;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of any person described in paragraphs (a) to (b) above.</w:t>
      </w:r>
    </w:p>
    <w:p>
      <w:pPr>
        <w:spacing w:after="0" w:line="113" w:lineRule="exact"/>
        <w:rPr>
          <w:sz w:val="20"/>
          <w:szCs w:val="20"/>
          <w:color w:val="auto"/>
        </w:rPr>
      </w:pPr>
    </w:p>
    <w:p>
      <w:pPr>
        <w:ind w:left="540" w:right="4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region or territory which is the subject or target of any country-wide, region-wide or territory-wide Sanctions, being as at the date of this Agreement, Cuba, North Korea, Syria, Donetsk People’s Republic, Luhansk People’s Republic, the Crimea Region and Iran.</w:t>
      </w:r>
    </w:p>
    <w:p>
      <w:pPr>
        <w:spacing w:after="0" w:line="63" w:lineRule="exact"/>
        <w:rPr>
          <w:sz w:val="20"/>
          <w:szCs w:val="20"/>
          <w:color w:val="auto"/>
        </w:rPr>
      </w:pPr>
    </w:p>
    <w:p>
      <w:pPr>
        <w:ind w:left="540" w:right="2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Sanctioned Person</w:t>
      </w:r>
      <w:r>
        <w:rPr>
          <w:rFonts w:ascii="Times New Roman" w:cs="Times New Roman" w:eastAsia="Times New Roman" w:hAnsi="Times New Roman"/>
          <w:sz w:val="17"/>
          <w:szCs w:val="17"/>
          <w:color w:val="auto"/>
        </w:rPr>
        <w:t>” means, at any time, (i) any person listed in, or directly or indirectly owned or controlled by a person listed in, any Sanctions List; (ii) any person operating, incorporated under the laws of, organised or reside or owned or controlled by a person operating, incorporated under the laws of, organised or reside in a Sanctioned Country; (iii) the government of a Sanctioned Country or a member of the government of a Sanctioned Country; (iv) the Consolidated Sanctions List maintained by OFAC; (v) (in the case of the United States Department of State or the United States Department of Commerce) the Denied Persons List, the List of Statutorily Debarred Parties, the Entity List or the Terrorist Exclusion List; (vi) (in the case of His Majesty’s Treasury) List of Persons Subject to Restrictive Measures in View of Russia’s Actions Destabilising the Situation in Ukraine; (vii) (in the case of the European Union) the Consolidated List of Persons, Groups and Entities Subject to EU Financial Sanctions or (viii) any person that is otherwise a target of Sanctions (“target of Sanctions” signifying a person with whom a US person or other national of a Sanctions Authority would be prohibited or restricted by law from engaging in trade, business or other activities).</w:t>
      </w:r>
    </w:p>
    <w:p>
      <w:pPr>
        <w:spacing w:after="0" w:line="65" w:lineRule="exact"/>
        <w:rPr>
          <w:sz w:val="20"/>
          <w:szCs w:val="20"/>
          <w:color w:val="auto"/>
        </w:rPr>
      </w:pPr>
    </w:p>
    <w:p>
      <w:pPr>
        <w:ind w:left="540" w:right="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economic, financial or trade sanctions laws, regulations or embargoes or restrictive measures imposed, administered, adopted, enacted or enforced from time to time by a Sanctions Authority.</w:t>
      </w:r>
    </w:p>
    <w:p>
      <w:pPr>
        <w:spacing w:after="0" w:line="91"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66" w:right="439" w:bottom="1440" w:gutter="0" w:footer="0" w:header="0"/>
        </w:sectPr>
      </w:pPr>
    </w:p>
    <w:bookmarkStart w:id="41" w:name="page42"/>
    <w:bookmarkEnd w:id="41"/>
    <w:p>
      <w:pPr>
        <w:ind w:left="540" w:right="26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Sanctions Authority</w:t>
      </w:r>
      <w:r>
        <w:rPr>
          <w:rFonts w:ascii="Times New Roman" w:cs="Times New Roman" w:eastAsia="Times New Roman" w:hAnsi="Times New Roman"/>
          <w:sz w:val="18"/>
          <w:szCs w:val="18"/>
          <w:color w:val="auto"/>
        </w:rPr>
        <w:t>” means (i) the United Nations Security Council, the United States, the United Kingdom, the European Union, any member state of the European Union, PRC, Hong Kong, Japan, any jurisdiction in which a Group Member is incorporated or in, from or to which it conducts its business or any jurisdiction in which any Finance Party performs any of its obligations under the Finance Documents; or</w:t>
      </w:r>
    </w:p>
    <w:p>
      <w:pPr>
        <w:jc w:val="both"/>
        <w:ind w:left="540" w:right="40" w:firstLine="7"/>
        <w:spacing w:after="0" w:line="253" w:lineRule="auto"/>
        <w:tabs>
          <w:tab w:leader="none" w:pos="80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respective governmental institutions and agencies of any of the forgoing (including without limitation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Department of State, the US Department of Commerce, the US Department of Treasury, His Majesty’s Treasury, the Hong Kong Monetary Authority, Japan Ministry of Finance and PRC Ministry of Commerce and any other authorities.</w:t>
      </w:r>
    </w:p>
    <w:p>
      <w:pPr>
        <w:spacing w:after="0" w:line="77" w:lineRule="exact"/>
        <w:rPr>
          <w:sz w:val="20"/>
          <w:szCs w:val="20"/>
          <w:color w:val="auto"/>
        </w:rPr>
      </w:pPr>
    </w:p>
    <w:p>
      <w:pPr>
        <w:jc w:val="both"/>
        <w:ind w:left="540"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List</w:t>
      </w:r>
      <w:r>
        <w:rPr>
          <w:rFonts w:ascii="Times New Roman" w:cs="Times New Roman" w:eastAsia="Times New Roman" w:hAnsi="Times New Roman"/>
          <w:sz w:val="18"/>
          <w:szCs w:val="18"/>
          <w:color w:val="auto"/>
        </w:rPr>
        <w:t>” means the “Specially Designated Nationals and Blocked Persons” list maintained by OFAC, the Consolidated List of Financial Sanctions Targets and the Investment Ban List maintained by His Majesty’s Treasury, or any similar list maintained by, or public announcement of Sanctions designation made by, any of the Sanctions Authorities.</w:t>
      </w:r>
    </w:p>
    <w:p>
      <w:pPr>
        <w:spacing w:after="0" w:line="63" w:lineRule="exact"/>
        <w:rPr>
          <w:sz w:val="20"/>
          <w:szCs w:val="20"/>
          <w:color w:val="auto"/>
        </w:rPr>
      </w:pPr>
    </w:p>
    <w:p>
      <w:pPr>
        <w:ind w:left="540"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published (before any correction, recalculation or republication by the administrator) by the European Money Markets Institute (or any other person which takes over the publication of that rate). If such page or service ceases to be available, the Agent may specify another page or service displaying the relevant rate after consultation with the Company.</w:t>
      </w:r>
    </w:p>
    <w:p>
      <w:pPr>
        <w:spacing w:after="0" w:line="68" w:lineRule="exact"/>
        <w:rPr>
          <w:sz w:val="20"/>
          <w:szCs w:val="20"/>
          <w:color w:val="auto"/>
        </w:rPr>
      </w:pPr>
    </w:p>
    <w:p>
      <w:pPr>
        <w:ind w:left="540" w:right="18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Secured Liabilities</w:t>
      </w:r>
      <w:r>
        <w:rPr>
          <w:rFonts w:ascii="Times New Roman" w:cs="Times New Roman" w:eastAsia="Times New Roman" w:hAnsi="Times New Roman"/>
          <w:sz w:val="17"/>
          <w:szCs w:val="17"/>
          <w:color w:val="auto"/>
        </w:rPr>
        <w:t>” means all present and future liabilities and obligations at any time due, owing or incurred by an Obligor or the Keepwell Provider to any Secured Party under the Finance Documents, both actual and contingent and whether incurred solely or jointly as principal or surety or in any other capacity together with any of the following matters relating to or arising in respect of those liabilities and obligations:</w:t>
      </w:r>
    </w:p>
    <w:p>
      <w:pPr>
        <w:spacing w:after="0" w:line="62" w:lineRule="exact"/>
        <w:rPr>
          <w:sz w:val="20"/>
          <w:szCs w:val="20"/>
          <w:color w:val="auto"/>
        </w:rPr>
      </w:pPr>
    </w:p>
    <w:p>
      <w:pPr>
        <w:ind w:left="1180" w:hanging="644"/>
        <w:spacing w:after="0"/>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refinancing, novation, deferral or extension;</w:t>
      </w:r>
    </w:p>
    <w:p>
      <w:pPr>
        <w:spacing w:after="0" w:line="130" w:lineRule="exact"/>
        <w:rPr>
          <w:rFonts w:ascii="Times New Roman" w:cs="Times New Roman" w:eastAsia="Times New Roman" w:hAnsi="Times New Roman"/>
          <w:sz w:val="18"/>
          <w:szCs w:val="18"/>
          <w:color w:val="auto"/>
        </w:rPr>
      </w:pPr>
    </w:p>
    <w:p>
      <w:pPr>
        <w:ind w:left="1180" w:right="300" w:hanging="644"/>
        <w:spacing w:after="0" w:line="312" w:lineRule="auto"/>
        <w:tabs>
          <w:tab w:leader="none" w:pos="11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for breach of representation, warranty or undertaking or on an event of default or under any indemnity given under or in connection with any document or agreement evidencing or constituting any other liability or obligation falling within this definition;</w:t>
      </w:r>
    </w:p>
    <w:p>
      <w:pPr>
        <w:spacing w:after="0" w:line="45" w:lineRule="exact"/>
        <w:rPr>
          <w:rFonts w:ascii="Times New Roman" w:cs="Times New Roman" w:eastAsia="Times New Roman" w:hAnsi="Times New Roman"/>
          <w:sz w:val="17"/>
          <w:szCs w:val="17"/>
          <w:color w:val="auto"/>
        </w:rPr>
      </w:pPr>
    </w:p>
    <w:p>
      <w:pPr>
        <w:ind w:left="1180" w:hanging="644"/>
        <w:spacing w:after="0"/>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damages or restitution; and</w:t>
      </w:r>
    </w:p>
    <w:p>
      <w:pPr>
        <w:spacing w:after="0" w:line="130" w:lineRule="exact"/>
        <w:rPr>
          <w:rFonts w:ascii="Times New Roman" w:cs="Times New Roman" w:eastAsia="Times New Roman" w:hAnsi="Times New Roman"/>
          <w:sz w:val="18"/>
          <w:szCs w:val="18"/>
          <w:color w:val="auto"/>
        </w:rPr>
      </w:pPr>
    </w:p>
    <w:p>
      <w:pPr>
        <w:ind w:left="1180" w:right="480" w:hanging="644"/>
        <w:spacing w:after="0" w:line="282" w:lineRule="auto"/>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as a result of any recovery by any Obligor or the Keepwell Provider of a payment, prepayment, repayment, redemption, defeasance or discharge of those liabilities or obligations on the grounds of preference or otherwise,</w:t>
      </w:r>
    </w:p>
    <w:p>
      <w:pPr>
        <w:spacing w:after="0" w:line="54"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and any amounts which would be included in any of the above but for any discharge, non-provability, unenforceability or non-allowance of those amounts in any insolvency or other proceedings.</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Party</w:t>
      </w:r>
      <w:r>
        <w:rPr>
          <w:rFonts w:ascii="Times New Roman" w:cs="Times New Roman" w:eastAsia="Times New Roman" w:hAnsi="Times New Roman"/>
          <w:sz w:val="18"/>
          <w:szCs w:val="18"/>
          <w:color w:val="auto"/>
        </w:rPr>
        <w:t>” means a Finance Party, a Receiver or any Delegate.</w:t>
      </w:r>
    </w:p>
    <w:p>
      <w:pPr>
        <w:spacing w:after="0" w:line="117" w:lineRule="exact"/>
        <w:rPr>
          <w:sz w:val="20"/>
          <w:szCs w:val="20"/>
          <w:color w:val="auto"/>
        </w:rPr>
      </w:pPr>
    </w:p>
    <w:p>
      <w:pPr>
        <w:ind w:left="540"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 mortgage, charge, pledge, lien or other security interest securing any obligation of any person or any other agreement or arrangement having a similar effect.</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Document</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right="320" w:hanging="644"/>
        <w:spacing w:after="0" w:line="282" w:lineRule="auto"/>
        <w:tabs>
          <w:tab w:leader="none" w:pos="1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English law charge over each of the Interest Reserve Accounts entered into by the Company in favour of the Security Agent (the “</w:t>
      </w:r>
      <w:r>
        <w:rPr>
          <w:rFonts w:ascii="Times New Roman" w:cs="Times New Roman" w:eastAsia="Times New Roman" w:hAnsi="Times New Roman"/>
          <w:sz w:val="18"/>
          <w:szCs w:val="18"/>
          <w:b w:val="1"/>
          <w:bCs w:val="1"/>
          <w:color w:val="auto"/>
        </w:rPr>
        <w:t>Security Document (Closing)</w:t>
      </w:r>
      <w:r>
        <w:rPr>
          <w:rFonts w:ascii="Times New Roman" w:cs="Times New Roman" w:eastAsia="Times New Roman" w:hAnsi="Times New Roman"/>
          <w:sz w:val="18"/>
          <w:szCs w:val="18"/>
          <w:color w:val="auto"/>
        </w:rPr>
        <w:t>”); or</w:t>
      </w:r>
    </w:p>
    <w:p>
      <w:pPr>
        <w:spacing w:after="0" w:line="94"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66" w:right="439" w:bottom="1440" w:gutter="0" w:footer="0" w:header="0"/>
        </w:sectPr>
      </w:pPr>
    </w:p>
    <w:bookmarkStart w:id="42" w:name="page43"/>
    <w:bookmarkEnd w:id="42"/>
    <w:p>
      <w:pPr>
        <w:ind w:left="1180" w:hanging="644"/>
        <w:spacing w:after="0"/>
        <w:tabs>
          <w:tab w:leader="none" w:pos="1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document as may be designated as a Security Document by the Security Agent and the Company.</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Document (Closing)</w:t>
      </w:r>
      <w:r>
        <w:rPr>
          <w:rFonts w:ascii="Times New Roman" w:cs="Times New Roman" w:eastAsia="Times New Roman" w:hAnsi="Times New Roman"/>
          <w:sz w:val="18"/>
          <w:szCs w:val="18"/>
          <w:color w:val="auto"/>
        </w:rPr>
        <w:t>” has the meaning given to the term under paragraph (a) of the definition of “Security Document”.</w:t>
      </w:r>
    </w:p>
    <w:p>
      <w:pPr>
        <w:spacing w:after="0" w:line="117" w:lineRule="exact"/>
        <w:rPr>
          <w:sz w:val="20"/>
          <w:szCs w:val="20"/>
          <w:color w:val="auto"/>
        </w:rPr>
      </w:pPr>
    </w:p>
    <w:p>
      <w:pPr>
        <w:ind w:left="540" w:right="5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Selection Notice</w:t>
      </w:r>
      <w:r>
        <w:rPr>
          <w:rFonts w:ascii="Times New Roman" w:cs="Times New Roman" w:eastAsia="Times New Roman" w:hAnsi="Times New Roman"/>
          <w:sz w:val="18"/>
          <w:szCs w:val="18"/>
          <w:color w:val="auto"/>
        </w:rPr>
        <w:t>” means a notice substantially in the form set out in Part II of Schedule 3 (</w:t>
      </w:r>
      <w:r>
        <w:rPr>
          <w:rFonts w:ascii="Times New Roman" w:cs="Times New Roman" w:eastAsia="Times New Roman" w:hAnsi="Times New Roman"/>
          <w:sz w:val="18"/>
          <w:szCs w:val="18"/>
          <w:i w:val="1"/>
          <w:iCs w:val="1"/>
          <w:color w:val="auto"/>
        </w:rPr>
        <w:t>Requests</w:t>
      </w:r>
      <w:r>
        <w:rPr>
          <w:rFonts w:ascii="Times New Roman" w:cs="Times New Roman" w:eastAsia="Times New Roman" w:hAnsi="Times New Roman"/>
          <w:sz w:val="18"/>
          <w:szCs w:val="18"/>
          <w:color w:val="auto"/>
        </w:rPr>
        <w:t>) given in accordance with Clause 11 (</w:t>
      </w:r>
      <w:r>
        <w:rPr>
          <w:rFonts w:ascii="Times New Roman" w:cs="Times New Roman" w:eastAsia="Times New Roman" w:hAnsi="Times New Roman"/>
          <w:sz w:val="18"/>
          <w:szCs w:val="18"/>
          <w:i w:val="1"/>
          <w:iCs w:val="1"/>
          <w:color w:val="auto"/>
        </w:rPr>
        <w:t>Interest Periods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 means the date of this Agreement.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Snita</w:t>
      </w:r>
      <w:r>
        <w:rPr>
          <w:rFonts w:ascii="Times New Roman" w:cs="Times New Roman" w:eastAsia="Times New Roman" w:hAnsi="Times New Roman"/>
          <w:sz w:val="18"/>
          <w:szCs w:val="18"/>
          <w:color w:val="auto"/>
        </w:rPr>
        <w:t>” means Snita Holding B.V., a company incorporated in the Netherlands.</w:t>
      </w:r>
    </w:p>
    <w:p>
      <w:pPr>
        <w:spacing w:after="0" w:line="117" w:lineRule="exact"/>
        <w:rPr>
          <w:sz w:val="20"/>
          <w:szCs w:val="20"/>
          <w:color w:val="auto"/>
        </w:rPr>
      </w:pPr>
    </w:p>
    <w:p>
      <w:pPr>
        <w:ind w:left="54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the secured overnight financing rate (SOFR) administered by the Federal Reserve Bank of New York (or any other person which takes over the administration of that rate) published (before any correction, recalculation or republication by the administrator) by the Federal Reserve Bank of New York (or any other person which takes over the publication of that rate).</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Time</w:t>
      </w:r>
      <w:r>
        <w:rPr>
          <w:rFonts w:ascii="Times New Roman" w:cs="Times New Roman" w:eastAsia="Times New Roman" w:hAnsi="Times New Roman"/>
          <w:sz w:val="18"/>
          <w:szCs w:val="18"/>
          <w:color w:val="auto"/>
        </w:rPr>
        <w:t>” means a day or time determined in accordance with Schedule 7 (</w:t>
      </w:r>
      <w:r>
        <w:rPr>
          <w:rFonts w:ascii="Times New Roman" w:cs="Times New Roman" w:eastAsia="Times New Roman" w:hAnsi="Times New Roman"/>
          <w:sz w:val="18"/>
          <w:szCs w:val="18"/>
          <w:i w:val="1"/>
          <w:iCs w:val="1"/>
          <w:color w:val="auto"/>
        </w:rPr>
        <w:t>Timetables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1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Affiliate</w:t>
      </w:r>
      <w:r>
        <w:rPr>
          <w:rFonts w:ascii="Times New Roman" w:cs="Times New Roman" w:eastAsia="Times New Roman" w:hAnsi="Times New Roman"/>
          <w:sz w:val="18"/>
          <w:szCs w:val="18"/>
          <w:color w:val="auto"/>
        </w:rPr>
        <w:t>” means Mr. Li, the Keepwell Provider, PSD, VCC or Geely Automobile (each as a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xml:space="preserve">”), each of any Sponsor’s Affiliates, any trust of which any Sponsor or any of its Affiliates is a trustee, any partnership of which any Sponsor or any of its Affiliates is a partner and any trust, fund or other entity which is managed by, or is under the control of, any Sponsor or any of its Affiliates </w:t>
      </w:r>
      <w:r>
        <w:rPr>
          <w:rFonts w:ascii="Times New Roman" w:cs="Times New Roman" w:eastAsia="Times New Roman" w:hAnsi="Times New Roman"/>
          <w:sz w:val="18"/>
          <w:szCs w:val="18"/>
          <w:b w:val="1"/>
          <w:bCs w:val="1"/>
          <w:i w:val="1"/>
          <w:iCs w:val="1"/>
          <w:color w:val="auto"/>
        </w:rPr>
        <w:t>provided that</w:t>
      </w:r>
      <w:r>
        <w:rPr>
          <w:rFonts w:ascii="Times New Roman" w:cs="Times New Roman" w:eastAsia="Times New Roman" w:hAnsi="Times New Roman"/>
          <w:sz w:val="18"/>
          <w:szCs w:val="18"/>
          <w:color w:val="auto"/>
        </w:rPr>
        <w:t xml:space="preserve"> any such trust, fund or other entity which has been established for at least 12 months solely for the purpose of making, purchasing or investing in loans or debt securities and which is managed or controlled independently from all other trusts, funds or other entities managed or controlled by any Sponsor or any of its Affiliates which have been established for the primary or main purpose of investing in the share capital of companies shall not constitute a Sponsor Affiliate.</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has the meaning given to the term under the Subordination Deed.</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Creditor</w:t>
      </w:r>
      <w:r>
        <w:rPr>
          <w:rFonts w:ascii="Times New Roman" w:cs="Times New Roman" w:eastAsia="Times New Roman" w:hAnsi="Times New Roman"/>
          <w:sz w:val="18"/>
          <w:szCs w:val="18"/>
          <w:color w:val="auto"/>
        </w:rPr>
        <w:t>” means each subordinated creditor party to the Subordination Deed from time to time.</w:t>
      </w:r>
    </w:p>
    <w:p>
      <w:pPr>
        <w:spacing w:after="0" w:line="117" w:lineRule="exact"/>
        <w:rPr>
          <w:sz w:val="20"/>
          <w:szCs w:val="20"/>
          <w:color w:val="auto"/>
        </w:rPr>
      </w:pPr>
    </w:p>
    <w:p>
      <w:pPr>
        <w:ind w:left="540"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Deed</w:t>
      </w:r>
      <w:r>
        <w:rPr>
          <w:rFonts w:ascii="Times New Roman" w:cs="Times New Roman" w:eastAsia="Times New Roman" w:hAnsi="Times New Roman"/>
          <w:sz w:val="18"/>
          <w:szCs w:val="18"/>
          <w:color w:val="auto"/>
        </w:rPr>
        <w:t>” means an English law governed subordination deed dated on or around the Signing Date between, amongst others, the subordinated creditors named therein, the Borrower and the Agent.</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in relation to any company or corporation, a company or corporation:</w:t>
      </w:r>
    </w:p>
    <w:p>
      <w:pPr>
        <w:spacing w:after="0" w:line="135" w:lineRule="exact"/>
        <w:rPr>
          <w:sz w:val="20"/>
          <w:szCs w:val="20"/>
          <w:color w:val="auto"/>
        </w:rPr>
      </w:pPr>
    </w:p>
    <w:p>
      <w:pPr>
        <w:ind w:left="1180" w:right="820" w:hanging="644"/>
        <w:spacing w:after="0" w:line="282" w:lineRule="auto"/>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controlled, directly or indirectly, by the first mentioned company or corporation or Mr. Li (solely for the purposes of determining a “Sponsor Affiliate” in respect of Mr. Li);</w:t>
      </w:r>
    </w:p>
    <w:p>
      <w:pPr>
        <w:spacing w:after="0" w:line="67"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half the issued equity share capital of which is beneficially owned, directly or indirectly, by the first mentioned company or corporation or Mr. Li; or</w:t>
      </w:r>
    </w:p>
    <w:p>
      <w:pPr>
        <w:spacing w:after="0" w:line="67" w:lineRule="exact"/>
        <w:rPr>
          <w:rFonts w:ascii="Times New Roman" w:cs="Times New Roman" w:eastAsia="Times New Roman" w:hAnsi="Times New Roman"/>
          <w:sz w:val="18"/>
          <w:szCs w:val="18"/>
          <w:color w:val="auto"/>
        </w:rPr>
      </w:pPr>
    </w:p>
    <w:p>
      <w:pPr>
        <w:ind w:left="1180" w:right="700" w:hanging="644"/>
        <w:spacing w:after="0" w:line="282" w:lineRule="auto"/>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Subsidiary of another Subsidiary of the first mentioned company or corporation or Mr. Li (solely for the purposes of determining a “Sponsor Affiliate” in respect of Mr. Li),</w:t>
      </w:r>
    </w:p>
    <w:p>
      <w:pPr>
        <w:spacing w:after="0" w:line="54"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and, for this purpose, a company or corporation shall be treated as being controlled by another company or corporation or Mr. Li (solely for the purposes of determining a “Sponsor Affiliate” in respect of Mr. Li), if that other company or corporation or that natural person is able to direct its affairs and/or to control the composition of its board of directors or equivalent body.</w:t>
      </w:r>
    </w:p>
    <w:p>
      <w:pPr>
        <w:spacing w:after="0" w:line="10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43" w:name="page44"/>
    <w:bookmarkEnd w:id="43"/>
    <w:p>
      <w:pPr>
        <w:ind w:left="540" w:right="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Super Majority Lenders</w:t>
      </w:r>
      <w:r>
        <w:rPr>
          <w:rFonts w:ascii="Times New Roman" w:cs="Times New Roman" w:eastAsia="Times New Roman" w:hAnsi="Times New Roman"/>
          <w:sz w:val="18"/>
          <w:szCs w:val="18"/>
          <w:color w:val="auto"/>
        </w:rPr>
        <w:t>” means a Lender or Lenders whose Commitments aggregate more than 75 per cent. of the Total Commitments (or, if the Total Commitments have been reduced to zero, aggregated more than 75 per cent. of the Total Commitments immediately prior to the reduction).</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Day</w:t>
      </w:r>
      <w:r>
        <w:rPr>
          <w:rFonts w:ascii="Times New Roman" w:cs="Times New Roman" w:eastAsia="Times New Roman" w:hAnsi="Times New Roman"/>
          <w:sz w:val="18"/>
          <w:szCs w:val="18"/>
          <w:color w:val="auto"/>
        </w:rPr>
        <w:t>” means any day on which T2 is open for the settlement of payments in euro.</w:t>
      </w:r>
    </w:p>
    <w:p>
      <w:pPr>
        <w:spacing w:after="0" w:line="117" w:lineRule="exact"/>
        <w:rPr>
          <w:sz w:val="20"/>
          <w:szCs w:val="20"/>
          <w:color w:val="auto"/>
        </w:rPr>
      </w:pPr>
    </w:p>
    <w:p>
      <w:pPr>
        <w:ind w:left="540" w:right="7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has the meaning given to the term in Clause 14.1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the date which is 36 Months after the Initial Utilisation Date, and provided that, if such date is not a Business Day, the Termination Date shall be the immediately preceding Business Day.</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Date</w:t>
      </w:r>
      <w:r>
        <w:rPr>
          <w:rFonts w:ascii="Times New Roman" w:cs="Times New Roman" w:eastAsia="Times New Roman" w:hAnsi="Times New Roman"/>
          <w:sz w:val="18"/>
          <w:szCs w:val="18"/>
          <w:color w:val="auto"/>
        </w:rPr>
        <w:t>” has the meaning given to the term in Clause 22.1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Commitments</w:t>
      </w:r>
      <w:r>
        <w:rPr>
          <w:rFonts w:ascii="Times New Roman" w:cs="Times New Roman" w:eastAsia="Times New Roman" w:hAnsi="Times New Roman"/>
          <w:sz w:val="18"/>
          <w:szCs w:val="18"/>
          <w:color w:val="auto"/>
        </w:rPr>
        <w:t>” means the aggregate of the Total Facility A Commitments and Total Facility B Commitments.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Facility A Commitments</w:t>
      </w:r>
      <w:r>
        <w:rPr>
          <w:rFonts w:ascii="Times New Roman" w:cs="Times New Roman" w:eastAsia="Times New Roman" w:hAnsi="Times New Roman"/>
          <w:sz w:val="18"/>
          <w:szCs w:val="18"/>
          <w:color w:val="auto"/>
        </w:rPr>
        <w:t>” means the aggregate of Commitments (Facility A), being EUR340,000,000 at the Signing Date.</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Facility B Commitments</w:t>
      </w:r>
      <w:r>
        <w:rPr>
          <w:rFonts w:ascii="Times New Roman" w:cs="Times New Roman" w:eastAsia="Times New Roman" w:hAnsi="Times New Roman"/>
          <w:sz w:val="18"/>
          <w:szCs w:val="18"/>
          <w:color w:val="auto"/>
        </w:rPr>
        <w:t>” means the aggregate of Commitments (Facility B), being USD583,489,000 at the Signing Date.</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Purchase Price</w:t>
      </w:r>
      <w:r>
        <w:rPr>
          <w:rFonts w:ascii="Times New Roman" w:cs="Times New Roman" w:eastAsia="Times New Roman" w:hAnsi="Times New Roman"/>
          <w:sz w:val="18"/>
          <w:szCs w:val="18"/>
          <w:color w:val="auto"/>
        </w:rPr>
        <w:t>” has the meaning given to the term in the definition of “Permitted Business Acquisition”.</w:t>
      </w:r>
    </w:p>
    <w:p>
      <w:pPr>
        <w:spacing w:after="0" w:line="117" w:lineRule="exact"/>
        <w:rPr>
          <w:sz w:val="20"/>
          <w:szCs w:val="20"/>
          <w:color w:val="auto"/>
        </w:rPr>
      </w:pPr>
    </w:p>
    <w:p>
      <w:pPr>
        <w:ind w:left="540" w:right="8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Instruments</w:t>
      </w:r>
      <w:r>
        <w:rPr>
          <w:rFonts w:ascii="Times New Roman" w:cs="Times New Roman" w:eastAsia="Times New Roman" w:hAnsi="Times New Roman"/>
          <w:sz w:val="18"/>
          <w:szCs w:val="18"/>
          <w:color w:val="auto"/>
        </w:rPr>
        <w:t>” means any performance bonds, advance payment bonds or documentary letters of credit issued in respect of the obligations of a Group Member arising in the ordinary course of business of a Group Member.</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Security</w:t>
      </w:r>
      <w:r>
        <w:rPr>
          <w:rFonts w:ascii="Times New Roman" w:cs="Times New Roman" w:eastAsia="Times New Roman" w:hAnsi="Times New Roman"/>
          <w:sz w:val="18"/>
          <w:szCs w:val="18"/>
          <w:color w:val="auto"/>
        </w:rPr>
        <w:t>” means the Security created or evidenced or expressed to be created or evidenced under the Security Documents.</w:t>
      </w:r>
    </w:p>
    <w:p>
      <w:pPr>
        <w:spacing w:after="0" w:line="117" w:lineRule="exact"/>
        <w:rPr>
          <w:sz w:val="20"/>
          <w:szCs w:val="20"/>
          <w:color w:val="auto"/>
        </w:rPr>
      </w:pPr>
    </w:p>
    <w:p>
      <w:pPr>
        <w:ind w:left="540"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Certificate</w:t>
      </w:r>
      <w:r>
        <w:rPr>
          <w:rFonts w:ascii="Times New Roman" w:cs="Times New Roman" w:eastAsia="Times New Roman" w:hAnsi="Times New Roman"/>
          <w:sz w:val="18"/>
          <w:szCs w:val="18"/>
          <w:color w:val="auto"/>
        </w:rPr>
        <w:t>” means a certificate substantially in the form set out in Schedule 4 (</w:t>
      </w:r>
      <w:r>
        <w:rPr>
          <w:rFonts w:ascii="Times New Roman" w:cs="Times New Roman" w:eastAsia="Times New Roman" w:hAnsi="Times New Roman"/>
          <w:sz w:val="18"/>
          <w:szCs w:val="18"/>
          <w:i w:val="1"/>
          <w:iCs w:val="1"/>
          <w:color w:val="auto"/>
        </w:rPr>
        <w:t>Form of Transfer Certificate</w:t>
      </w:r>
      <w:r>
        <w:rPr>
          <w:rFonts w:ascii="Times New Roman" w:cs="Times New Roman" w:eastAsia="Times New Roman" w:hAnsi="Times New Roman"/>
          <w:sz w:val="18"/>
          <w:szCs w:val="18"/>
          <w:color w:val="auto"/>
        </w:rPr>
        <w:t>) or any other form agreed between the Agent and the Company.</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Date</w:t>
      </w:r>
      <w:r>
        <w:rPr>
          <w:rFonts w:ascii="Times New Roman" w:cs="Times New Roman" w:eastAsia="Times New Roman" w:hAnsi="Times New Roman"/>
          <w:sz w:val="18"/>
          <w:szCs w:val="18"/>
          <w:color w:val="auto"/>
        </w:rPr>
        <w:t>” means, in relation to an assignment or a transfer the later of:</w:t>
      </w:r>
    </w:p>
    <w:p>
      <w:pPr>
        <w:spacing w:after="0" w:line="135" w:lineRule="exact"/>
        <w:rPr>
          <w:sz w:val="20"/>
          <w:szCs w:val="20"/>
          <w:color w:val="auto"/>
        </w:rPr>
      </w:pPr>
    </w:p>
    <w:p>
      <w:pPr>
        <w:ind w:left="1180" w:hanging="644"/>
        <w:spacing w:after="0"/>
        <w:tabs>
          <w:tab w:leader="none" w:pos="1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Date specified in the relevant Assignment Agreement or Transfer Certificate;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Agent executes the relevant Assignment Agreement or Transfer Certificate.</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66" w:right="439" w:bottom="1440" w:gutter="0" w:footer="0" w:header="0"/>
        </w:sectPr>
      </w:pPr>
    </w:p>
    <w:bookmarkStart w:id="44" w:name="page45"/>
    <w:bookmarkEnd w:id="44"/>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Unpaid Sum</w:t>
      </w:r>
      <w:r>
        <w:rPr>
          <w:rFonts w:ascii="Times New Roman" w:cs="Times New Roman" w:eastAsia="Times New Roman" w:hAnsi="Times New Roman"/>
          <w:sz w:val="18"/>
          <w:szCs w:val="18"/>
          <w:color w:val="auto"/>
        </w:rPr>
        <w:t>” means any sum due and payable but unpaid by an Obligor under the Finance Documents.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Unsubordinated Shareholder Loan</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right="160" w:hanging="644"/>
        <w:spacing w:after="0" w:line="266" w:lineRule="auto"/>
        <w:tabs>
          <w:tab w:leader="none" w:pos="1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loan pursuant to a facility agreement dated 3 November 2022 between the Borrower (as borrower) and Snita (as lender) originally with a principal amount of USD800,000,000, with the principal amount being subsequently increased to USD1,000,000,000 and an extended maturity date of 30 June 2027 announced to be further extended to 31 December 2028; and</w:t>
      </w:r>
    </w:p>
    <w:p>
      <w:pPr>
        <w:spacing w:after="0" w:line="81" w:lineRule="exact"/>
        <w:rPr>
          <w:rFonts w:ascii="Times New Roman" w:cs="Times New Roman" w:eastAsia="Times New Roman" w:hAnsi="Times New Roman"/>
          <w:sz w:val="18"/>
          <w:szCs w:val="18"/>
          <w:color w:val="auto"/>
        </w:rPr>
      </w:pPr>
    </w:p>
    <w:p>
      <w:pPr>
        <w:ind w:left="1180" w:right="240" w:hanging="644"/>
        <w:spacing w:after="0" w:line="282" w:lineRule="auto"/>
        <w:tabs>
          <w:tab w:leader="none" w:pos="1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shareholder loan from Snita to the Borrower already subsisting as at the Signing Date, and disclosed to the MLABs and the MLAs on or before the Signing Date,</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as amended from time to time, provided that, in each case, no such amendment shall have the effect of:</w:t>
      </w:r>
    </w:p>
    <w:p>
      <w:pPr>
        <w:spacing w:after="0" w:line="131" w:lineRule="exact"/>
        <w:rPr>
          <w:sz w:val="20"/>
          <w:szCs w:val="20"/>
          <w:color w:val="auto"/>
        </w:rPr>
      </w:pPr>
    </w:p>
    <w:p>
      <w:pPr>
        <w:ind w:left="1740" w:hanging="543"/>
        <w:spacing w:after="0"/>
        <w:tabs>
          <w:tab w:leader="none" w:pos="17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maturity date of the relevant Unsubordinated Shareholder Loan fall before the Termination Date;</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principal amount of the relevant Unsubordinated Shareholder Loan;</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the relevant Unsubordinated Shareholder Loan to be supported by any guarantee, Security or Quasi-Security; or</w:t>
      </w:r>
    </w:p>
    <w:p>
      <w:pPr>
        <w:spacing w:after="0" w:line="130" w:lineRule="exact"/>
        <w:rPr>
          <w:rFonts w:ascii="Times New Roman" w:cs="Times New Roman" w:eastAsia="Times New Roman" w:hAnsi="Times New Roman"/>
          <w:sz w:val="18"/>
          <w:szCs w:val="18"/>
          <w:color w:val="auto"/>
        </w:rPr>
      </w:pPr>
    </w:p>
    <w:p>
      <w:pPr>
        <w:ind w:left="1740" w:right="460" w:hanging="543"/>
        <w:spacing w:after="0" w:line="282" w:lineRule="auto"/>
        <w:tabs>
          <w:tab w:leader="none" w:pos="17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put the relevant Subordinated Creditor in a better position than it would have been, had the amendment not been effected,</w:t>
      </w:r>
    </w:p>
    <w:p>
      <w:pPr>
        <w:spacing w:after="0" w:line="5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unless otherwise approved by the Agent (acting on the instructions of the Super Majority Lenders).</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other than:</w:t>
      </w:r>
    </w:p>
    <w:p>
      <w:pPr>
        <w:spacing w:after="0" w:line="135" w:lineRule="exact"/>
        <w:rPr>
          <w:sz w:val="20"/>
          <w:szCs w:val="20"/>
          <w:color w:val="auto"/>
        </w:rPr>
      </w:pPr>
    </w:p>
    <w:p>
      <w:pPr>
        <w:ind w:left="1180" w:hanging="644"/>
        <w:spacing w:after="0"/>
        <w:tabs>
          <w:tab w:leader="none" w:pos="1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Saturday or a Sunday; and</w:t>
      </w:r>
    </w:p>
    <w:p>
      <w:pPr>
        <w:spacing w:after="0" w:line="130" w:lineRule="exact"/>
        <w:rPr>
          <w:rFonts w:ascii="Times New Roman" w:cs="Times New Roman" w:eastAsia="Times New Roman" w:hAnsi="Times New Roman"/>
          <w:sz w:val="18"/>
          <w:szCs w:val="18"/>
          <w:color w:val="auto"/>
        </w:rPr>
      </w:pPr>
    </w:p>
    <w:p>
      <w:pPr>
        <w:ind w:left="1180" w:right="280" w:hanging="644"/>
        <w:spacing w:after="0" w:line="282" w:lineRule="auto"/>
        <w:tabs>
          <w:tab w:leader="none" w:pos="1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Obligor</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hanging="644"/>
        <w:spacing w:after="0"/>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if it is resident for tax purposes in the U.S.; or</w:t>
      </w:r>
    </w:p>
    <w:p>
      <w:pPr>
        <w:spacing w:after="0" w:line="130" w:lineRule="exact"/>
        <w:rPr>
          <w:rFonts w:ascii="Times New Roman" w:cs="Times New Roman" w:eastAsia="Times New Roman" w:hAnsi="Times New Roman"/>
          <w:sz w:val="18"/>
          <w:szCs w:val="18"/>
          <w:color w:val="auto"/>
        </w:rPr>
      </w:pPr>
    </w:p>
    <w:p>
      <w:pPr>
        <w:ind w:left="1180" w:right="200" w:hanging="644"/>
        <w:spacing w:after="0" w:line="282" w:lineRule="auto"/>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some or all of whose payments under the Finance Documents are from sources within the U.S. for U.S. federal income tax purposes.</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w:t>
      </w:r>
      <w:r>
        <w:rPr>
          <w:rFonts w:ascii="Times New Roman" w:cs="Times New Roman" w:eastAsia="Times New Roman" w:hAnsi="Times New Roman"/>
          <w:sz w:val="18"/>
          <w:szCs w:val="18"/>
          <w:color w:val="auto"/>
        </w:rPr>
        <w:t>” means a utilisation of any Facility.</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Date</w:t>
      </w:r>
      <w:r>
        <w:rPr>
          <w:rFonts w:ascii="Times New Roman" w:cs="Times New Roman" w:eastAsia="Times New Roman" w:hAnsi="Times New Roman"/>
          <w:sz w:val="18"/>
          <w:szCs w:val="18"/>
          <w:color w:val="auto"/>
        </w:rPr>
        <w:t>” means the date of a Utilisation, being the date on which the relevant Loan is to be made.</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Request</w:t>
      </w:r>
      <w:r>
        <w:rPr>
          <w:rFonts w:ascii="Times New Roman" w:cs="Times New Roman" w:eastAsia="Times New Roman" w:hAnsi="Times New Roman"/>
          <w:sz w:val="18"/>
          <w:szCs w:val="18"/>
          <w:color w:val="auto"/>
        </w:rPr>
        <w:t>” means a notice substantially in the form set out in Part I of Schedule 3 (</w:t>
      </w:r>
      <w:r>
        <w:rPr>
          <w:rFonts w:ascii="Times New Roman" w:cs="Times New Roman" w:eastAsia="Times New Roman" w:hAnsi="Times New Roman"/>
          <w:sz w:val="18"/>
          <w:szCs w:val="18"/>
          <w:i w:val="1"/>
          <w:iCs w:val="1"/>
          <w:color w:val="auto"/>
        </w:rPr>
        <w:t>Requests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66" w:right="439" w:bottom="1440" w:gutter="0" w:footer="0" w:header="0"/>
        </w:sectPr>
      </w:pPr>
    </w:p>
    <w:bookmarkStart w:id="45" w:name="page46"/>
    <w:bookmarkEnd w:id="45"/>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hanging="644"/>
        <w:spacing w:after="0"/>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value added tax imposed by the Value Added Tax Act 1994;</w:t>
      </w:r>
    </w:p>
    <w:p>
      <w:pPr>
        <w:spacing w:after="0" w:line="130" w:lineRule="exact"/>
        <w:rPr>
          <w:rFonts w:ascii="Times New Roman" w:cs="Times New Roman" w:eastAsia="Times New Roman" w:hAnsi="Times New Roman"/>
          <w:sz w:val="18"/>
          <w:szCs w:val="18"/>
          <w:color w:val="auto"/>
        </w:rPr>
      </w:pPr>
    </w:p>
    <w:p>
      <w:pPr>
        <w:ind w:left="1180" w:right="600" w:hanging="644"/>
        <w:spacing w:after="0" w:line="282" w:lineRule="auto"/>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in compliance with the Council Directive of 28 November 2006 on the common system of value added tax (EC Directive 2006/112); and</w:t>
      </w:r>
    </w:p>
    <w:p>
      <w:pPr>
        <w:spacing w:after="0" w:line="67" w:lineRule="exact"/>
        <w:rPr>
          <w:rFonts w:ascii="Times New Roman" w:cs="Times New Roman" w:eastAsia="Times New Roman" w:hAnsi="Times New Roman"/>
          <w:sz w:val="18"/>
          <w:szCs w:val="18"/>
          <w:color w:val="auto"/>
        </w:rPr>
      </w:pPr>
    </w:p>
    <w:p>
      <w:pPr>
        <w:ind w:left="1180" w:right="240" w:hanging="644"/>
        <w:spacing w:after="0" w:line="282" w:lineRule="auto"/>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tax of a similar nature, whether imposed in the United Kingdom or in a member state of the European Union in substitution for, or levied in addition to, such tax referred to in paragraphs (a) or (b) above or imposed elsewhere.</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VCC</w:t>
      </w:r>
      <w:r>
        <w:rPr>
          <w:rFonts w:ascii="Times New Roman" w:cs="Times New Roman" w:eastAsia="Times New Roman" w:hAnsi="Times New Roman"/>
          <w:sz w:val="17"/>
          <w:szCs w:val="17"/>
          <w:color w:val="auto"/>
        </w:rPr>
        <w:t>” means Volvo Car Corporation, a company with limited liability incorporated under the laws of Sweden, with its company registration no.</w:t>
      </w:r>
    </w:p>
    <w:p>
      <w:pPr>
        <w:spacing w:after="0" w:line="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 556074-3089 and its registered address at Avd. 50090 HB3S 405 31 Göteborg.</w:t>
      </w:r>
    </w:p>
    <w:p>
      <w:pPr>
        <w:spacing w:after="0" w:line="10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135" w:lineRule="exact"/>
        <w:rPr>
          <w:sz w:val="20"/>
          <w:szCs w:val="20"/>
          <w:color w:val="auto"/>
        </w:rPr>
      </w:pPr>
    </w:p>
    <w:p>
      <w:pPr>
        <w:ind w:left="1180" w:hanging="644"/>
        <w:spacing w:after="0"/>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any reference in this Agreement to:</w:t>
      </w:r>
    </w:p>
    <w:p>
      <w:pPr>
        <w:spacing w:after="0" w:line="126" w:lineRule="exact"/>
        <w:rPr>
          <w:rFonts w:ascii="Times New Roman" w:cs="Times New Roman" w:eastAsia="Times New Roman" w:hAnsi="Times New Roman"/>
          <w:sz w:val="18"/>
          <w:szCs w:val="18"/>
          <w:color w:val="auto"/>
        </w:rPr>
      </w:pPr>
    </w:p>
    <w:p>
      <w:pPr>
        <w:ind w:left="1740" w:right="80" w:hanging="543"/>
        <w:spacing w:after="0" w:line="262" w:lineRule="auto"/>
        <w:tabs>
          <w:tab w:leader="none" w:pos="17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Finance Party</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Global Coordinator</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Joint Green Loan Lead Coordinator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Green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 Coordinator</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MLAB</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MLA</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Secured Party</w:t>
      </w:r>
      <w:r>
        <w:rPr>
          <w:rFonts w:ascii="Times New Roman" w:cs="Times New Roman" w:eastAsia="Times New Roman" w:hAnsi="Times New Roman"/>
          <w:sz w:val="18"/>
          <w:szCs w:val="18"/>
          <w:color w:val="auto"/>
        </w:rPr>
        <w: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Agent</w:t>
      </w:r>
      <w:r>
        <w:rPr>
          <w:rFonts w:ascii="Times New Roman" w:cs="Times New Roman" w:eastAsia="Times New Roman" w:hAnsi="Times New Roman"/>
          <w:sz w:val="18"/>
          <w:szCs w:val="18"/>
          <w:color w:val="auto"/>
        </w:rPr>
        <w:t>” shall be construed so as to include its successors in title, permitted assigns and permitted transferees to, or of, its rights and/or obligations under the Finance Documents;</w:t>
      </w:r>
    </w:p>
    <w:p>
      <w:pPr>
        <w:spacing w:after="0" w:line="81" w:lineRule="exact"/>
        <w:rPr>
          <w:rFonts w:ascii="Times New Roman" w:cs="Times New Roman" w:eastAsia="Times New Roman" w:hAnsi="Times New Roman"/>
          <w:sz w:val="18"/>
          <w:szCs w:val="18"/>
          <w:color w:val="auto"/>
        </w:rPr>
      </w:pPr>
    </w:p>
    <w:p>
      <w:pPr>
        <w:ind w:left="1740" w:right="440" w:hanging="543"/>
        <w:spacing w:after="0" w:line="286" w:lineRule="auto"/>
        <w:tabs>
          <w:tab w:leader="none" w:pos="17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in “</w:t>
      </w:r>
      <w:r>
        <w:rPr>
          <w:rFonts w:ascii="Times New Roman" w:cs="Times New Roman" w:eastAsia="Times New Roman" w:hAnsi="Times New Roman"/>
          <w:sz w:val="18"/>
          <w:szCs w:val="18"/>
          <w:b w:val="1"/>
          <w:bCs w:val="1"/>
          <w:color w:val="auto"/>
        </w:rPr>
        <w:t>agreed form</w:t>
      </w:r>
      <w:r>
        <w:rPr>
          <w:rFonts w:ascii="Times New Roman" w:cs="Times New Roman" w:eastAsia="Times New Roman" w:hAnsi="Times New Roman"/>
          <w:sz w:val="18"/>
          <w:szCs w:val="18"/>
          <w:color w:val="auto"/>
        </w:rPr>
        <w:t>” is a document which is previously agreed in writing by or on behalf of the Company and the Agent or, if not so agreed, is in the form specified by the Agent;</w:t>
      </w:r>
    </w:p>
    <w:p>
      <w:pPr>
        <w:spacing w:after="0" w:line="6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 includes present and future properties, revenues and rights of every description;</w:t>
      </w:r>
    </w:p>
    <w:p>
      <w:pPr>
        <w:spacing w:after="0" w:line="130" w:lineRule="exact"/>
        <w:rPr>
          <w:rFonts w:ascii="Times New Roman" w:cs="Times New Roman" w:eastAsia="Times New Roman" w:hAnsi="Times New Roman"/>
          <w:sz w:val="18"/>
          <w:szCs w:val="18"/>
          <w:color w:val="auto"/>
        </w:rPr>
      </w:pPr>
    </w:p>
    <w:p>
      <w:pPr>
        <w:ind w:left="1740" w:right="260" w:hanging="543"/>
        <w:spacing w:after="0" w:line="262" w:lineRule="auto"/>
        <w:tabs>
          <w:tab w:leader="none" w:pos="17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Lender’s “</w:t>
      </w:r>
      <w:r>
        <w:rPr>
          <w:rFonts w:ascii="Times New Roman" w:cs="Times New Roman" w:eastAsia="Times New Roman" w:hAnsi="Times New Roman"/>
          <w:sz w:val="18"/>
          <w:szCs w:val="18"/>
          <w:b w:val="1"/>
          <w:bCs w:val="1"/>
          <w:color w:val="auto"/>
        </w:rPr>
        <w:t>cost of funds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cost to it of funding</w:t>
      </w:r>
      <w:r>
        <w:rPr>
          <w:rFonts w:ascii="Times New Roman" w:cs="Times New Roman" w:eastAsia="Times New Roman" w:hAnsi="Times New Roman"/>
          <w:sz w:val="18"/>
          <w:szCs w:val="18"/>
          <w:color w:val="auto"/>
        </w:rPr>
        <w:t>” (or similar expressions) in relation to its participation in a Loan is a reference to the average cost (determined either on an actual or a notional basis) which that Lender would incur if it were to fund, from whatever source(s) it may reasonably select, an amount equal to the amount of that participation in that Loan for a period equal in length to the Interest Period of that Loan;</w:t>
      </w:r>
    </w:p>
    <w:p>
      <w:pPr>
        <w:spacing w:after="0" w:line="81" w:lineRule="exact"/>
        <w:rPr>
          <w:rFonts w:ascii="Times New Roman" w:cs="Times New Roman" w:eastAsia="Times New Roman" w:hAnsi="Times New Roman"/>
          <w:sz w:val="18"/>
          <w:szCs w:val="18"/>
          <w:color w:val="auto"/>
        </w:rPr>
      </w:pPr>
    </w:p>
    <w:p>
      <w:pPr>
        <w:ind w:left="1740" w:right="20" w:hanging="543"/>
        <w:spacing w:after="0" w:line="262" w:lineRule="auto"/>
        <w:tabs>
          <w:tab w:leader="none" w:pos="17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or any other agreement or instrument is a reference to that Finance Document or other agreement or instrument as amended, novated, supplemented, extended, restated (however fundamentally and whether or not more onerously) or replaced and includes any change in the purpose of, any extension of or any increase in any facility or the addition of any new facility under that Finance Document or other agreement or instrument;</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group of Lenders</w:t>
      </w:r>
      <w:r>
        <w:rPr>
          <w:rFonts w:ascii="Times New Roman" w:cs="Times New Roman" w:eastAsia="Times New Roman" w:hAnsi="Times New Roman"/>
          <w:sz w:val="18"/>
          <w:szCs w:val="18"/>
          <w:color w:val="auto"/>
        </w:rPr>
        <w:t>” includes all the Lenders;</w:t>
      </w:r>
    </w:p>
    <w:p>
      <w:pPr>
        <w:spacing w:after="0" w:line="130" w:lineRule="exact"/>
        <w:rPr>
          <w:rFonts w:ascii="Times New Roman" w:cs="Times New Roman" w:eastAsia="Times New Roman" w:hAnsi="Times New Roman"/>
          <w:sz w:val="18"/>
          <w:szCs w:val="18"/>
          <w:color w:val="auto"/>
        </w:rPr>
      </w:pPr>
    </w:p>
    <w:p>
      <w:pPr>
        <w:ind w:left="1740" w:right="60" w:hanging="543"/>
        <w:spacing w:after="0" w:line="262" w:lineRule="auto"/>
        <w:tabs>
          <w:tab w:leader="none" w:pos="17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(other than in Clause 19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113"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66" w:right="439" w:bottom="1440" w:gutter="0" w:footer="0" w:header="0"/>
        </w:sectPr>
      </w:pPr>
    </w:p>
    <w:bookmarkStart w:id="46" w:name="page47"/>
    <w:bookmarkEnd w:id="46"/>
    <w:p>
      <w:pPr>
        <w:ind w:left="1740" w:right="320" w:hanging="543"/>
        <w:spacing w:after="0" w:line="286" w:lineRule="auto"/>
        <w:tabs>
          <w:tab w:leader="none" w:pos="17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includes any obligation (whether incurred as principal or as surety) for the payment or repayment of money, whether present or future, actual or contingent;</w:t>
      </w:r>
    </w:p>
    <w:p>
      <w:pPr>
        <w:spacing w:after="0" w:line="60" w:lineRule="exact"/>
        <w:rPr>
          <w:rFonts w:ascii="Times New Roman" w:cs="Times New Roman" w:eastAsia="Times New Roman" w:hAnsi="Times New Roman"/>
          <w:sz w:val="18"/>
          <w:szCs w:val="18"/>
          <w:color w:val="auto"/>
        </w:rPr>
      </w:pPr>
    </w:p>
    <w:p>
      <w:pPr>
        <w:ind w:left="1740" w:right="80" w:hanging="543"/>
        <w:spacing w:after="0" w:line="286" w:lineRule="auto"/>
        <w:tabs>
          <w:tab w:leader="none" w:pos="17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individual, firm, company, corporation, government, state or agency of a state or any association, trust, joint venture, consortium, partnership or other entity (whether or not having separate legal personality);</w:t>
      </w:r>
    </w:p>
    <w:p>
      <w:pPr>
        <w:spacing w:after="0" w:line="60" w:lineRule="exact"/>
        <w:rPr>
          <w:rFonts w:ascii="Times New Roman" w:cs="Times New Roman" w:eastAsia="Times New Roman" w:hAnsi="Times New Roman"/>
          <w:sz w:val="18"/>
          <w:szCs w:val="18"/>
          <w:color w:val="auto"/>
        </w:rPr>
      </w:pPr>
    </w:p>
    <w:p>
      <w:pPr>
        <w:ind w:left="1740" w:right="200" w:hanging="543"/>
        <w:spacing w:after="0" w:line="262" w:lineRule="auto"/>
        <w:tabs>
          <w:tab w:leader="none" w:pos="17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 including, where applicable, those issued, promulgated or published by NDRC and/or any other governmental agency in the PRC;</w:t>
      </w:r>
    </w:p>
    <w:p>
      <w:pPr>
        <w:spacing w:after="0" w:line="85"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law is a reference to that provision as amended or re-enacted from time to time; and</w:t>
      </w:r>
    </w:p>
    <w:p>
      <w:pPr>
        <w:spacing w:after="0" w:line="126" w:lineRule="exact"/>
        <w:rPr>
          <w:rFonts w:ascii="Times New Roman" w:cs="Times New Roman" w:eastAsia="Times New Roman" w:hAnsi="Times New Roman"/>
          <w:sz w:val="18"/>
          <w:szCs w:val="18"/>
          <w:color w:val="auto"/>
        </w:rPr>
      </w:pPr>
    </w:p>
    <w:p>
      <w:pPr>
        <w:ind w:left="1740" w:right="100" w:hanging="543"/>
        <w:spacing w:after="0" w:line="259" w:lineRule="auto"/>
        <w:tabs>
          <w:tab w:leader="none" w:pos="17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agency</w:t>
      </w:r>
      <w:r>
        <w:rPr>
          <w:rFonts w:ascii="Times New Roman" w:cs="Times New Roman" w:eastAsia="Times New Roman" w:hAnsi="Times New Roman"/>
          <w:sz w:val="18"/>
          <w:szCs w:val="18"/>
          <w:color w:val="auto"/>
        </w:rPr>
        <w:t>” shall be construed so as to include any governmental, intergovernmental or supranational agency, authority, body, central bank, commission, department, ministry, organisation, statutory corporation or tribunal (including any political sub-division, national, regional or municipal government and any administrative, fiscal, judicial, regulatory or self-regulatory body or persons) including, where applicable, those issued, promulgated or published by NDRC and/or any other governmental agency in the PRC;</w:t>
      </w:r>
    </w:p>
    <w:p>
      <w:pPr>
        <w:spacing w:after="0" w:line="88"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of day is a reference to London time.</w:t>
      </w:r>
    </w:p>
    <w:p>
      <w:pPr>
        <w:spacing w:after="0" w:line="126" w:lineRule="exact"/>
        <w:rPr>
          <w:rFonts w:ascii="Times New Roman" w:cs="Times New Roman" w:eastAsia="Times New Roman" w:hAnsi="Times New Roman"/>
          <w:sz w:val="18"/>
          <w:szCs w:val="18"/>
          <w:color w:val="auto"/>
        </w:rPr>
      </w:pPr>
    </w:p>
    <w:p>
      <w:pPr>
        <w:ind w:left="1180" w:right="60" w:hanging="644"/>
        <w:spacing w:after="0" w:line="286" w:lineRule="auto"/>
        <w:tabs>
          <w:tab w:leader="none" w:pos="1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extent to which a rate is “</w:t>
      </w:r>
      <w:r>
        <w:rPr>
          <w:rFonts w:ascii="Times New Roman" w:cs="Times New Roman" w:eastAsia="Times New Roman" w:hAnsi="Times New Roman"/>
          <w:sz w:val="18"/>
          <w:szCs w:val="18"/>
          <w:b w:val="1"/>
          <w:bCs w:val="1"/>
          <w:color w:val="auto"/>
        </w:rPr>
        <w:t>for a period equal in length</w:t>
      </w:r>
      <w:r>
        <w:rPr>
          <w:rFonts w:ascii="Times New Roman" w:cs="Times New Roman" w:eastAsia="Times New Roman" w:hAnsi="Times New Roman"/>
          <w:sz w:val="18"/>
          <w:szCs w:val="18"/>
          <w:color w:val="auto"/>
        </w:rPr>
        <w:t>” to an Interest Period shall disregard any inconsistency arising from the last day of that Interest Period being determined pursuant to the terms of this Agreement.</w:t>
      </w:r>
    </w:p>
    <w:p>
      <w:pPr>
        <w:spacing w:after="0" w:line="64"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Clause and Schedule headings are for ease of reference only.</w:t>
      </w:r>
    </w:p>
    <w:p>
      <w:pPr>
        <w:spacing w:after="0" w:line="130" w:lineRule="exact"/>
        <w:rPr>
          <w:rFonts w:ascii="Times New Roman" w:cs="Times New Roman" w:eastAsia="Times New Roman" w:hAnsi="Times New Roman"/>
          <w:sz w:val="18"/>
          <w:szCs w:val="18"/>
          <w:color w:val="auto"/>
        </w:rPr>
      </w:pPr>
    </w:p>
    <w:p>
      <w:pPr>
        <w:ind w:left="1180" w:right="40" w:hanging="644"/>
        <w:spacing w:after="0" w:line="282" w:lineRule="auto"/>
        <w:tabs>
          <w:tab w:leader="none" w:pos="1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63" w:lineRule="exact"/>
        <w:rPr>
          <w:rFonts w:ascii="Times New Roman" w:cs="Times New Roman" w:eastAsia="Times New Roman" w:hAnsi="Times New Roman"/>
          <w:sz w:val="18"/>
          <w:szCs w:val="18"/>
          <w:color w:val="auto"/>
        </w:rPr>
      </w:pPr>
    </w:p>
    <w:p>
      <w:pPr>
        <w:ind w:left="1180" w:right="940" w:hanging="644"/>
        <w:spacing w:after="0" w:line="286" w:lineRule="auto"/>
        <w:tabs>
          <w:tab w:leader="none" w:pos="1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(other than an Event of Default) is “</w:t>
      </w:r>
      <w:r>
        <w:rPr>
          <w:rFonts w:ascii="Times New Roman" w:cs="Times New Roman" w:eastAsia="Times New Roman" w:hAnsi="Times New Roman"/>
          <w:sz w:val="18"/>
          <w:szCs w:val="18"/>
          <w:b w:val="1"/>
          <w:bCs w:val="1"/>
          <w:color w:val="auto"/>
        </w:rPr>
        <w:t>continuing</w:t>
      </w:r>
      <w:r>
        <w:rPr>
          <w:rFonts w:ascii="Times New Roman" w:cs="Times New Roman" w:eastAsia="Times New Roman" w:hAnsi="Times New Roman"/>
          <w:sz w:val="18"/>
          <w:szCs w:val="18"/>
          <w:color w:val="auto"/>
        </w:rPr>
        <w:t>” if it has not been remedied or waived and an Event of Default is “</w:t>
      </w:r>
      <w:r>
        <w:rPr>
          <w:rFonts w:ascii="Times New Roman" w:cs="Times New Roman" w:eastAsia="Times New Roman" w:hAnsi="Times New Roman"/>
          <w:sz w:val="18"/>
          <w:szCs w:val="18"/>
          <w:b w:val="1"/>
          <w:bCs w:val="1"/>
          <w:color w:val="auto"/>
        </w:rPr>
        <w:t>continuing</w:t>
      </w:r>
      <w:r>
        <w:rPr>
          <w:rFonts w:ascii="Times New Roman" w:cs="Times New Roman" w:eastAsia="Times New Roman" w:hAnsi="Times New Roman"/>
          <w:sz w:val="18"/>
          <w:szCs w:val="18"/>
          <w:color w:val="auto"/>
        </w:rPr>
        <w:t>” if it has not been remedied to all the Lenders’ satisfaction or waived.</w:t>
      </w:r>
    </w:p>
    <w:p>
      <w:pPr>
        <w:spacing w:after="0" w:line="64"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this Agreement to a Central Bank Rate shall include any successor rate to, or replacement rate for, that rate.</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66" w:right="439" w:bottom="1440" w:gutter="0" w:footer="0" w:header="0"/>
        </w:sectPr>
      </w:pPr>
    </w:p>
    <w:bookmarkStart w:id="47" w:name="page48"/>
    <w:bookmarkEnd w:id="47"/>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w:t>
      </w:r>
      <w:r>
        <w:rPr>
          <w:sz w:val="20"/>
          <w:szCs w:val="20"/>
          <w:color w:val="auto"/>
        </w:rPr>
        <w:tab/>
      </w:r>
      <w:r>
        <w:rPr>
          <w:rFonts w:ascii="Times New Roman" w:cs="Times New Roman" w:eastAsia="Times New Roman" w:hAnsi="Times New Roman"/>
          <w:sz w:val="17"/>
          <w:szCs w:val="17"/>
          <w:b w:val="1"/>
          <w:bCs w:val="1"/>
          <w:color w:val="auto"/>
        </w:rPr>
        <w:t>Currency symbols and definitions</w:t>
      </w:r>
    </w:p>
    <w:p>
      <w:pPr>
        <w:spacing w:after="0" w:line="117" w:lineRule="exact"/>
        <w:rPr>
          <w:sz w:val="20"/>
          <w:szCs w:val="20"/>
          <w:color w:val="auto"/>
        </w:rPr>
      </w:pPr>
    </w:p>
    <w:p>
      <w:pPr>
        <w:ind w:left="544"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United States Dollars</w:t>
      </w:r>
      <w:r>
        <w:rPr>
          <w:rFonts w:ascii="Times New Roman" w:cs="Times New Roman" w:eastAsia="Times New Roman" w:hAnsi="Times New Roman"/>
          <w:sz w:val="18"/>
          <w:szCs w:val="18"/>
          <w:color w:val="auto"/>
        </w:rPr>
        <w:t>” denote the lawful currency of the United States of America.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EUR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denote the single currency of the Participating Member States. “</w:t>
      </w:r>
      <w:r>
        <w:rPr>
          <w:rFonts w:ascii="Times New Roman" w:cs="Times New Roman" w:eastAsia="Times New Roman" w:hAnsi="Times New Roman"/>
          <w:sz w:val="18"/>
          <w:szCs w:val="18"/>
          <w:b w:val="1"/>
          <w:bCs w:val="1"/>
          <w:color w:val="auto"/>
        </w:rPr>
        <w:t>GBP</w:t>
      </w:r>
      <w:r>
        <w:rPr>
          <w:rFonts w:ascii="Times New Roman" w:cs="Times New Roman" w:eastAsia="Times New Roman" w:hAnsi="Times New Roman"/>
          <w:sz w:val="18"/>
          <w:szCs w:val="18"/>
          <w:color w:val="auto"/>
        </w:rPr>
        <w:t>” denotes the lawful currency of the United Kingdom.</w:t>
      </w:r>
    </w:p>
    <w:p>
      <w:pPr>
        <w:spacing w:after="0" w:line="6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Third party rights</w:t>
      </w:r>
    </w:p>
    <w:p>
      <w:pPr>
        <w:spacing w:after="0" w:line="135" w:lineRule="exact"/>
        <w:rPr>
          <w:sz w:val="20"/>
          <w:szCs w:val="20"/>
          <w:color w:val="auto"/>
        </w:rPr>
      </w:pPr>
    </w:p>
    <w:p>
      <w:pPr>
        <w:ind w:left="544" w:right="220" w:hanging="544"/>
        <w:spacing w:after="0" w:line="282" w:lineRule="auto"/>
        <w:tabs>
          <w:tab w:leader="none" w:pos="5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provided to the contrary in a Finance Document a person who is not a Party has no right under the Contracts (Rights of Third Parties) Act 1999 (the “</w:t>
      </w:r>
      <w:r>
        <w:rPr>
          <w:rFonts w:ascii="Times New Roman" w:cs="Times New Roman" w:eastAsia="Times New Roman" w:hAnsi="Times New Roman"/>
          <w:sz w:val="18"/>
          <w:szCs w:val="18"/>
          <w:b w:val="1"/>
          <w:bCs w:val="1"/>
          <w:color w:val="auto"/>
        </w:rPr>
        <w:t>Third Parties Act</w:t>
      </w:r>
      <w:r>
        <w:rPr>
          <w:rFonts w:ascii="Times New Roman" w:cs="Times New Roman" w:eastAsia="Times New Roman" w:hAnsi="Times New Roman"/>
          <w:sz w:val="18"/>
          <w:szCs w:val="18"/>
          <w:color w:val="auto"/>
        </w:rPr>
        <w:t>”) to enforce or to enjoy the benefit of any term of this Agreement.</w:t>
      </w:r>
    </w:p>
    <w:p>
      <w:pPr>
        <w:spacing w:after="0" w:line="65" w:lineRule="exact"/>
        <w:rPr>
          <w:rFonts w:ascii="Times New Roman" w:cs="Times New Roman" w:eastAsia="Times New Roman" w:hAnsi="Times New Roman"/>
          <w:sz w:val="18"/>
          <w:szCs w:val="18"/>
          <w:color w:val="auto"/>
        </w:rPr>
      </w:pPr>
    </w:p>
    <w:p>
      <w:pPr>
        <w:ind w:left="544" w:right="260" w:hanging="544"/>
        <w:spacing w:after="0" w:line="284" w:lineRule="auto"/>
        <w:tabs>
          <w:tab w:leader="none" w:pos="5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38.3 (</w:t>
      </w:r>
      <w:r>
        <w:rPr>
          <w:rFonts w:ascii="Times New Roman" w:cs="Times New Roman" w:eastAsia="Times New Roman" w:hAnsi="Times New Roman"/>
          <w:sz w:val="18"/>
          <w:szCs w:val="18"/>
          <w:i w:val="1"/>
          <w:iCs w:val="1"/>
          <w:color w:val="auto"/>
        </w:rPr>
        <w:t>Other exceptions</w:t>
      </w:r>
      <w:r>
        <w:rPr>
          <w:rFonts w:ascii="Times New Roman" w:cs="Times New Roman" w:eastAsia="Times New Roman" w:hAnsi="Times New Roman"/>
          <w:sz w:val="18"/>
          <w:szCs w:val="18"/>
          <w:color w:val="auto"/>
        </w:rPr>
        <w:t>) but otherwise notwithstanding any term of any Finance Document the consent of any person who is not a Party is not required to rescind or vary this Agreement at any time.</w:t>
      </w:r>
    </w:p>
    <w:p>
      <w:pPr>
        <w:spacing w:after="0" w:line="63" w:lineRule="exact"/>
        <w:rPr>
          <w:rFonts w:ascii="Times New Roman" w:cs="Times New Roman" w:eastAsia="Times New Roman" w:hAnsi="Times New Roman"/>
          <w:sz w:val="18"/>
          <w:szCs w:val="18"/>
          <w:color w:val="auto"/>
        </w:rPr>
      </w:pPr>
    </w:p>
    <w:p>
      <w:pPr>
        <w:ind w:left="544" w:right="160" w:hanging="544"/>
        <w:spacing w:after="0" w:line="284" w:lineRule="auto"/>
        <w:tabs>
          <w:tab w:leader="none" w:pos="5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Receiver, Delegate or any person described in paragraph (b) of Clause 28.11 (</w:t>
      </w:r>
      <w:r>
        <w:rPr>
          <w:rFonts w:ascii="Times New Roman" w:cs="Times New Roman" w:eastAsia="Times New Roman" w:hAnsi="Times New Roman"/>
          <w:sz w:val="18"/>
          <w:szCs w:val="18"/>
          <w:i w:val="1"/>
          <w:iCs w:val="1"/>
          <w:color w:val="auto"/>
        </w:rPr>
        <w:t>Exclusion of liability</w:t>
      </w:r>
      <w:r>
        <w:rPr>
          <w:rFonts w:ascii="Times New Roman" w:cs="Times New Roman" w:eastAsia="Times New Roman" w:hAnsi="Times New Roman"/>
          <w:sz w:val="18"/>
          <w:szCs w:val="18"/>
          <w:color w:val="auto"/>
        </w:rPr>
        <w:t>) may, subject to this Clause 1.4 and the Third Parties Act, rely on any Clause of this Agreement which expressly confers rights on it.</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Swedish terms</w:t>
      </w:r>
    </w:p>
    <w:p>
      <w:pPr>
        <w:spacing w:after="0" w:line="135" w:lineRule="exact"/>
        <w:rPr>
          <w:sz w:val="20"/>
          <w:szCs w:val="20"/>
          <w:color w:val="auto"/>
        </w:rPr>
      </w:pPr>
    </w:p>
    <w:p>
      <w:pPr>
        <w:ind w:left="544" w:right="540" w:hanging="544"/>
        <w:spacing w:after="0" w:line="282" w:lineRule="auto"/>
        <w:tabs>
          <w:tab w:leader="none" w:pos="54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by novation in accordance with the Finance Documents, shall, as regards obligations owed by a company incorporated under Swedish law, be deemed to take effect as an assignment and assumption or transfer of such rights, benefits and obligations.</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where it relates to a Swedish entity, a reference to:</w:t>
      </w:r>
    </w:p>
    <w:p>
      <w:pPr>
        <w:spacing w:after="0" w:line="128"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composition or arrangement with any creditor includes (A) any write-down of debt (Sw. </w:t>
      </w:r>
      <w:r>
        <w:rPr>
          <w:rFonts w:ascii="Times New Roman" w:cs="Times New Roman" w:eastAsia="Times New Roman" w:hAnsi="Times New Roman"/>
          <w:sz w:val="18"/>
          <w:szCs w:val="18"/>
          <w:i w:val="1"/>
          <w:iCs w:val="1"/>
          <w:color w:val="auto"/>
        </w:rPr>
        <w:t>skulduppgörelse</w:t>
      </w:r>
      <w:r>
        <w:rPr>
          <w:rFonts w:ascii="Times New Roman" w:cs="Times New Roman" w:eastAsia="Times New Roman" w:hAnsi="Times New Roman"/>
          <w:sz w:val="18"/>
          <w:szCs w:val="18"/>
          <w:color w:val="auto"/>
        </w:rPr>
        <w:t xml:space="preserve">) following from any procedure of business reorganisation (Sw. </w:t>
      </w:r>
      <w:r>
        <w:rPr>
          <w:rFonts w:ascii="Times New Roman" w:cs="Times New Roman" w:eastAsia="Times New Roman" w:hAnsi="Times New Roman"/>
          <w:sz w:val="18"/>
          <w:szCs w:val="18"/>
          <w:i w:val="1"/>
          <w:iCs w:val="1"/>
          <w:color w:val="auto"/>
        </w:rPr>
        <w:t>företagsrekonstruktion</w:t>
      </w:r>
      <w:r>
        <w:rPr>
          <w:rFonts w:ascii="Times New Roman" w:cs="Times New Roman" w:eastAsia="Times New Roman" w:hAnsi="Times New Roman"/>
          <w:sz w:val="18"/>
          <w:szCs w:val="18"/>
          <w:color w:val="auto"/>
        </w:rPr>
        <w:t xml:space="preserve">) under the Swedish Act on Business Reorganisation (Sw. </w:t>
      </w:r>
      <w:r>
        <w:rPr>
          <w:rFonts w:ascii="Times New Roman" w:cs="Times New Roman" w:eastAsia="Times New Roman" w:hAnsi="Times New Roman"/>
          <w:sz w:val="18"/>
          <w:szCs w:val="18"/>
          <w:i w:val="1"/>
          <w:iCs w:val="1"/>
          <w:color w:val="auto"/>
        </w:rPr>
        <w:t>Lag 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företagsrekonstruktion (2022:964)</w:t>
      </w:r>
      <w:r>
        <w:rPr>
          <w:rFonts w:ascii="Times New Roman" w:cs="Times New Roman" w:eastAsia="Times New Roman" w:hAnsi="Times New Roman"/>
          <w:sz w:val="18"/>
          <w:szCs w:val="18"/>
          <w:color w:val="auto"/>
        </w:rPr>
        <w:t>), or (B) any write-down of debt in bankruptcy (Sw. ackcord</w:t>
      </w:r>
      <w:r>
        <w:rPr>
          <w:rFonts w:ascii="Times New Roman" w:cs="Times New Roman" w:eastAsia="Times New Roman" w:hAnsi="Times New Roman"/>
          <w:sz w:val="18"/>
          <w:szCs w:val="18"/>
          <w:i w:val="1"/>
          <w:iCs w:val="1"/>
          <w:color w:val="auto"/>
        </w:rPr>
        <w:t xml:space="preserve"> i konkurs</w:t>
      </w:r>
      <w:r>
        <w:rPr>
          <w:rFonts w:ascii="Times New Roman" w:cs="Times New Roman" w:eastAsia="Times New Roman" w:hAnsi="Times New Roman"/>
          <w:sz w:val="18"/>
          <w:szCs w:val="18"/>
          <w:color w:val="auto"/>
        </w:rPr>
        <w:t>) under the Swedish Insolvency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Act (Sw. </w:t>
      </w:r>
      <w:r>
        <w:rPr>
          <w:rFonts w:ascii="Times New Roman" w:cs="Times New Roman" w:eastAsia="Times New Roman" w:hAnsi="Times New Roman"/>
          <w:sz w:val="18"/>
          <w:szCs w:val="18"/>
          <w:i w:val="1"/>
          <w:iCs w:val="1"/>
          <w:color w:val="auto"/>
        </w:rPr>
        <w:t>Konkurslag (1987:672)</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184" w:right="20" w:hanging="644"/>
        <w:spacing w:after="0" w:line="261" w:lineRule="auto"/>
        <w:tabs>
          <w:tab w:leader="none" w:pos="118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compulsory manager, administrative receiver or administrator includes (A) a business reorganisation administrator (Sw. </w:t>
      </w:r>
      <w:r>
        <w:rPr>
          <w:rFonts w:ascii="Times New Roman" w:cs="Times New Roman" w:eastAsia="Times New Roman" w:hAnsi="Times New Roman"/>
          <w:sz w:val="18"/>
          <w:szCs w:val="18"/>
          <w:i w:val="1"/>
          <w:iCs w:val="1"/>
          <w:color w:val="auto"/>
        </w:rPr>
        <w:t>rekonstruktör</w:t>
      </w:r>
      <w:r>
        <w:rPr>
          <w:rFonts w:ascii="Times New Roman" w:cs="Times New Roman" w:eastAsia="Times New Roman" w:hAnsi="Times New Roman"/>
          <w:sz w:val="18"/>
          <w:szCs w:val="18"/>
          <w:color w:val="auto"/>
        </w:rPr>
        <w:t xml:space="preserve">) under the Swedish Act on business reorganisation, (B) a bankruptcy administrator (Sw. </w:t>
      </w:r>
      <w:r>
        <w:rPr>
          <w:rFonts w:ascii="Times New Roman" w:cs="Times New Roman" w:eastAsia="Times New Roman" w:hAnsi="Times New Roman"/>
          <w:sz w:val="18"/>
          <w:szCs w:val="18"/>
          <w:i w:val="1"/>
          <w:iCs w:val="1"/>
          <w:color w:val="auto"/>
        </w:rPr>
        <w:t>konkursförvaltare</w:t>
      </w:r>
      <w:r>
        <w:rPr>
          <w:rFonts w:ascii="Times New Roman" w:cs="Times New Roman" w:eastAsia="Times New Roman" w:hAnsi="Times New Roman"/>
          <w:sz w:val="18"/>
          <w:szCs w:val="18"/>
          <w:color w:val="auto"/>
        </w:rPr>
        <w:t xml:space="preserve">) under the Swedish Insolvency Act, or (C) liquidator (Sw. </w:t>
      </w:r>
      <w:r>
        <w:rPr>
          <w:rFonts w:ascii="Times New Roman" w:cs="Times New Roman" w:eastAsia="Times New Roman" w:hAnsi="Times New Roman"/>
          <w:sz w:val="18"/>
          <w:szCs w:val="18"/>
          <w:i w:val="1"/>
          <w:iCs w:val="1"/>
          <w:color w:val="auto"/>
        </w:rPr>
        <w:t>likvidator</w:t>
      </w:r>
      <w:r>
        <w:rPr>
          <w:rFonts w:ascii="Times New Roman" w:cs="Times New Roman" w:eastAsia="Times New Roman" w:hAnsi="Times New Roman"/>
          <w:sz w:val="18"/>
          <w:szCs w:val="18"/>
          <w:color w:val="auto"/>
        </w:rPr>
        <w:t xml:space="preserve">) under the Swedish Companies Act (Sw. </w:t>
      </w:r>
      <w:r>
        <w:rPr>
          <w:rFonts w:ascii="Times New Roman" w:cs="Times New Roman" w:eastAsia="Times New Roman" w:hAnsi="Times New Roman"/>
          <w:sz w:val="18"/>
          <w:szCs w:val="18"/>
          <w:i w:val="1"/>
          <w:iCs w:val="1"/>
          <w:color w:val="auto"/>
        </w:rPr>
        <w:t>Aktiebolagslagen (2005:551)</w:t>
      </w:r>
      <w:r>
        <w:rPr>
          <w:rFonts w:ascii="Times New Roman" w:cs="Times New Roman" w:eastAsia="Times New Roman" w:hAnsi="Times New Roman"/>
          <w:sz w:val="18"/>
          <w:szCs w:val="18"/>
          <w:color w:val="auto"/>
        </w:rPr>
        <w:t xml:space="preserve"> (the”</w:t>
      </w:r>
      <w:r>
        <w:rPr>
          <w:rFonts w:ascii="Times New Roman" w:cs="Times New Roman" w:eastAsia="Times New Roman" w:hAnsi="Times New Roman"/>
          <w:sz w:val="18"/>
          <w:szCs w:val="18"/>
          <w:b w:val="1"/>
          <w:bCs w:val="1"/>
          <w:color w:val="auto"/>
        </w:rPr>
        <w:t>Swedish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merger includes any merger (Sw. </w:t>
      </w:r>
      <w:r>
        <w:rPr>
          <w:rFonts w:ascii="Times New Roman" w:cs="Times New Roman" w:eastAsia="Times New Roman" w:hAnsi="Times New Roman"/>
          <w:sz w:val="18"/>
          <w:szCs w:val="18"/>
          <w:i w:val="1"/>
          <w:iCs w:val="1"/>
          <w:color w:val="auto"/>
        </w:rPr>
        <w:t>fusion</w:t>
      </w:r>
      <w:r>
        <w:rPr>
          <w:rFonts w:ascii="Times New Roman" w:cs="Times New Roman" w:eastAsia="Times New Roman" w:hAnsi="Times New Roman"/>
          <w:sz w:val="18"/>
          <w:szCs w:val="18"/>
          <w:color w:val="auto"/>
        </w:rPr>
        <w:t>) implemented in accordance with Chapter 23 of the Swedish Companies Act; and</w:t>
      </w:r>
    </w:p>
    <w:p>
      <w:pPr>
        <w:spacing w:after="0" w:line="130" w:lineRule="exact"/>
        <w:rPr>
          <w:rFonts w:ascii="Times New Roman" w:cs="Times New Roman" w:eastAsia="Times New Roman" w:hAnsi="Times New Roman"/>
          <w:sz w:val="18"/>
          <w:szCs w:val="18"/>
          <w:color w:val="auto"/>
        </w:rPr>
      </w:pPr>
    </w:p>
    <w:p>
      <w:pPr>
        <w:ind w:left="1184" w:right="500" w:hanging="644"/>
        <w:spacing w:after="0" w:line="284" w:lineRule="auto"/>
        <w:tabs>
          <w:tab w:leader="none" w:pos="118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winding up, administration or dissolution includes voluntary liquidation (Sw. </w:t>
      </w:r>
      <w:r>
        <w:rPr>
          <w:rFonts w:ascii="Times New Roman" w:cs="Times New Roman" w:eastAsia="Times New Roman" w:hAnsi="Times New Roman"/>
          <w:sz w:val="18"/>
          <w:szCs w:val="18"/>
          <w:i w:val="1"/>
          <w:iCs w:val="1"/>
          <w:color w:val="auto"/>
        </w:rPr>
        <w:t>frivillig likvidation</w:t>
      </w:r>
      <w:r>
        <w:rPr>
          <w:rFonts w:ascii="Times New Roman" w:cs="Times New Roman" w:eastAsia="Times New Roman" w:hAnsi="Times New Roman"/>
          <w:sz w:val="18"/>
          <w:szCs w:val="18"/>
          <w:color w:val="auto"/>
        </w:rPr>
        <w:t xml:space="preserve">) or mandatory liquidation (Sw. </w:t>
      </w:r>
      <w:r>
        <w:rPr>
          <w:rFonts w:ascii="Times New Roman" w:cs="Times New Roman" w:eastAsia="Times New Roman" w:hAnsi="Times New Roman"/>
          <w:sz w:val="18"/>
          <w:szCs w:val="18"/>
          <w:i w:val="1"/>
          <w:iCs w:val="1"/>
          <w:color w:val="auto"/>
        </w:rPr>
        <w:t>tvångslikvidation</w:t>
      </w:r>
      <w:r>
        <w:rPr>
          <w:rFonts w:ascii="Times New Roman" w:cs="Times New Roman" w:eastAsia="Times New Roman" w:hAnsi="Times New Roman"/>
          <w:sz w:val="18"/>
          <w:szCs w:val="18"/>
          <w:color w:val="auto"/>
        </w:rPr>
        <w:t>) under Chapter 25 of the Swedish Companies Act.</w:t>
      </w:r>
    </w:p>
    <w:p>
      <w:pPr>
        <w:spacing w:after="0" w:line="48" w:lineRule="exact"/>
        <w:rPr>
          <w:sz w:val="20"/>
          <w:szCs w:val="20"/>
          <w:color w:val="auto"/>
        </w:rPr>
      </w:pPr>
    </w:p>
    <w:p>
      <w:pPr>
        <w:ind w:left="544" w:right="340"/>
        <w:spacing w:after="0" w:line="286" w:lineRule="auto"/>
        <w:rPr>
          <w:sz w:val="20"/>
          <w:szCs w:val="20"/>
          <w:color w:val="auto"/>
        </w:rPr>
      </w:pPr>
      <w:r>
        <w:rPr>
          <w:rFonts w:ascii="Times New Roman" w:cs="Times New Roman" w:eastAsia="Times New Roman" w:hAnsi="Times New Roman"/>
          <w:sz w:val="18"/>
          <w:szCs w:val="18"/>
          <w:color w:val="auto"/>
        </w:rPr>
        <w:t>If any party to this Agreement that is incorporated in or established under the laws of Sweden (the ”</w:t>
      </w:r>
      <w:r>
        <w:rPr>
          <w:rFonts w:ascii="Times New Roman" w:cs="Times New Roman" w:eastAsia="Times New Roman" w:hAnsi="Times New Roman"/>
          <w:sz w:val="18"/>
          <w:szCs w:val="18"/>
          <w:b w:val="1"/>
          <w:bCs w:val="1"/>
          <w:color w:val="auto"/>
        </w:rPr>
        <w:t>Obligated Party</w:t>
      </w:r>
      <w:r>
        <w:rPr>
          <w:rFonts w:ascii="Times New Roman" w:cs="Times New Roman" w:eastAsia="Times New Roman" w:hAnsi="Times New Roman"/>
          <w:sz w:val="18"/>
          <w:szCs w:val="18"/>
          <w:color w:val="auto"/>
        </w:rPr>
        <w:t>”) is required to hold an amount on trust on behalf of another party, the Obligated Party shall hold such money as agent for such other party on a separate account.</w:t>
      </w:r>
    </w:p>
    <w:p>
      <w:pPr>
        <w:spacing w:after="0" w:line="91"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4"/>
          </w:cols>
          <w:pgMar w:left="436" w:top="266" w:right="439" w:bottom="1440" w:gutter="0" w:footer="0" w:header="0"/>
        </w:sectPr>
      </w:pPr>
    </w:p>
    <w:bookmarkStart w:id="48" w:name="page49"/>
    <w:bookmarkEnd w:id="4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FACILITIES</w:t>
      </w:r>
    </w:p>
    <w:p>
      <w:pPr>
        <w:spacing w:after="0" w:line="252" w:lineRule="exact"/>
        <w:rPr>
          <w:sz w:val="20"/>
          <w:szCs w:val="20"/>
          <w:color w:val="auto"/>
        </w:rPr>
      </w:pPr>
    </w:p>
    <w:p>
      <w:pPr>
        <w:ind w:left="4" w:right="9040" w:hanging="4"/>
        <w:spacing w:after="0" w:line="408" w:lineRule="auto"/>
        <w:tabs>
          <w:tab w:leader="none" w:pos="544"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FACILITIES 2.1 The Facilities</w:t>
      </w:r>
    </w:p>
    <w:p>
      <w:pPr>
        <w:ind w:left="5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Subject to the terms of this Agreement:</w:t>
      </w:r>
    </w:p>
    <w:p>
      <w:pPr>
        <w:spacing w:after="0" w:line="130" w:lineRule="exact"/>
        <w:rPr>
          <w:rFonts w:ascii="Times New Roman" w:cs="Times New Roman" w:eastAsia="Times New Roman" w:hAnsi="Times New Roman"/>
          <w:sz w:val="17"/>
          <w:szCs w:val="17"/>
          <w:b w:val="1"/>
          <w:bCs w:val="1"/>
          <w:color w:val="auto"/>
        </w:rPr>
      </w:pPr>
    </w:p>
    <w:p>
      <w:pPr>
        <w:ind w:left="1184" w:right="180" w:hanging="644"/>
        <w:spacing w:after="0" w:line="282" w:lineRule="auto"/>
        <w:tabs>
          <w:tab w:leader="none" w:pos="118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(Facility A) make available to the Borrower a term loan facility in EUR in an aggregate amount equal to the Total Facility A Commitments.</w:t>
      </w:r>
    </w:p>
    <w:p>
      <w:pPr>
        <w:spacing w:after="0" w:line="67"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(Facility B) make available to the Borrower a term loan facility in USD in an aggregate amount equal to the Total Facility B Commitments.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Finance Parties’ rights and obligations</w:t>
      </w:r>
    </w:p>
    <w:p>
      <w:pPr>
        <w:spacing w:after="0" w:line="135" w:lineRule="exact"/>
        <w:rPr>
          <w:sz w:val="20"/>
          <w:szCs w:val="20"/>
          <w:color w:val="auto"/>
        </w:rPr>
      </w:pPr>
    </w:p>
    <w:p>
      <w:pPr>
        <w:ind w:left="544" w:right="160" w:hanging="544"/>
        <w:spacing w:after="0" w:line="266" w:lineRule="auto"/>
        <w:tabs>
          <w:tab w:leader="none" w:pos="5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81" w:lineRule="exact"/>
        <w:rPr>
          <w:rFonts w:ascii="Times New Roman" w:cs="Times New Roman" w:eastAsia="Times New Roman" w:hAnsi="Times New Roman"/>
          <w:sz w:val="18"/>
          <w:szCs w:val="18"/>
          <w:color w:val="auto"/>
        </w:rPr>
      </w:pPr>
    </w:p>
    <w:p>
      <w:pPr>
        <w:ind w:left="544" w:right="60" w:hanging="544"/>
        <w:spacing w:after="0" w:line="274" w:lineRule="auto"/>
        <w:tabs>
          <w:tab w:leader="none" w:pos="54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each Finance Party under or in connection with the Finance Documents are separate and independent rights and any debt arising under the Finance Documents to a Finance Party from an Obligor or the Keepwell Provider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or the Keepwell Provider which relates to a Finance Party’s participation in any Facility or its role under a Finance Document (including any such amount payable to the Agent on its behalf) is a debt owing to that Finance Party by that Obligor or the Keepwell Provider.</w:t>
      </w:r>
    </w:p>
    <w:p>
      <w:pPr>
        <w:spacing w:after="0" w:line="78" w:lineRule="exact"/>
        <w:rPr>
          <w:rFonts w:ascii="Times New Roman" w:cs="Times New Roman" w:eastAsia="Times New Roman" w:hAnsi="Times New Roman"/>
          <w:sz w:val="17"/>
          <w:szCs w:val="17"/>
          <w:color w:val="auto"/>
        </w:rPr>
      </w:pPr>
    </w:p>
    <w:p>
      <w:pPr>
        <w:ind w:left="544" w:right="360" w:hanging="544"/>
        <w:spacing w:after="0" w:line="282" w:lineRule="auto"/>
        <w:tabs>
          <w:tab w:leader="none" w:pos="5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may, except as specifically provided in the Finance Documents, separately enforce its rights under or in connection with the Finance Documents.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Obligors’ Agent</w:t>
      </w:r>
    </w:p>
    <w:p>
      <w:pPr>
        <w:spacing w:after="0" w:line="135" w:lineRule="exact"/>
        <w:rPr>
          <w:sz w:val="20"/>
          <w:szCs w:val="20"/>
          <w:color w:val="auto"/>
        </w:rPr>
      </w:pPr>
    </w:p>
    <w:p>
      <w:pPr>
        <w:ind w:left="544" w:right="520" w:hanging="544"/>
        <w:spacing w:after="0" w:line="282" w:lineRule="auto"/>
        <w:tabs>
          <w:tab w:leader="none" w:pos="5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(other than the Borrower) by its execution of this Agreement irrevocably appoints the Borrower (acting through one or more authorised signatories) to act on its behalf as its agent in relation to the Finance Documents and irrevocably authorises:</w:t>
      </w:r>
    </w:p>
    <w:p>
      <w:pPr>
        <w:spacing w:after="0" w:line="67"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on its behalf to supply all information concerning itself contemplated by this Agreement to the Finance Parties and to give all notices and instructions, to make such agreements and to effect the relevant amendments, supplements and variations capable of being given, made or effected by any Obligor notwithstanding that they may affect the Obligor, without further reference to or the consent of that Obligor; and</w:t>
      </w:r>
    </w:p>
    <w:p>
      <w:pPr>
        <w:spacing w:after="0" w:line="85" w:lineRule="exact"/>
        <w:rPr>
          <w:rFonts w:ascii="Times New Roman" w:cs="Times New Roman" w:eastAsia="Times New Roman" w:hAnsi="Times New Roman"/>
          <w:sz w:val="18"/>
          <w:szCs w:val="18"/>
          <w:color w:val="auto"/>
        </w:rPr>
      </w:pPr>
    </w:p>
    <w:p>
      <w:pPr>
        <w:ind w:left="1184" w:right="560" w:hanging="644"/>
        <w:spacing w:after="0" w:line="282" w:lineRule="auto"/>
        <w:tabs>
          <w:tab w:leader="none" w:pos="11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to give any notice, demand or other communication to that Obligor pursuant to the Finance Documents to the Borrower,</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66" w:right="439" w:bottom="1440" w:gutter="0" w:footer="0" w:header="0"/>
        </w:sectPr>
      </w:pPr>
    </w:p>
    <w:bookmarkStart w:id="49" w:name="page50"/>
    <w:bookmarkEnd w:id="49"/>
    <w:p>
      <w:pPr>
        <w:ind w:left="544" w:right="7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in each case the Obligor shall be bound as though the Obligor itself had given the notices and instructions or executed or made the agreements or effected the amendments, supplements or variations, or received the relevant notice, demand or other communication.</w:t>
      </w:r>
    </w:p>
    <w:p>
      <w:pPr>
        <w:spacing w:after="0" w:line="67" w:lineRule="exact"/>
        <w:rPr>
          <w:sz w:val="20"/>
          <w:szCs w:val="20"/>
          <w:color w:val="auto"/>
        </w:rPr>
      </w:pPr>
    </w:p>
    <w:p>
      <w:pPr>
        <w:ind w:left="544" w:right="60" w:hanging="544"/>
        <w:spacing w:after="0" w:line="256" w:lineRule="auto"/>
        <w:tabs>
          <w:tab w:leader="none" w:pos="5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act, omission, agreement, undertaking, settlement, waiver, amendment, supplement, variation, notice or other communication given or made by the Obligors’ Agent or given to the Obligors’ Agent under any Finance Document on behalf of another Obligor or in connection with any Finance Document (whether or not known to any other Obligor and whether occurring before or after such other Obligor became an Obligor under any Finance Document) shall be binding for all purposes on that Obligor as if that Obligor had expressly made, given or concurred with it. In the event of any conflict between any notices or other communications of the Obligors’ Agent and any other Obligor, those of the Obligors’ Agent shall prevail.</w:t>
      </w:r>
    </w:p>
    <w:p>
      <w:pPr>
        <w:spacing w:after="0" w:line="332" w:lineRule="exact"/>
        <w:rPr>
          <w:sz w:val="20"/>
          <w:szCs w:val="20"/>
          <w:color w:val="auto"/>
        </w:rPr>
      </w:pPr>
    </w:p>
    <w:p>
      <w:pPr>
        <w:ind w:left="544" w:hanging="544"/>
        <w:spacing w:after="0"/>
        <w:tabs>
          <w:tab w:leader="none" w:pos="544"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30"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    Purpose</w:t>
      </w:r>
    </w:p>
    <w:p>
      <w:pPr>
        <w:spacing w:after="0" w:line="119"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amounts borrowed by the Borrower under any Facility shall be applied as per Clause 43.2 (</w:t>
      </w:r>
      <w:r>
        <w:rPr>
          <w:rFonts w:ascii="Times New Roman" w:cs="Times New Roman" w:eastAsia="Times New Roman" w:hAnsi="Times New Roman"/>
          <w:sz w:val="18"/>
          <w:szCs w:val="18"/>
          <w:i w:val="1"/>
          <w:iCs w:val="1"/>
          <w:color w:val="auto"/>
        </w:rPr>
        <w:t>Green Loan – Purpose</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Monitoring</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No Finance Party is bound to monitor or verify the application of any amount borrowed pursuant to this Agreement.</w:t>
      </w:r>
    </w:p>
    <w:p>
      <w:pPr>
        <w:spacing w:after="0" w:line="370" w:lineRule="exact"/>
        <w:rPr>
          <w:sz w:val="20"/>
          <w:szCs w:val="20"/>
          <w:color w:val="auto"/>
        </w:rPr>
      </w:pPr>
    </w:p>
    <w:p>
      <w:pPr>
        <w:ind w:left="4" w:right="7800" w:hanging="4"/>
        <w:spacing w:after="0" w:line="416" w:lineRule="auto"/>
        <w:tabs>
          <w:tab w:leader="none" w:pos="544"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CONDITIONS OF UTILISATION 4.1 Initial conditions precedent</w:t>
      </w:r>
    </w:p>
    <w:p>
      <w:pPr>
        <w:spacing w:after="0" w:line="1" w:lineRule="exact"/>
        <w:rPr>
          <w:sz w:val="20"/>
          <w:szCs w:val="20"/>
          <w:color w:val="auto"/>
        </w:rPr>
      </w:pPr>
    </w:p>
    <w:p>
      <w:pPr>
        <w:ind w:left="544" w:right="180" w:hanging="544"/>
        <w:spacing w:after="0" w:line="266" w:lineRule="auto"/>
        <w:tabs>
          <w:tab w:leader="none" w:pos="5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deliver a Utilisation Request unless the Agent has received all of the documents and other evidence listed in Schedule 2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in form and substance satisfactory to the Agent. The Agent shall notify the Company and the Lenders promptly upon being so satisfied.</w:t>
      </w:r>
    </w:p>
    <w:p>
      <w:pPr>
        <w:spacing w:after="0" w:line="81" w:lineRule="exact"/>
        <w:rPr>
          <w:rFonts w:ascii="Times New Roman" w:cs="Times New Roman" w:eastAsia="Times New Roman" w:hAnsi="Times New Roman"/>
          <w:sz w:val="18"/>
          <w:szCs w:val="18"/>
          <w:color w:val="auto"/>
        </w:rPr>
      </w:pPr>
    </w:p>
    <w:p>
      <w:pPr>
        <w:ind w:left="544" w:right="20" w:hanging="544"/>
        <w:spacing w:after="0" w:line="266" w:lineRule="auto"/>
        <w:tabs>
          <w:tab w:leader="none" w:pos="5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Further conditions precedent</w:t>
      </w:r>
    </w:p>
    <w:p>
      <w:pPr>
        <w:spacing w:after="0" w:line="119" w:lineRule="exact"/>
        <w:rPr>
          <w:sz w:val="20"/>
          <w:szCs w:val="20"/>
          <w:color w:val="auto"/>
        </w:rPr>
      </w:pPr>
    </w:p>
    <w:p>
      <w:pPr>
        <w:ind w:left="544" w:right="680"/>
        <w:spacing w:after="0" w:line="284" w:lineRule="auto"/>
        <w:rPr>
          <w:sz w:val="20"/>
          <w:szCs w:val="20"/>
          <w:color w:val="auto"/>
        </w:rPr>
      </w:pPr>
      <w:r>
        <w:rPr>
          <w:rFonts w:ascii="Times New Roman" w:cs="Times New Roman" w:eastAsia="Times New Roman" w:hAnsi="Times New Roman"/>
          <w:sz w:val="18"/>
          <w:szCs w:val="18"/>
          <w:color w:val="auto"/>
        </w:rPr>
        <w:t>The Lenders will only be obliged to comply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 if on the date of the Utilisation Request and on the proposed Utilisation Date:</w:t>
      </w:r>
    </w:p>
    <w:p>
      <w:pPr>
        <w:spacing w:after="0" w:line="66" w:lineRule="exact"/>
        <w:rPr>
          <w:sz w:val="20"/>
          <w:szCs w:val="20"/>
          <w:color w:val="auto"/>
        </w:rPr>
      </w:pPr>
    </w:p>
    <w:p>
      <w:pPr>
        <w:ind w:left="1184" w:hanging="644"/>
        <w:spacing w:after="0"/>
        <w:tabs>
          <w:tab w:leader="none" w:pos="11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is continuing or would result from the proposed Loan; and</w:t>
      </w:r>
    </w:p>
    <w:p>
      <w:pPr>
        <w:spacing w:after="0" w:line="130" w:lineRule="exact"/>
        <w:rPr>
          <w:rFonts w:ascii="Times New Roman" w:cs="Times New Roman" w:eastAsia="Times New Roman" w:hAnsi="Times New Roman"/>
          <w:sz w:val="18"/>
          <w:szCs w:val="18"/>
          <w:color w:val="auto"/>
        </w:rPr>
      </w:pPr>
    </w:p>
    <w:p>
      <w:pPr>
        <w:ind w:left="1184" w:right="400" w:hanging="644"/>
        <w:spacing w:after="0" w:line="282" w:lineRule="auto"/>
        <w:tabs>
          <w:tab w:leader="none" w:pos="11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Repeating Representations and any other representations expressed to repeat on such date in any other Finance Document to be made by each Obligor and the Keepwell Provider are true in all material respects.</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4"/>
          </w:cols>
          <w:pgMar w:left="436" w:top="270" w:right="439" w:bottom="1440" w:gutter="0" w:footer="0" w:header="0"/>
        </w:sectPr>
      </w:pPr>
    </w:p>
    <w:bookmarkStart w:id="50" w:name="page51"/>
    <w:bookmarkEnd w:id="50"/>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4.3</w:t>
      </w:r>
      <w:r>
        <w:rPr>
          <w:sz w:val="20"/>
          <w:szCs w:val="20"/>
          <w:color w:val="auto"/>
        </w:rPr>
        <w:tab/>
      </w:r>
      <w:r>
        <w:rPr>
          <w:rFonts w:ascii="Times New Roman" w:cs="Times New Roman" w:eastAsia="Times New Roman" w:hAnsi="Times New Roman"/>
          <w:sz w:val="17"/>
          <w:szCs w:val="17"/>
          <w:b w:val="1"/>
          <w:bCs w:val="1"/>
          <w:color w:val="auto"/>
        </w:rPr>
        <w:t>Maximum number of Loans</w:t>
      </w:r>
    </w:p>
    <w:p>
      <w:pPr>
        <w:spacing w:after="0" w:line="135" w:lineRule="exact"/>
        <w:rPr>
          <w:sz w:val="20"/>
          <w:szCs w:val="20"/>
          <w:color w:val="auto"/>
        </w:rPr>
      </w:pPr>
    </w:p>
    <w:p>
      <w:pPr>
        <w:ind w:left="544" w:right="340" w:hanging="544"/>
        <w:spacing w:after="0" w:line="282" w:lineRule="auto"/>
        <w:tabs>
          <w:tab w:leader="none" w:pos="5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deliver a Utilisation Request if as a result of the proposed Utilisation more than three (3) Loans (Facility A) would be outstanding.</w:t>
      </w:r>
    </w:p>
    <w:p>
      <w:pPr>
        <w:spacing w:after="0" w:line="67" w:lineRule="exact"/>
        <w:rPr>
          <w:rFonts w:ascii="Times New Roman" w:cs="Times New Roman" w:eastAsia="Times New Roman" w:hAnsi="Times New Roman"/>
          <w:sz w:val="18"/>
          <w:szCs w:val="18"/>
          <w:color w:val="auto"/>
        </w:rPr>
      </w:pPr>
    </w:p>
    <w:p>
      <w:pPr>
        <w:ind w:left="544" w:right="360" w:hanging="544"/>
        <w:spacing w:after="0" w:line="282" w:lineRule="auto"/>
        <w:tabs>
          <w:tab w:leader="none" w:pos="5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deliver a Utilisation Request if as a result of the proposed Utilisation more than three (3) Loans (Facility B) would be outstanding.</w:t>
      </w:r>
    </w:p>
    <w:p>
      <w:pPr>
        <w:spacing w:after="0" w:line="67" w:lineRule="exact"/>
        <w:rPr>
          <w:rFonts w:ascii="Times New Roman" w:cs="Times New Roman" w:eastAsia="Times New Roman" w:hAnsi="Times New Roman"/>
          <w:sz w:val="18"/>
          <w:szCs w:val="18"/>
          <w:color w:val="auto"/>
        </w:rPr>
      </w:pPr>
    </w:p>
    <w:p>
      <w:pPr>
        <w:ind w:left="544" w:right="320" w:hanging="544"/>
        <w:spacing w:after="0" w:line="282" w:lineRule="auto"/>
        <w:tabs>
          <w:tab w:leader="none" w:pos="5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request that a Loan be divided if, as a result of the proposed division, more than three (3) Loans (Facility A) would be outstanding.</w:t>
      </w:r>
    </w:p>
    <w:p>
      <w:pPr>
        <w:spacing w:after="0" w:line="67" w:lineRule="exact"/>
        <w:rPr>
          <w:rFonts w:ascii="Times New Roman" w:cs="Times New Roman" w:eastAsia="Times New Roman" w:hAnsi="Times New Roman"/>
          <w:sz w:val="18"/>
          <w:szCs w:val="18"/>
          <w:color w:val="auto"/>
        </w:rPr>
      </w:pPr>
    </w:p>
    <w:p>
      <w:pPr>
        <w:ind w:left="544" w:right="320" w:hanging="544"/>
        <w:spacing w:after="0" w:line="282" w:lineRule="auto"/>
        <w:tabs>
          <w:tab w:leader="none" w:pos="5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request that a Loan be divided if, as a result of the proposed division, more than three (3) Loans (Facility B) would be outstanding.</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4"/>
          </w:cols>
          <w:pgMar w:left="436" w:top="266" w:right="439" w:bottom="1440" w:gutter="0" w:footer="0" w:header="0"/>
        </w:sectPr>
      </w:pPr>
    </w:p>
    <w:bookmarkStart w:id="51" w:name="page52"/>
    <w:bookmarkEnd w:id="5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UTILISATION</w:t>
      </w:r>
    </w:p>
    <w:p>
      <w:pPr>
        <w:spacing w:after="0" w:line="252" w:lineRule="exact"/>
        <w:rPr>
          <w:sz w:val="20"/>
          <w:szCs w:val="20"/>
          <w:color w:val="auto"/>
        </w:rPr>
      </w:pPr>
    </w:p>
    <w:p>
      <w:pPr>
        <w:ind w:left="544" w:hanging="544"/>
        <w:spacing w:after="0"/>
        <w:tabs>
          <w:tab w:leader="none" w:pos="544"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UTILISATION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Delivery of a Utilisation Request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Borrower may utilise a Facility by delivery to the Agent of a duly completed Utilisation Request not later than the Specified Time.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Completion of a Utilisation Request</w:t>
      </w:r>
    </w:p>
    <w:p>
      <w:pPr>
        <w:spacing w:after="0" w:line="135" w:lineRule="exact"/>
        <w:rPr>
          <w:sz w:val="20"/>
          <w:szCs w:val="20"/>
          <w:color w:val="auto"/>
        </w:rPr>
      </w:pPr>
    </w:p>
    <w:p>
      <w:pPr>
        <w:ind w:left="544" w:hanging="544"/>
        <w:spacing w:after="0"/>
        <w:tabs>
          <w:tab w:leader="none" w:pos="5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Utilisation Request is irrevocable and will not be regarded as having been duly completed unless: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identifies the Facility to be utilised;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a Business Day within the Availability Period;</w:t>
      </w:r>
    </w:p>
    <w:p>
      <w:pPr>
        <w:spacing w:after="0" w:line="128"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amount of the Utilisation comply with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Interest Period complies with Clause 11 (</w:t>
      </w:r>
      <w:r>
        <w:rPr>
          <w:rFonts w:ascii="Times New Roman" w:cs="Times New Roman" w:eastAsia="Times New Roman" w:hAnsi="Times New Roman"/>
          <w:sz w:val="18"/>
          <w:szCs w:val="18"/>
          <w:i w:val="1"/>
          <w:iCs w:val="1"/>
          <w:color w:val="auto"/>
        </w:rPr>
        <w:t>Interest Periods</w:t>
      </w:r>
      <w:r>
        <w:rPr>
          <w:rFonts w:ascii="Times New Roman" w:cs="Times New Roman" w:eastAsia="Times New Roman" w:hAnsi="Times New Roman"/>
          <w:sz w:val="18"/>
          <w:szCs w:val="18"/>
          <w:color w:val="auto"/>
        </w:rPr>
        <w:t>); and</w:t>
      </w:r>
    </w:p>
    <w:p>
      <w:pPr>
        <w:spacing w:after="0" w:line="132"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specifies the account and bank to which the proceeds of the Utilisation are to be credited.</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Loan may be requested in each Utilisation Request.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Currency and amount</w:t>
      </w:r>
    </w:p>
    <w:p>
      <w:pPr>
        <w:spacing w:after="0" w:line="135" w:lineRule="exact"/>
        <w:rPr>
          <w:sz w:val="20"/>
          <w:szCs w:val="20"/>
          <w:color w:val="auto"/>
        </w:rPr>
      </w:pPr>
    </w:p>
    <w:p>
      <w:pPr>
        <w:ind w:left="544" w:hanging="544"/>
        <w:spacing w:after="0"/>
        <w:tabs>
          <w:tab w:leader="none" w:pos="5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specified in a Utilisation Request must be: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Facility A, EUR;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Facility B, USD.</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(c) and (d) below, the amount of the proposed Loan must be: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Facility A, a minimum of EUR5,000,000 or, if less, the Available Facility;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Facility B, a minimum of USD5,000,000 or if less, the Available Facility.</w:t>
      </w:r>
    </w:p>
    <w:p>
      <w:pPr>
        <w:spacing w:after="0" w:line="130" w:lineRule="exact"/>
        <w:rPr>
          <w:rFonts w:ascii="Times New Roman" w:cs="Times New Roman" w:eastAsia="Times New Roman" w:hAnsi="Times New Roman"/>
          <w:sz w:val="18"/>
          <w:szCs w:val="18"/>
          <w:color w:val="auto"/>
        </w:rPr>
      </w:pPr>
    </w:p>
    <w:p>
      <w:pPr>
        <w:ind w:left="544" w:right="80" w:hanging="544"/>
        <w:spacing w:after="0" w:line="261" w:lineRule="auto"/>
        <w:tabs>
          <w:tab w:leader="none" w:pos="5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Available Commitment of a Facility will not be reduced to zero after a proposed Utilisation) such Facility may only be drawn, to the extent the other Facility is also drawn on the same proposed Utilisation Date on a pro rata basis, such that the proportion of Loan (Facility A) that will become outstanding immediately after such Utilisation bears to the then Total Facility A Commitments is the same as the proportion of Loan (Facility B) that will become outstanding immediately after such Utilisation to the then Total Facility B Commitments.</w:t>
      </w:r>
    </w:p>
    <w:p>
      <w:pPr>
        <w:spacing w:after="0" w:line="85" w:lineRule="exact"/>
        <w:rPr>
          <w:rFonts w:ascii="Times New Roman" w:cs="Times New Roman" w:eastAsia="Times New Roman" w:hAnsi="Times New Roman"/>
          <w:sz w:val="18"/>
          <w:szCs w:val="18"/>
          <w:color w:val="auto"/>
        </w:rPr>
      </w:pPr>
    </w:p>
    <w:p>
      <w:pPr>
        <w:ind w:left="544" w:right="400" w:hanging="544"/>
        <w:spacing w:after="0" w:line="282" w:lineRule="auto"/>
        <w:tabs>
          <w:tab w:leader="none" w:pos="5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Available Commitment of a Facility will be reduced to zero after a proposed Utilisation) such Facility may only be drawn to the extent the other Facility is also drawn in full.</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b w:val="1"/>
          <w:bCs w:val="1"/>
          <w:color w:val="auto"/>
        </w:rPr>
        <w:t>Lenders’ participation</w:t>
      </w:r>
    </w:p>
    <w:p>
      <w:pPr>
        <w:spacing w:after="0" w:line="135" w:lineRule="exact"/>
        <w:rPr>
          <w:sz w:val="20"/>
          <w:szCs w:val="20"/>
          <w:color w:val="auto"/>
        </w:rPr>
      </w:pPr>
    </w:p>
    <w:p>
      <w:pPr>
        <w:ind w:left="544" w:right="100" w:hanging="544"/>
        <w:spacing w:after="0" w:line="282" w:lineRule="auto"/>
        <w:tabs>
          <w:tab w:leader="none" w:pos="54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set out in this Agreement have been met each Lender shall make its participation in each Loan available by the Utilisation Date through its Facility Office.</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4"/>
          </w:cols>
          <w:pgMar w:left="436" w:top="266" w:right="439" w:bottom="1440" w:gutter="0" w:footer="0" w:header="0"/>
        </w:sectPr>
      </w:pPr>
    </w:p>
    <w:bookmarkStart w:id="52" w:name="page53"/>
    <w:bookmarkEnd w:id="52"/>
    <w:p>
      <w:pPr>
        <w:ind w:left="544" w:right="240" w:hanging="544"/>
        <w:spacing w:after="0" w:line="282" w:lineRule="auto"/>
        <w:tabs>
          <w:tab w:leader="none" w:pos="54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each Lender’s participation in each Loan will be equal to the proportion borne by its Available Commitment under a Facility to the Available Facility (in respect of that Facility) immediately prior to making the Loan.</w:t>
      </w:r>
    </w:p>
    <w:p>
      <w:pPr>
        <w:spacing w:after="0" w:line="67" w:lineRule="exact"/>
        <w:rPr>
          <w:rFonts w:ascii="Times New Roman" w:cs="Times New Roman" w:eastAsia="Times New Roman" w:hAnsi="Times New Roman"/>
          <w:sz w:val="18"/>
          <w:szCs w:val="18"/>
          <w:color w:val="auto"/>
        </w:rPr>
      </w:pPr>
    </w:p>
    <w:p>
      <w:pPr>
        <w:ind w:left="544" w:right="300" w:hanging="544"/>
        <w:spacing w:after="0" w:line="282" w:lineRule="auto"/>
        <w:tabs>
          <w:tab w:leader="none" w:pos="54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each Lender of the amount of each Loan and the amount of its participation in that Loan, in each case by the Specified Time.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Cancellation of Commitment</w:t>
      </w:r>
    </w:p>
    <w:p>
      <w:pPr>
        <w:spacing w:after="0" w:line="121" w:lineRule="exact"/>
        <w:rPr>
          <w:sz w:val="20"/>
          <w:szCs w:val="20"/>
          <w:color w:val="auto"/>
        </w:rPr>
      </w:pPr>
    </w:p>
    <w:p>
      <w:pPr>
        <w:ind w:left="544" w:right="120"/>
        <w:spacing w:after="0" w:line="282" w:lineRule="auto"/>
        <w:rPr>
          <w:sz w:val="20"/>
          <w:szCs w:val="20"/>
          <w:color w:val="auto"/>
        </w:rPr>
      </w:pPr>
      <w:r>
        <w:rPr>
          <w:rFonts w:ascii="Times New Roman" w:cs="Times New Roman" w:eastAsia="Times New Roman" w:hAnsi="Times New Roman"/>
          <w:sz w:val="18"/>
          <w:szCs w:val="18"/>
          <w:color w:val="auto"/>
        </w:rPr>
        <w:t>The Commitments in relation to a Facility which, at that time, are unutilised shall be immediately cancelled at the end of the Availability Period for such Facility.</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4"/>
          </w:cols>
          <w:pgMar w:left="436" w:top="270" w:right="439" w:bottom="1440" w:gutter="0" w:footer="0" w:header="0"/>
        </w:sectPr>
      </w:pPr>
    </w:p>
    <w:bookmarkStart w:id="53" w:name="page54"/>
    <w:bookmarkEnd w:id="5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REPAYMENT, PREPAYMENT AND CANCELLATION</w:t>
      </w:r>
    </w:p>
    <w:p>
      <w:pPr>
        <w:spacing w:after="0" w:line="252" w:lineRule="exact"/>
        <w:rPr>
          <w:sz w:val="20"/>
          <w:szCs w:val="20"/>
          <w:color w:val="auto"/>
        </w:rPr>
      </w:pPr>
    </w:p>
    <w:p>
      <w:pPr>
        <w:ind w:left="544" w:hanging="544"/>
        <w:spacing w:after="0"/>
        <w:tabs>
          <w:tab w:leader="none" w:pos="544"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Repayment of Loans</w:t>
      </w:r>
    </w:p>
    <w:p>
      <w:pPr>
        <w:spacing w:after="0" w:line="135" w:lineRule="exact"/>
        <w:rPr>
          <w:sz w:val="20"/>
          <w:szCs w:val="20"/>
          <w:color w:val="auto"/>
        </w:rPr>
      </w:pPr>
    </w:p>
    <w:p>
      <w:pPr>
        <w:ind w:left="544" w:right="360" w:hanging="544"/>
        <w:spacing w:after="0" w:line="282" w:lineRule="auto"/>
        <w:tabs>
          <w:tab w:leader="none" w:pos="54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each Loan (together with any accrued but unpaid amount under any Finance Document) in full on the Termination Date.</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reborrow any part of any Facility which is repaid.</w:t>
      </w:r>
    </w:p>
    <w:p>
      <w:pPr>
        <w:spacing w:after="0" w:line="370" w:lineRule="exact"/>
        <w:rPr>
          <w:sz w:val="20"/>
          <w:szCs w:val="20"/>
          <w:color w:val="auto"/>
        </w:rPr>
      </w:pPr>
    </w:p>
    <w:p>
      <w:pPr>
        <w:ind w:left="4" w:right="4920" w:hanging="4"/>
        <w:spacing w:after="0" w:line="385" w:lineRule="auto"/>
        <w:tabs>
          <w:tab w:leader="none" w:pos="54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ILLEGALITY, VOLUNTARY PREPAYMENT AND CANCELLATION 7.1 Illegality</w:t>
      </w:r>
    </w:p>
    <w:p>
      <w:pPr>
        <w:spacing w:after="0" w:line="1" w:lineRule="exact"/>
        <w:rPr>
          <w:sz w:val="20"/>
          <w:szCs w:val="20"/>
          <w:color w:val="auto"/>
        </w:rPr>
      </w:pPr>
    </w:p>
    <w:p>
      <w:pPr>
        <w:ind w:left="544" w:right="180"/>
        <w:spacing w:after="0" w:line="282" w:lineRule="auto"/>
        <w:rPr>
          <w:sz w:val="20"/>
          <w:szCs w:val="20"/>
          <w:color w:val="auto"/>
        </w:rPr>
      </w:pPr>
      <w:r>
        <w:rPr>
          <w:rFonts w:ascii="Times New Roman" w:cs="Times New Roman" w:eastAsia="Times New Roman" w:hAnsi="Times New Roman"/>
          <w:sz w:val="18"/>
          <w:szCs w:val="18"/>
          <w:color w:val="auto"/>
        </w:rPr>
        <w:t>If, in any applicable jurisdiction, it becomes unlawful for any Lender to perform any of its obligations as contemplated by this Agreement or to fund or maintain its participation in any Loan or it becomes unlawful for any Affiliate of a Lender for that Lender to do so:</w:t>
      </w:r>
    </w:p>
    <w:p>
      <w:pPr>
        <w:spacing w:after="0" w:line="67" w:lineRule="exact"/>
        <w:rPr>
          <w:sz w:val="20"/>
          <w:szCs w:val="20"/>
          <w:color w:val="auto"/>
        </w:rPr>
      </w:pPr>
    </w:p>
    <w:p>
      <w:pPr>
        <w:ind w:left="1184" w:hanging="644"/>
        <w:spacing w:after="0"/>
        <w:tabs>
          <w:tab w:leader="none" w:pos="118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Lender shall promptly notify the Agent upon becoming aware of that event;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Agent notifying the Company, each Available Commitment of that Lender will be immediately cancelled; and</w:t>
      </w:r>
    </w:p>
    <w:p>
      <w:pPr>
        <w:spacing w:after="0" w:line="128" w:lineRule="exact"/>
        <w:rPr>
          <w:rFonts w:ascii="Times New Roman" w:cs="Times New Roman" w:eastAsia="Times New Roman" w:hAnsi="Times New Roman"/>
          <w:sz w:val="18"/>
          <w:szCs w:val="18"/>
          <w:color w:val="auto"/>
        </w:rPr>
      </w:pPr>
    </w:p>
    <w:p>
      <w:pPr>
        <w:ind w:left="1184" w:right="80" w:hanging="644"/>
        <w:spacing w:after="0" w:line="258" w:lineRule="auto"/>
        <w:tabs>
          <w:tab w:leader="none" w:pos="118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Lender’s participation has not been transferred pursuant to paragraph (d) of Clause 7.4 (</w:t>
      </w:r>
      <w:r>
        <w:rPr>
          <w:rFonts w:ascii="Times New Roman" w:cs="Times New Roman" w:eastAsia="Times New Roman" w:hAnsi="Times New Roman"/>
          <w:sz w:val="18"/>
          <w:szCs w:val="18"/>
          <w:i w:val="1"/>
          <w:iCs w:val="1"/>
          <w:color w:val="auto"/>
        </w:rPr>
        <w:t>Right of replacement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and cancellation in relation to a single Lender</w:t>
      </w:r>
      <w:r>
        <w:rPr>
          <w:rFonts w:ascii="Times New Roman" w:cs="Times New Roman" w:eastAsia="Times New Roman" w:hAnsi="Times New Roman"/>
          <w:sz w:val="18"/>
          <w:szCs w:val="18"/>
          <w:color w:val="auto"/>
        </w:rPr>
        <w:t>), the Borrower shall repay that Lender’s participation in the Loans on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of the Interest Period for each Loan occurring after the Agent has notified the Borrower or, if earlier, the date specified by the Lender in the notice delivered to the Agent (being no earlier than the last day of any applicable grace period permitted by law) and that Lender’s corresponding Commitment(s) shall be immediately cancelled in the amount of the participations repaid.</w:t>
      </w:r>
    </w:p>
    <w:p>
      <w:pPr>
        <w:spacing w:after="0" w:line="8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Voluntary cancellation</w:t>
      </w:r>
    </w:p>
    <w:p>
      <w:pPr>
        <w:spacing w:after="0" w:line="121" w:lineRule="exact"/>
        <w:rPr>
          <w:sz w:val="20"/>
          <w:szCs w:val="20"/>
          <w:color w:val="auto"/>
        </w:rPr>
      </w:pPr>
    </w:p>
    <w:p>
      <w:pPr>
        <w:ind w:left="544" w:right="280"/>
        <w:spacing w:after="0" w:line="282" w:lineRule="auto"/>
        <w:rPr>
          <w:sz w:val="20"/>
          <w:szCs w:val="20"/>
          <w:color w:val="auto"/>
        </w:rPr>
      </w:pPr>
      <w:r>
        <w:rPr>
          <w:rFonts w:ascii="Times New Roman" w:cs="Times New Roman" w:eastAsia="Times New Roman" w:hAnsi="Times New Roman"/>
          <w:sz w:val="18"/>
          <w:szCs w:val="18"/>
          <w:color w:val="auto"/>
        </w:rPr>
        <w:t>The Company may, if it gives the Agent not less than five (5) Business Days (or such shorter period as the Majority Lenders may agree) prior written notice, cancel:</w:t>
      </w:r>
    </w:p>
    <w:p>
      <w:pPr>
        <w:spacing w:after="0" w:line="67" w:lineRule="exact"/>
        <w:rPr>
          <w:sz w:val="20"/>
          <w:szCs w:val="20"/>
          <w:color w:val="auto"/>
        </w:rPr>
      </w:pPr>
    </w:p>
    <w:p>
      <w:pPr>
        <w:ind w:left="1184" w:right="80" w:hanging="644"/>
        <w:spacing w:after="0" w:line="282" w:lineRule="auto"/>
        <w:tabs>
          <w:tab w:leader="none" w:pos="118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whole or any part (being a minimum amount of EUR5,000,000 and in integral multiples of EUR5,000,000) of the Available Facility under Facility A;</w:t>
      </w:r>
    </w:p>
    <w:p>
      <w:pPr>
        <w:spacing w:after="0" w:line="67"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whole or any part (being a minimum of USD5,000,000 and in integral multiples of USD5,000,000) of the Available Facility under Facility B,</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provided that any partial cancellation under this Clause 7.2 in respect of a Facility:</w:t>
      </w:r>
    </w:p>
    <w:p>
      <w:pPr>
        <w:spacing w:after="0" w:line="129" w:lineRule="exact"/>
        <w:rPr>
          <w:sz w:val="20"/>
          <w:szCs w:val="20"/>
          <w:color w:val="auto"/>
        </w:rPr>
      </w:pPr>
    </w:p>
    <w:p>
      <w:pPr>
        <w:ind w:left="1744" w:hanging="543"/>
        <w:spacing w:after="0"/>
        <w:tabs>
          <w:tab w:leader="none" w:pos="174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reduce the Commitments of the Lenders under that Facility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744" w:right="160" w:hanging="543"/>
        <w:spacing w:after="0" w:line="261" w:lineRule="auto"/>
        <w:tabs>
          <w:tab w:leader="none" w:pos="174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made unless the Borrower simultaneously cancels the Commitments of the other Facility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(such that the proportion of the Available Facility to be cancelled under Facility A bears to the then aggregate Total Facility A Commitments is the same as the proportion of the Available Facility to be cancelled under Facility B bears to the then Total Facility B Commitments), and each Lender’s Commitments under the other Facility shall also be reduced rateably.</w:t>
      </w:r>
    </w:p>
    <w:p>
      <w:pPr>
        <w:spacing w:after="0" w:line="11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4"/>
          </w:cols>
          <w:pgMar w:left="436" w:top="266" w:right="439" w:bottom="1440" w:gutter="0" w:footer="0" w:header="0"/>
        </w:sectPr>
      </w:pPr>
    </w:p>
    <w:bookmarkStart w:id="54" w:name="page55"/>
    <w:bookmarkEnd w:id="54"/>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no Facility may be cancelled in full unless the other Facility is also cancelled in full simultaneously.</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Voluntary prepayment of Loans</w:t>
      </w:r>
    </w:p>
    <w:p>
      <w:pPr>
        <w:spacing w:after="0" w:line="135" w:lineRule="exact"/>
        <w:rPr>
          <w:sz w:val="20"/>
          <w:szCs w:val="20"/>
          <w:color w:val="auto"/>
        </w:rPr>
      </w:pPr>
    </w:p>
    <w:p>
      <w:pPr>
        <w:ind w:left="544" w:right="240" w:hanging="544"/>
        <w:spacing w:after="0" w:line="282" w:lineRule="auto"/>
        <w:tabs>
          <w:tab w:leader="none" w:pos="54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if it gives the Agent not less than five (5) Business Days’ (or such shorter period as the Majority Lenders may agree) prior written notice, prepay:</w:t>
      </w:r>
    </w:p>
    <w:p>
      <w:pPr>
        <w:spacing w:after="0" w:line="67" w:lineRule="exact"/>
        <w:rPr>
          <w:rFonts w:ascii="Times New Roman" w:cs="Times New Roman" w:eastAsia="Times New Roman" w:hAnsi="Times New Roman"/>
          <w:sz w:val="18"/>
          <w:szCs w:val="18"/>
          <w:color w:val="auto"/>
        </w:rPr>
      </w:pPr>
    </w:p>
    <w:p>
      <w:pPr>
        <w:ind w:left="1184" w:right="540" w:hanging="644"/>
        <w:spacing w:after="0" w:line="282" w:lineRule="auto"/>
        <w:tabs>
          <w:tab w:leader="none" w:pos="118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whole or any part of any Loan (Facility A) (but, if in part, being an amount that reduces that Loan (Facility A) by a minimum amount of EUR5,000,000 and in integral multiples of EUR5,000,000); and</w:t>
      </w:r>
    </w:p>
    <w:p>
      <w:pPr>
        <w:spacing w:after="0" w:line="67" w:lineRule="exact"/>
        <w:rPr>
          <w:rFonts w:ascii="Times New Roman" w:cs="Times New Roman" w:eastAsia="Times New Roman" w:hAnsi="Times New Roman"/>
          <w:sz w:val="18"/>
          <w:szCs w:val="18"/>
          <w:color w:val="auto"/>
        </w:rPr>
      </w:pPr>
    </w:p>
    <w:p>
      <w:pPr>
        <w:ind w:left="1184" w:right="560" w:hanging="644"/>
        <w:spacing w:after="0" w:line="282" w:lineRule="auto"/>
        <w:tabs>
          <w:tab w:leader="none" w:pos="118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whole or any part of any Loan (Facility B) (but, if in part, being an amount that reduces that Loan (Facility B) by a minimum amount of USD5,000,000 and in integral multiples of USD5,000,000),</w:t>
      </w:r>
    </w:p>
    <w:p>
      <w:pPr>
        <w:spacing w:after="0" w:line="54" w:lineRule="exact"/>
        <w:rPr>
          <w:sz w:val="20"/>
          <w:szCs w:val="20"/>
          <w:color w:val="auto"/>
        </w:rPr>
      </w:pPr>
    </w:p>
    <w:p>
      <w:pPr>
        <w:jc w:val="both"/>
        <w:ind w:left="544" w:right="240"/>
        <w:spacing w:after="0" w:line="261" w:lineRule="auto"/>
        <w:rPr>
          <w:sz w:val="20"/>
          <w:szCs w:val="20"/>
          <w:color w:val="auto"/>
        </w:rPr>
      </w:pPr>
      <w:r>
        <w:rPr>
          <w:rFonts w:ascii="Times New Roman" w:cs="Times New Roman" w:eastAsia="Times New Roman" w:hAnsi="Times New Roman"/>
          <w:sz w:val="18"/>
          <w:szCs w:val="18"/>
          <w:color w:val="auto"/>
        </w:rPr>
        <w:t xml:space="preserve">provided any partial prepayment of a Facility under this Clause 7.3 shall not be made, unless the Borrower simultaneously prepays the other Facility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(such that the proportion of the amount to prepaid under Facility A bears to the then outstanding amount of Loans (Facility A) is the same as the proportion of the amount to be prepaid under Facility B bears to the then outstanding amount of Loans (Facility B)). For the avoidance of doubt, no Facility may be prepaid in full unless the other Facility is also prepaid in full simultaneously.</w:t>
      </w:r>
    </w:p>
    <w:p>
      <w:pPr>
        <w:spacing w:after="0" w:line="85" w:lineRule="exact"/>
        <w:rPr>
          <w:sz w:val="20"/>
          <w:szCs w:val="20"/>
          <w:color w:val="auto"/>
        </w:rPr>
      </w:pPr>
    </w:p>
    <w:p>
      <w:pPr>
        <w:ind w:left="544" w:right="60" w:hanging="544"/>
        <w:spacing w:after="0" w:line="282" w:lineRule="auto"/>
        <w:tabs>
          <w:tab w:leader="none" w:pos="54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may only be prepaid after the last day of the Availability Period (or, if earlier, the day on which the Available Facility to which that Loan relates is zero).</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Right of replacement or repayment and cancellation in relation to a single Lender</w:t>
      </w:r>
    </w:p>
    <w:p>
      <w:pPr>
        <w:spacing w:after="0" w:line="135" w:lineRule="exact"/>
        <w:rPr>
          <w:sz w:val="20"/>
          <w:szCs w:val="20"/>
          <w:color w:val="auto"/>
        </w:rPr>
      </w:pPr>
    </w:p>
    <w:p>
      <w:pPr>
        <w:ind w:left="544" w:hanging="544"/>
        <w:spacing w:after="0"/>
        <w:tabs>
          <w:tab w:leader="none" w:pos="54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28"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payable to any Lender by an Obligor is required to be increased under paragraph (c) of Clause 14.2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claims indemnification from the Borrower under Clause 14.3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or Clause 15.1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44" w:right="60"/>
        <w:spacing w:after="0" w:line="266" w:lineRule="auto"/>
        <w:rPr>
          <w:sz w:val="20"/>
          <w:szCs w:val="20"/>
          <w:color w:val="auto"/>
        </w:rPr>
      </w:pPr>
      <w:r>
        <w:rPr>
          <w:rFonts w:ascii="Times New Roman" w:cs="Times New Roman" w:eastAsia="Times New Roman" w:hAnsi="Times New Roman"/>
          <w:sz w:val="18"/>
          <w:szCs w:val="18"/>
          <w:color w:val="auto"/>
        </w:rPr>
        <w:t>the Borrower may, whilst the circumstance giving rise to the requirement for that increase or indemnification continues, give the Agent notice of cancellation of the Commitment(s) of that Lender and its intention to procure the repayment of that Lender’s participation in the Loans or give the Agent notice of its intention to replace that Lender in accordance with paragraph (d) below.</w:t>
      </w:r>
    </w:p>
    <w:p>
      <w:pPr>
        <w:spacing w:after="0" w:line="81" w:lineRule="exact"/>
        <w:rPr>
          <w:sz w:val="20"/>
          <w:szCs w:val="20"/>
          <w:color w:val="auto"/>
        </w:rPr>
      </w:pPr>
    </w:p>
    <w:p>
      <w:pPr>
        <w:ind w:left="544" w:right="520" w:hanging="544"/>
        <w:spacing w:after="0" w:line="282" w:lineRule="auto"/>
        <w:tabs>
          <w:tab w:leader="none" w:pos="5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receipt of a notice of cancellation referred to in paragraph (a) above, the Available Commitment(s) of that Lender shall be immediately reduced to zero.</w:t>
      </w:r>
    </w:p>
    <w:p>
      <w:pPr>
        <w:spacing w:after="0" w:line="67" w:lineRule="exact"/>
        <w:rPr>
          <w:rFonts w:ascii="Times New Roman" w:cs="Times New Roman" w:eastAsia="Times New Roman" w:hAnsi="Times New Roman"/>
          <w:sz w:val="18"/>
          <w:szCs w:val="18"/>
          <w:color w:val="auto"/>
        </w:rPr>
      </w:pPr>
    </w:p>
    <w:p>
      <w:pPr>
        <w:ind w:left="544" w:right="240" w:hanging="544"/>
        <w:spacing w:after="0" w:line="266" w:lineRule="auto"/>
        <w:tabs>
          <w:tab w:leader="none" w:pos="5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day of each Interest Period which ends after the Borrower has given notice of cancellation under paragraph (a) above (or, if earlier, the date specified by the Borrower in that notice), the Borrower shall repay that Lender’s participation in each Loan and that Lender’s corresponding Commitment(s) shall be immediately cancelled in the amount of the participations repaid.</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4"/>
          </w:cols>
          <w:pgMar w:left="436" w:top="270" w:right="439" w:bottom="1440" w:gutter="0" w:footer="0" w:header="0"/>
        </w:sectPr>
      </w:pPr>
    </w:p>
    <w:bookmarkStart w:id="55" w:name="page56"/>
    <w:bookmarkEnd w:id="55"/>
    <w:p>
      <w:pPr>
        <w:ind w:left="544" w:hanging="544"/>
        <w:spacing w:after="0"/>
        <w:tabs>
          <w:tab w:leader="none" w:pos="5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circumstances set out in paragraph (a) above apply to a Lender; or</w:t>
      </w:r>
    </w:p>
    <w:p>
      <w:pPr>
        <w:spacing w:after="0" w:line="128"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becomes obliged to pay any amount in accordance with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to any Lender,</w:t>
      </w:r>
    </w:p>
    <w:p>
      <w:pPr>
        <w:spacing w:after="0" w:line="119" w:lineRule="exact"/>
        <w:rPr>
          <w:sz w:val="20"/>
          <w:szCs w:val="20"/>
          <w:color w:val="auto"/>
        </w:rPr>
      </w:pPr>
    </w:p>
    <w:p>
      <w:pPr>
        <w:ind w:left="544" w:right="160"/>
        <w:spacing w:after="0" w:line="255" w:lineRule="auto"/>
        <w:rPr>
          <w:sz w:val="20"/>
          <w:szCs w:val="20"/>
          <w:color w:val="auto"/>
        </w:rPr>
      </w:pPr>
      <w:r>
        <w:rPr>
          <w:rFonts w:ascii="Times New Roman" w:cs="Times New Roman" w:eastAsia="Times New Roman" w:hAnsi="Times New Roman"/>
          <w:sz w:val="18"/>
          <w:szCs w:val="18"/>
          <w:color w:val="auto"/>
        </w:rPr>
        <w:t>the Borrower may on 10 Business Days’ prior notice to the Agent and that Lender, replace that Lender by requiring that Lender to (and, to the extent permitted by law, that Lender shall) transfer pursuant to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all (and not part only) of its rights and obligations under this Agreement to an Eligible Institution which confirms its willingness to assume and does assume all the obligations of the transferring Lender in accordance with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for a purchase price in cash payable at the time of the transfer in an amount equal to the outstanding principal amount of such Lender’s participation in the outstanding Loans and all accrued interest (to the extent that the Agent has not given a notification under Clause 25.9 (</w:t>
      </w:r>
      <w:r>
        <w:rPr>
          <w:rFonts w:ascii="Times New Roman" w:cs="Times New Roman" w:eastAsia="Times New Roman" w:hAnsi="Times New Roman"/>
          <w:sz w:val="18"/>
          <w:szCs w:val="18"/>
          <w:i w:val="1"/>
          <w:iCs w:val="1"/>
          <w:color w:val="auto"/>
        </w:rPr>
        <w:t>Pro rata interest settlement</w:t>
      </w:r>
      <w:r>
        <w:rPr>
          <w:rFonts w:ascii="Times New Roman" w:cs="Times New Roman" w:eastAsia="Times New Roman" w:hAnsi="Times New Roman"/>
          <w:sz w:val="18"/>
          <w:szCs w:val="18"/>
          <w:color w:val="auto"/>
        </w:rPr>
        <w:t>)), Break Costs (as applicable) and other amounts payable in relation thereto under the Finance Documents.</w:t>
      </w:r>
    </w:p>
    <w:p>
      <w:pPr>
        <w:spacing w:after="0" w:line="94" w:lineRule="exact"/>
        <w:rPr>
          <w:sz w:val="20"/>
          <w:szCs w:val="20"/>
          <w:color w:val="auto"/>
        </w:rPr>
      </w:pPr>
    </w:p>
    <w:p>
      <w:pPr>
        <w:ind w:left="544" w:hanging="544"/>
        <w:spacing w:after="0"/>
        <w:tabs>
          <w:tab w:leader="none" w:pos="5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replacement of a Lender pursuant to paragraph (d) above shall be subject to the following conditions: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no right to replace the Agent;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any Lender shall have any obligation to find a replacement Lender;</w:t>
      </w:r>
    </w:p>
    <w:p>
      <w:pPr>
        <w:spacing w:after="0" w:line="130"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Lender replaced under paragraph (d) above be required to pay or surrender any of the fees received by such Lender pursuant to the Finance Documents; and</w:t>
      </w:r>
    </w:p>
    <w:p>
      <w:pPr>
        <w:spacing w:after="0" w:line="67" w:lineRule="exact"/>
        <w:rPr>
          <w:rFonts w:ascii="Times New Roman" w:cs="Times New Roman" w:eastAsia="Times New Roman" w:hAnsi="Times New Roman"/>
          <w:sz w:val="18"/>
          <w:szCs w:val="18"/>
          <w:color w:val="auto"/>
        </w:rPr>
      </w:pPr>
    </w:p>
    <w:p>
      <w:pPr>
        <w:ind w:left="1184" w:right="200" w:hanging="644"/>
        <w:spacing w:after="0" w:line="266" w:lineRule="auto"/>
        <w:tabs>
          <w:tab w:leader="none" w:pos="118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only be obliged to transfer its rights and obligations pursuant to paragraph (d) above once it is satisfied that it has complied with all necessary “know your customer” or other similar checks under all applicable laws and regulations in relation to that transfer.</w:t>
      </w:r>
    </w:p>
    <w:p>
      <w:pPr>
        <w:spacing w:after="0" w:line="81" w:lineRule="exact"/>
        <w:rPr>
          <w:rFonts w:ascii="Times New Roman" w:cs="Times New Roman" w:eastAsia="Times New Roman" w:hAnsi="Times New Roman"/>
          <w:sz w:val="18"/>
          <w:szCs w:val="18"/>
          <w:color w:val="auto"/>
        </w:rPr>
      </w:pPr>
    </w:p>
    <w:p>
      <w:pPr>
        <w:ind w:left="544" w:right="100" w:hanging="544"/>
        <w:spacing w:after="0" w:line="282" w:lineRule="auto"/>
        <w:tabs>
          <w:tab w:leader="none" w:pos="5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shall perform the checks described in paragraph (e)(iv) above as soon as reasonably practicable following delivery of a notice referred to in paragraph (d) above and shall notify the Agent and the Borrower when it is satisfied that it has complied with those checks.</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w:t>
      </w:r>
    </w:p>
    <w:p>
      <w:pPr>
        <w:spacing w:after="0" w:line="131" w:lineRule="exact"/>
        <w:rPr>
          <w:sz w:val="20"/>
          <w:szCs w:val="20"/>
          <w:color w:val="auto"/>
        </w:rPr>
      </w:pPr>
    </w:p>
    <w:p>
      <w:pPr>
        <w:ind w:left="1184" w:right="100" w:hanging="644"/>
        <w:spacing w:after="0" w:line="282" w:lineRule="auto"/>
        <w:tabs>
          <w:tab w:leader="none" w:pos="118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becomes a Defaulting Lender, the Borrower may, at any time whilst the Lender continues to be a Defaulting Lender, give the Agent 10 Business Days’ notice of cancellation of the Available Commitment of that Lender.</w:t>
      </w:r>
    </w:p>
    <w:p>
      <w:pPr>
        <w:spacing w:after="0" w:line="67" w:lineRule="exact"/>
        <w:rPr>
          <w:rFonts w:ascii="Times New Roman" w:cs="Times New Roman" w:eastAsia="Times New Roman" w:hAnsi="Times New Roman"/>
          <w:sz w:val="18"/>
          <w:szCs w:val="18"/>
          <w:color w:val="auto"/>
        </w:rPr>
      </w:pPr>
    </w:p>
    <w:p>
      <w:pPr>
        <w:ind w:left="1184" w:right="540" w:hanging="644"/>
        <w:spacing w:after="0" w:line="282" w:lineRule="auto"/>
        <w:tabs>
          <w:tab w:leader="none" w:pos="118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notice referred to in paragraph (i) above becoming effective, the Available Commitment of the Defaulting Lender shall be immediately reduced to zero.</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as soon as practicable after receipt of a notice referred to in paragraph (i) above, notify all the Lenders.</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70" w:right="439" w:bottom="1440" w:gutter="0" w:footer="0" w:header="0"/>
        </w:sectPr>
      </w:pPr>
    </w:p>
    <w:bookmarkStart w:id="56" w:name="page57"/>
    <w:bookmarkEnd w:id="56"/>
    <w:p>
      <w:pPr>
        <w:ind w:left="4" w:right="6080" w:hanging="4"/>
        <w:spacing w:after="0" w:line="385" w:lineRule="auto"/>
        <w:tabs>
          <w:tab w:leader="none" w:pos="544"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 PREPAYMENT AND CANCELLATION 8.1 Change of control</w:t>
      </w:r>
    </w:p>
    <w:p>
      <w:pPr>
        <w:spacing w:after="0" w:line="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Change of Control occurs:</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notify the Agent upon becoming aware of that event;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shall not be obliged to fund a Utilisation; and</w:t>
      </w:r>
    </w:p>
    <w:p>
      <w:pPr>
        <w:spacing w:after="0" w:line="130" w:lineRule="exact"/>
        <w:rPr>
          <w:rFonts w:ascii="Times New Roman" w:cs="Times New Roman" w:eastAsia="Times New Roman" w:hAnsi="Times New Roman"/>
          <w:sz w:val="18"/>
          <w:szCs w:val="18"/>
          <w:color w:val="auto"/>
        </w:rPr>
      </w:pPr>
    </w:p>
    <w:p>
      <w:pPr>
        <w:ind w:left="1184" w:right="260" w:hanging="644"/>
        <w:spacing w:after="0" w:line="258" w:lineRule="auto"/>
        <w:tabs>
          <w:tab w:leader="none" w:pos="118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Majority Lenders so require, the Agent shall, by not less than five (5) Business Days’ notice to the Borrower, cancel each Available Commitment and declare all Loans, together with accrued interest, and all other amounts accrued or outstanding under the Finance Documents immediately due and payable, whereupon each such Available Commitment will be immediately cancelled, each Facility shall immediately cease to be available for further utilisation and all such Loans, accrued interest and other amounts shall become immediately due and payable.</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Disposal Proceeds</w:t>
      </w:r>
    </w:p>
    <w:p>
      <w:pPr>
        <w:spacing w:after="0" w:line="133" w:lineRule="exact"/>
        <w:rPr>
          <w:sz w:val="20"/>
          <w:szCs w:val="20"/>
          <w:color w:val="auto"/>
        </w:rPr>
      </w:pPr>
    </w:p>
    <w:p>
      <w:pPr>
        <w:ind w:left="544" w:hanging="544"/>
        <w:spacing w:after="0"/>
        <w:tabs>
          <w:tab w:leader="none" w:pos="54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8.2 and Clause 8.3 (</w:t>
      </w:r>
      <w:r>
        <w:rPr>
          <w:rFonts w:ascii="Times New Roman" w:cs="Times New Roman" w:eastAsia="Times New Roman" w:hAnsi="Times New Roman"/>
          <w:sz w:val="18"/>
          <w:szCs w:val="18"/>
          <w:i w:val="1"/>
          <w:iCs w:val="1"/>
          <w:color w:val="auto"/>
        </w:rPr>
        <w:t>Application of mandatory prepayments and cancellations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544" w:right="2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Disposal Proceeds</w:t>
      </w:r>
      <w:r>
        <w:rPr>
          <w:rFonts w:ascii="Times New Roman" w:cs="Times New Roman" w:eastAsia="Times New Roman" w:hAnsi="Times New Roman"/>
          <w:sz w:val="18"/>
          <w:szCs w:val="18"/>
          <w:color w:val="auto"/>
        </w:rPr>
        <w:t>” means the consideration receivable by any Group Member for any Disposal made by any Group Member pursuant to paragraph (k), (l), (m), (o), (q), (r), (v) and (w) (in the case of paragraph (w), if applicable) of the definition of “Permitted Disposal” except for Excluded Disposal Proceeds and after deducting:</w:t>
      </w:r>
    </w:p>
    <w:p>
      <w:pPr>
        <w:spacing w:after="0" w:line="80" w:lineRule="exact"/>
        <w:rPr>
          <w:rFonts w:ascii="Times New Roman" w:cs="Times New Roman" w:eastAsia="Times New Roman" w:hAnsi="Times New Roman"/>
          <w:sz w:val="18"/>
          <w:szCs w:val="18"/>
          <w:color w:val="auto"/>
        </w:rPr>
      </w:pPr>
    </w:p>
    <w:p>
      <w:pPr>
        <w:ind w:left="1184" w:right="720" w:hanging="644"/>
        <w:spacing w:after="0" w:line="282" w:lineRule="auto"/>
        <w:tabs>
          <w:tab w:leader="none" w:pos="118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expenses which are incurred by any Group Member with respect to that Disposal to persons who are not Group Members; and</w:t>
      </w:r>
    </w:p>
    <w:p>
      <w:pPr>
        <w:spacing w:after="0" w:line="67" w:lineRule="exact"/>
        <w:rPr>
          <w:rFonts w:ascii="Times New Roman" w:cs="Times New Roman" w:eastAsia="Times New Roman" w:hAnsi="Times New Roman"/>
          <w:sz w:val="18"/>
          <w:szCs w:val="18"/>
          <w:color w:val="auto"/>
        </w:rPr>
      </w:pPr>
    </w:p>
    <w:p>
      <w:pPr>
        <w:ind w:left="1184" w:right="540" w:hanging="644"/>
        <w:spacing w:after="0" w:line="282" w:lineRule="auto"/>
        <w:tabs>
          <w:tab w:leader="none" w:pos="118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incurred and required to be paid by the seller in connection with that Disposal (as reasonably determined, on the basis of existing rates at the time of the Disposal, and taking account of any available Tax credit, deduction or allowance“.</w:t>
      </w:r>
    </w:p>
    <w:p>
      <w:pPr>
        <w:spacing w:after="0" w:line="5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Disposal Proceeds</w:t>
      </w:r>
      <w:r>
        <w:rPr>
          <w:rFonts w:ascii="Times New Roman" w:cs="Times New Roman" w:eastAsia="Times New Roman" w:hAnsi="Times New Roman"/>
          <w:sz w:val="18"/>
          <w:szCs w:val="18"/>
          <w:color w:val="auto"/>
        </w:rPr>
        <w:t>” means the Disposal Proceeds , provided that, in each case:</w:t>
      </w:r>
    </w:p>
    <w:p>
      <w:pPr>
        <w:spacing w:after="0" w:line="135" w:lineRule="exact"/>
        <w:rPr>
          <w:sz w:val="20"/>
          <w:szCs w:val="20"/>
          <w:color w:val="auto"/>
        </w:rPr>
      </w:pPr>
    </w:p>
    <w:p>
      <w:pPr>
        <w:ind w:left="1184" w:hanging="644"/>
        <w:spacing w:after="0"/>
        <w:tabs>
          <w:tab w:leader="none" w:pos="118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those Disposal Proceeds are applied towards:</w:t>
      </w:r>
    </w:p>
    <w:p>
      <w:pPr>
        <w:spacing w:after="0" w:line="130" w:lineRule="exact"/>
        <w:rPr>
          <w:rFonts w:ascii="Times New Roman" w:cs="Times New Roman" w:eastAsia="Times New Roman" w:hAnsi="Times New Roman"/>
          <w:sz w:val="18"/>
          <w:szCs w:val="18"/>
          <w:color w:val="auto"/>
        </w:rPr>
      </w:pPr>
    </w:p>
    <w:p>
      <w:pPr>
        <w:ind w:left="1744" w:right="100" w:hanging="543"/>
        <w:spacing w:after="0" w:line="282" w:lineRule="auto"/>
        <w:tabs>
          <w:tab w:leader="none" w:pos="174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for or investments in other assets comparable or superior as to type, value and quality for use in the business of the Group,</w:t>
      </w:r>
    </w:p>
    <w:p>
      <w:pPr>
        <w:spacing w:after="0" w:line="67" w:lineRule="exact"/>
        <w:rPr>
          <w:rFonts w:ascii="Times New Roman" w:cs="Times New Roman" w:eastAsia="Times New Roman" w:hAnsi="Times New Roman"/>
          <w:sz w:val="18"/>
          <w:szCs w:val="18"/>
          <w:color w:val="auto"/>
        </w:rPr>
      </w:pPr>
    </w:p>
    <w:p>
      <w:pPr>
        <w:ind w:left="1744" w:right="140" w:hanging="543"/>
        <w:spacing w:after="0" w:line="282" w:lineRule="auto"/>
        <w:tabs>
          <w:tab w:leader="none" w:pos="174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opinion of the Borrower, acting reasonably) such comparable or superior assets are not required based on the business of the Group at the relevant time, reinvestment in the Core Business of the Group;</w:t>
      </w:r>
    </w:p>
    <w:p>
      <w:pPr>
        <w:spacing w:after="0" w:line="54" w:lineRule="exact"/>
        <w:rPr>
          <w:sz w:val="20"/>
          <w:szCs w:val="20"/>
          <w:color w:val="auto"/>
        </w:rPr>
      </w:pPr>
    </w:p>
    <w:p>
      <w:pPr>
        <w:ind w:left="1204" w:right="60"/>
        <w:spacing w:after="0" w:line="256" w:lineRule="auto"/>
        <w:rPr>
          <w:sz w:val="20"/>
          <w:szCs w:val="20"/>
          <w:color w:val="auto"/>
        </w:rPr>
      </w:pPr>
      <w:r>
        <w:rPr>
          <w:rFonts w:ascii="Times New Roman" w:cs="Times New Roman" w:eastAsia="Times New Roman" w:hAnsi="Times New Roman"/>
          <w:sz w:val="18"/>
          <w:szCs w:val="18"/>
          <w:color w:val="auto"/>
        </w:rPr>
        <w:t>in each case, as soon as possible but in any event within 120 days or such longer period as the Majority Lenders may agree after receipt or committed to be so applied within 120 days of receipt and actually applied as soon as possible but in any event within 180 days after being so committed (each such 120-day or 180-day period, the “</w:t>
      </w:r>
      <w:r>
        <w:rPr>
          <w:rFonts w:ascii="Times New Roman" w:cs="Times New Roman" w:eastAsia="Times New Roman" w:hAnsi="Times New Roman"/>
          <w:sz w:val="18"/>
          <w:szCs w:val="18"/>
          <w:b w:val="1"/>
          <w:bCs w:val="1"/>
          <w:color w:val="auto"/>
        </w:rPr>
        <w:t>Reinvestment Period</w:t>
      </w:r>
      <w:r>
        <w:rPr>
          <w:rFonts w:ascii="Times New Roman" w:cs="Times New Roman" w:eastAsia="Times New Roman" w:hAnsi="Times New Roman"/>
          <w:sz w:val="18"/>
          <w:szCs w:val="18"/>
          <w:color w:val="auto"/>
        </w:rPr>
        <w:t>”), those Disposal Proceeds shall constitute Excluded Disposal Proceeds. For the avoidance of doubt, after the expiry of the relevant Reinvestment Period, to the extent there is any amount from such Disposal Proceeds not so applied or designated (the “</w:t>
      </w:r>
      <w:r>
        <w:rPr>
          <w:rFonts w:ascii="Times New Roman" w:cs="Times New Roman" w:eastAsia="Times New Roman" w:hAnsi="Times New Roman"/>
          <w:sz w:val="18"/>
          <w:szCs w:val="18"/>
          <w:b w:val="1"/>
          <w:bCs w:val="1"/>
          <w:color w:val="auto"/>
        </w:rPr>
        <w:t>Remaining Amount</w:t>
      </w:r>
      <w:r>
        <w:rPr>
          <w:rFonts w:ascii="Times New Roman" w:cs="Times New Roman" w:eastAsia="Times New Roman" w:hAnsi="Times New Roman"/>
          <w:sz w:val="18"/>
          <w:szCs w:val="18"/>
          <w:color w:val="auto"/>
        </w:rPr>
        <w:t>”), such Remaining Amount shall count towards “Disposal Proceeds”); or</w:t>
      </w:r>
    </w:p>
    <w:p>
      <w:pPr>
        <w:spacing w:after="0" w:line="120"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4"/>
          </w:cols>
          <w:pgMar w:left="436" w:top="266" w:right="439" w:bottom="1440" w:gutter="0" w:footer="0" w:header="0"/>
        </w:sectPr>
      </w:pPr>
    </w:p>
    <w:bookmarkStart w:id="57" w:name="page58"/>
    <w:bookmarkEnd w:id="57"/>
    <w:p>
      <w:pPr>
        <w:ind w:left="1184" w:right="60" w:hanging="644"/>
        <w:spacing w:after="0" w:line="266" w:lineRule="auto"/>
        <w:tabs>
          <w:tab w:leader="none" w:pos="118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Disposal Proceeds arising from any individual Disposal is equal to or less than USD10,000,000 and in aggregate equal to or less than USD50,000,000 in any Financial Year of the Borrower (and for the avoidance of doubt, any amount in excess of (to the extent of such excess) the de minimis thresholds set out in this paragraph (ii) shall count towards “Disposal Proceeds”).</w:t>
      </w:r>
    </w:p>
    <w:p>
      <w:pPr>
        <w:spacing w:after="0" w:line="81" w:lineRule="exact"/>
        <w:rPr>
          <w:rFonts w:ascii="Times New Roman" w:cs="Times New Roman" w:eastAsia="Times New Roman" w:hAnsi="Times New Roman"/>
          <w:sz w:val="18"/>
          <w:szCs w:val="18"/>
          <w:color w:val="auto"/>
        </w:rPr>
      </w:pPr>
    </w:p>
    <w:p>
      <w:pPr>
        <w:ind w:left="544" w:right="180" w:hanging="544"/>
        <w:spacing w:after="0" w:line="282" w:lineRule="auto"/>
        <w:tabs>
          <w:tab w:leader="none" w:pos="5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prepay the Loans, and cancels Available Commitments, in each case, in amounts equal to 50 per cent. of the amount of any Disposal Proceeds on the last day of the Interest Period during which the later of the following falls: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receipt of such Disposal Proceeds; or</w:t>
      </w:r>
    </w:p>
    <w:p>
      <w:pPr>
        <w:spacing w:after="0" w:line="131" w:lineRule="exact"/>
        <w:rPr>
          <w:sz w:val="20"/>
          <w:szCs w:val="20"/>
          <w:color w:val="auto"/>
        </w:rPr>
      </w:pPr>
    </w:p>
    <w:p>
      <w:pPr>
        <w:ind w:left="1184" w:hanging="644"/>
        <w:spacing w:after="0"/>
        <w:tabs>
          <w:tab w:leader="none" w:pos="118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applicable Reinvestment Period,</w:t>
      </w:r>
    </w:p>
    <w:p>
      <w:pPr>
        <w:spacing w:after="0" w:line="11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and in the order of application contemplated by Clause 8.3 (</w:t>
      </w:r>
      <w:r>
        <w:rPr>
          <w:rFonts w:ascii="Times New Roman" w:cs="Times New Roman" w:eastAsia="Times New Roman" w:hAnsi="Times New Roman"/>
          <w:sz w:val="18"/>
          <w:szCs w:val="18"/>
          <w:i w:val="1"/>
          <w:iCs w:val="1"/>
          <w:color w:val="auto"/>
        </w:rPr>
        <w:t>Application of mandatory prepayments and cancellations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Application of mandatory prepayments and cancellations</w:t>
      </w:r>
    </w:p>
    <w:p>
      <w:pPr>
        <w:spacing w:after="0" w:line="11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 prepayment of Loans or cancellation of Available Commitments under Clause 8.2 (</w:t>
      </w:r>
      <w:r>
        <w:rPr>
          <w:rFonts w:ascii="Times New Roman" w:cs="Times New Roman" w:eastAsia="Times New Roman" w:hAnsi="Times New Roman"/>
          <w:sz w:val="18"/>
          <w:szCs w:val="18"/>
          <w:i w:val="1"/>
          <w:iCs w:val="1"/>
          <w:color w:val="auto"/>
        </w:rPr>
        <w:t>Disposal Proceeds</w:t>
      </w:r>
      <w:r>
        <w:rPr>
          <w:rFonts w:ascii="Times New Roman" w:cs="Times New Roman" w:eastAsia="Times New Roman" w:hAnsi="Times New Roman"/>
          <w:sz w:val="18"/>
          <w:szCs w:val="18"/>
          <w:color w:val="auto"/>
        </w:rPr>
        <w:t>) shall be applied in the following order:</w:t>
      </w:r>
    </w:p>
    <w:p>
      <w:pPr>
        <w:spacing w:after="0" w:line="131" w:lineRule="exact"/>
        <w:rPr>
          <w:sz w:val="20"/>
          <w:szCs w:val="20"/>
          <w:color w:val="auto"/>
        </w:rPr>
      </w:pPr>
    </w:p>
    <w:p>
      <w:pPr>
        <w:ind w:left="1184" w:right="100" w:hanging="644"/>
        <w:spacing w:after="0" w:line="261" w:lineRule="auto"/>
        <w:tabs>
          <w:tab w:leader="none" w:pos="118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firstly, in prepayment of the Loans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the outstanding Loans (Facility A) and the outstanding Loans (Facility B), such that the proportion of the amount due to be applied in prepayment of Facility A bears to the then outstanding amount of Loans (Facility A) is the same as the proportion of the amount the Borrower shall apply in prepayment of Loans (Facility B) bears to the then outstanding amount of Loans (Facility B); and</w:t>
      </w:r>
    </w:p>
    <w:p>
      <w:pPr>
        <w:spacing w:after="0" w:line="85" w:lineRule="exact"/>
        <w:rPr>
          <w:rFonts w:ascii="Times New Roman" w:cs="Times New Roman" w:eastAsia="Times New Roman" w:hAnsi="Times New Roman"/>
          <w:sz w:val="18"/>
          <w:szCs w:val="18"/>
          <w:color w:val="auto"/>
        </w:rPr>
      </w:pPr>
    </w:p>
    <w:p>
      <w:pPr>
        <w:ind w:left="1184" w:right="220" w:hanging="644"/>
        <w:spacing w:after="0" w:line="284" w:lineRule="auto"/>
        <w:tabs>
          <w:tab w:leader="none" w:pos="118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thereafter, in cancellation of Available Commitments under each Facility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(and the Available Commitments of each Lender under each Facility will be cancelled rateably).</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Excluded proceeds</w:t>
      </w:r>
    </w:p>
    <w:p>
      <w:pPr>
        <w:spacing w:after="0" w:line="121" w:lineRule="exact"/>
        <w:rPr>
          <w:sz w:val="20"/>
          <w:szCs w:val="20"/>
          <w:color w:val="auto"/>
        </w:rPr>
      </w:pPr>
    </w:p>
    <w:p>
      <w:pPr>
        <w:ind w:left="544" w:right="40"/>
        <w:spacing w:after="0" w:line="261" w:lineRule="auto"/>
        <w:rPr>
          <w:sz w:val="20"/>
          <w:szCs w:val="20"/>
          <w:color w:val="auto"/>
        </w:rPr>
      </w:pPr>
      <w:r>
        <w:rPr>
          <w:rFonts w:ascii="Times New Roman" w:cs="Times New Roman" w:eastAsia="Times New Roman" w:hAnsi="Times New Roman"/>
          <w:sz w:val="18"/>
          <w:szCs w:val="18"/>
          <w:color w:val="auto"/>
        </w:rPr>
        <w:t>Where Excluded Disposal Proceeds are intended to be used for a specific purpose within a specified period, the Company shall ensure that those amounts are used for that purpose and, if requested to do so by the Agent, shall promptly deliver a certificate to the Agent at the time of such application and at the end of such period confirming the amount (if any) which has been so applied within the requisite time periods provided for in the relevant definition.</w:t>
      </w:r>
    </w:p>
    <w:p>
      <w:pPr>
        <w:spacing w:after="0" w:line="324" w:lineRule="exact"/>
        <w:rPr>
          <w:sz w:val="20"/>
          <w:szCs w:val="20"/>
          <w:color w:val="auto"/>
        </w:rPr>
      </w:pPr>
    </w:p>
    <w:p>
      <w:pPr>
        <w:ind w:left="544" w:hanging="544"/>
        <w:spacing w:after="0"/>
        <w:tabs>
          <w:tab w:leader="none" w:pos="544"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Notices of cancellation or prepayment</w:t>
      </w:r>
    </w:p>
    <w:p>
      <w:pPr>
        <w:spacing w:after="0" w:line="119" w:lineRule="exact"/>
        <w:rPr>
          <w:sz w:val="20"/>
          <w:szCs w:val="20"/>
          <w:color w:val="auto"/>
        </w:rPr>
      </w:pPr>
    </w:p>
    <w:p>
      <w:pPr>
        <w:ind w:left="544" w:right="260"/>
        <w:spacing w:after="0" w:line="267" w:lineRule="auto"/>
        <w:rPr>
          <w:sz w:val="20"/>
          <w:szCs w:val="20"/>
          <w:color w:val="auto"/>
        </w:rPr>
      </w:pPr>
      <w:r>
        <w:rPr>
          <w:rFonts w:ascii="Times New Roman" w:cs="Times New Roman" w:eastAsia="Times New Roman" w:hAnsi="Times New Roman"/>
          <w:sz w:val="18"/>
          <w:szCs w:val="18"/>
          <w:color w:val="auto"/>
        </w:rPr>
        <w:t>Any notice of cancellation or prepayment given by any Party under Clause 7 (</w:t>
      </w:r>
      <w:r>
        <w:rPr>
          <w:rFonts w:ascii="Times New Roman" w:cs="Times New Roman" w:eastAsia="Times New Roman" w:hAnsi="Times New Roman"/>
          <w:sz w:val="18"/>
          <w:szCs w:val="18"/>
          <w:i w:val="1"/>
          <w:iCs w:val="1"/>
          <w:color w:val="auto"/>
        </w:rPr>
        <w:t>Illegality, voluntary prepayment and cancellation</w:t>
      </w:r>
      <w:r>
        <w:rPr>
          <w:rFonts w:ascii="Times New Roman" w:cs="Times New Roman" w:eastAsia="Times New Roman" w:hAnsi="Times New Roman"/>
          <w:sz w:val="18"/>
          <w:szCs w:val="18"/>
          <w:color w:val="auto"/>
        </w:rPr>
        <w:t>) shall be irrevocable and, unless a contrary indication appears in this Agreement, shall specify the date or dates upon which the relevant cancellation or prepayment is to be made and the amount of that cancellation or prepayment.</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4"/>
          </w:cols>
          <w:pgMar w:left="436" w:top="270" w:right="439" w:bottom="1440" w:gutter="0" w:footer="0" w:header="0"/>
        </w:sectPr>
      </w:pPr>
    </w:p>
    <w:bookmarkStart w:id="58" w:name="page59"/>
    <w:bookmarkEnd w:id="58"/>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9.2</w:t>
      </w:r>
      <w:r>
        <w:rPr>
          <w:sz w:val="20"/>
          <w:szCs w:val="20"/>
          <w:color w:val="auto"/>
        </w:rPr>
        <w:tab/>
      </w:r>
      <w:r>
        <w:rPr>
          <w:rFonts w:ascii="Times New Roman" w:cs="Times New Roman" w:eastAsia="Times New Roman" w:hAnsi="Times New Roman"/>
          <w:sz w:val="17"/>
          <w:szCs w:val="17"/>
          <w:b w:val="1"/>
          <w:bCs w:val="1"/>
          <w:color w:val="auto"/>
        </w:rPr>
        <w:t>Interest and other amounts</w:t>
      </w:r>
    </w:p>
    <w:p>
      <w:pPr>
        <w:spacing w:after="0" w:line="121" w:lineRule="exact"/>
        <w:rPr>
          <w:sz w:val="20"/>
          <w:szCs w:val="20"/>
          <w:color w:val="auto"/>
        </w:rPr>
      </w:pPr>
    </w:p>
    <w:p>
      <w:pPr>
        <w:ind w:left="540" w:right="220"/>
        <w:spacing w:after="0" w:line="282" w:lineRule="auto"/>
        <w:rPr>
          <w:sz w:val="20"/>
          <w:szCs w:val="20"/>
          <w:color w:val="auto"/>
        </w:rPr>
      </w:pPr>
      <w:r>
        <w:rPr>
          <w:rFonts w:ascii="Times New Roman" w:cs="Times New Roman" w:eastAsia="Times New Roman" w:hAnsi="Times New Roman"/>
          <w:sz w:val="18"/>
          <w:szCs w:val="18"/>
          <w:color w:val="auto"/>
        </w:rPr>
        <w:t>Any prepayment under this Agreement shall be made together with accrued interest on the amount prepaid and, subject to any Break Costs (as applicable), without premium or penalty.</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Prepayment in accordance with Agreement</w:t>
      </w:r>
    </w:p>
    <w:p>
      <w:pPr>
        <w:spacing w:after="0" w:line="121" w:lineRule="exact"/>
        <w:rPr>
          <w:sz w:val="20"/>
          <w:szCs w:val="20"/>
          <w:color w:val="auto"/>
        </w:rPr>
      </w:pPr>
    </w:p>
    <w:p>
      <w:pPr>
        <w:ind w:left="540" w:right="220"/>
        <w:spacing w:after="0" w:line="282" w:lineRule="auto"/>
        <w:rPr>
          <w:sz w:val="20"/>
          <w:szCs w:val="20"/>
          <w:color w:val="auto"/>
        </w:rPr>
      </w:pPr>
      <w:r>
        <w:rPr>
          <w:rFonts w:ascii="Times New Roman" w:cs="Times New Roman" w:eastAsia="Times New Roman" w:hAnsi="Times New Roman"/>
          <w:sz w:val="18"/>
          <w:szCs w:val="18"/>
          <w:color w:val="auto"/>
        </w:rPr>
        <w:t>The Borrower shall not repay or prepay all or any part of the Loans or cancel all or any part of the Commitments except at the times and in the manner expressly provided for in this Agreement.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No reinstatement of Commitments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amount of the Total Commitments cancelled under this Agreement may be subsequently reinstated.</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7"/>
          <w:szCs w:val="17"/>
          <w:b w:val="1"/>
          <w:bCs w:val="1"/>
          <w:color w:val="auto"/>
        </w:rPr>
        <w:t>Agent’s receipt of notices</w:t>
      </w:r>
    </w:p>
    <w:p>
      <w:pPr>
        <w:spacing w:after="0" w:line="119" w:lineRule="exact"/>
        <w:rPr>
          <w:sz w:val="20"/>
          <w:szCs w:val="20"/>
          <w:color w:val="auto"/>
        </w:rPr>
      </w:pPr>
    </w:p>
    <w:p>
      <w:pPr>
        <w:ind w:left="540" w:right="160"/>
        <w:spacing w:after="0" w:line="284" w:lineRule="auto"/>
        <w:rPr>
          <w:sz w:val="20"/>
          <w:szCs w:val="20"/>
          <w:color w:val="auto"/>
        </w:rPr>
      </w:pPr>
      <w:r>
        <w:rPr>
          <w:rFonts w:ascii="Times New Roman" w:cs="Times New Roman" w:eastAsia="Times New Roman" w:hAnsi="Times New Roman"/>
          <w:sz w:val="18"/>
          <w:szCs w:val="18"/>
          <w:color w:val="auto"/>
        </w:rPr>
        <w:t>If the Agent receives a notice under Clause 7 (</w:t>
      </w:r>
      <w:r>
        <w:rPr>
          <w:rFonts w:ascii="Times New Roman" w:cs="Times New Roman" w:eastAsia="Times New Roman" w:hAnsi="Times New Roman"/>
          <w:sz w:val="18"/>
          <w:szCs w:val="18"/>
          <w:i w:val="1"/>
          <w:iCs w:val="1"/>
          <w:color w:val="auto"/>
        </w:rPr>
        <w:t>Illegality, voluntary prepayment and cancellation</w:t>
      </w:r>
      <w:r>
        <w:rPr>
          <w:rFonts w:ascii="Times New Roman" w:cs="Times New Roman" w:eastAsia="Times New Roman" w:hAnsi="Times New Roman"/>
          <w:sz w:val="18"/>
          <w:szCs w:val="18"/>
          <w:color w:val="auto"/>
        </w:rPr>
        <w:t>) it shall promptly forward a copy of that notice to either the Borrower or the affected Lender, as appropriate.</w:t>
      </w:r>
    </w:p>
    <w:p>
      <w:pPr>
        <w:spacing w:after="0" w:line="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7"/>
          <w:szCs w:val="17"/>
          <w:b w:val="1"/>
          <w:bCs w:val="1"/>
          <w:color w:val="auto"/>
        </w:rPr>
        <w:t>Effect of repayment and prepayment on Commitments</w:t>
      </w:r>
    </w:p>
    <w:p>
      <w:pPr>
        <w:spacing w:after="0" w:line="121" w:lineRule="exact"/>
        <w:rPr>
          <w:sz w:val="20"/>
          <w:szCs w:val="20"/>
          <w:color w:val="auto"/>
        </w:rPr>
      </w:pPr>
    </w:p>
    <w:p>
      <w:pPr>
        <w:ind w:left="540" w:right="180"/>
        <w:spacing w:after="0" w:line="282" w:lineRule="auto"/>
        <w:rPr>
          <w:sz w:val="20"/>
          <w:szCs w:val="20"/>
          <w:color w:val="auto"/>
        </w:rPr>
      </w:pPr>
      <w:r>
        <w:rPr>
          <w:rFonts w:ascii="Times New Roman" w:cs="Times New Roman" w:eastAsia="Times New Roman" w:hAnsi="Times New Roman"/>
          <w:sz w:val="18"/>
          <w:szCs w:val="18"/>
          <w:color w:val="auto"/>
        </w:rPr>
        <w:t>If all or part of any Lender’s participation in a Loan under any Facility is repaid or prepaid, an amount of that Lender’s Commitment in respect of that Facility will be deemed to be cancelled on the date of repayment or prepayment.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7"/>
          <w:szCs w:val="17"/>
          <w:b w:val="1"/>
          <w:bCs w:val="1"/>
          <w:color w:val="auto"/>
        </w:rPr>
        <w:t>Application of prepayments</w:t>
      </w:r>
    </w:p>
    <w:p>
      <w:pPr>
        <w:spacing w:after="0" w:line="119" w:lineRule="exact"/>
        <w:rPr>
          <w:sz w:val="20"/>
          <w:szCs w:val="20"/>
          <w:color w:val="auto"/>
        </w:rPr>
      </w:pPr>
    </w:p>
    <w:p>
      <w:pPr>
        <w:ind w:left="540" w:right="300"/>
        <w:spacing w:after="0" w:line="284" w:lineRule="auto"/>
        <w:rPr>
          <w:sz w:val="20"/>
          <w:szCs w:val="20"/>
          <w:color w:val="auto"/>
        </w:rPr>
      </w:pPr>
      <w:r>
        <w:rPr>
          <w:rFonts w:ascii="Times New Roman" w:cs="Times New Roman" w:eastAsia="Times New Roman" w:hAnsi="Times New Roman"/>
          <w:sz w:val="18"/>
          <w:szCs w:val="18"/>
          <w:color w:val="auto"/>
        </w:rPr>
        <w:t>Any prepayment of a Loan (other than a prepayment pursuant to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or Clause 7.4 (</w:t>
      </w:r>
      <w:r>
        <w:rPr>
          <w:rFonts w:ascii="Times New Roman" w:cs="Times New Roman" w:eastAsia="Times New Roman" w:hAnsi="Times New Roman"/>
          <w:sz w:val="18"/>
          <w:szCs w:val="18"/>
          <w:i w:val="1"/>
          <w:iCs w:val="1"/>
          <w:color w:val="auto"/>
        </w:rPr>
        <w:t>Right of replacement or repayment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cancellation in relation to a single Lender</w:t>
      </w:r>
      <w:r>
        <w:rPr>
          <w:rFonts w:ascii="Times New Roman" w:cs="Times New Roman" w:eastAsia="Times New Roman" w:hAnsi="Times New Roman"/>
          <w:sz w:val="18"/>
          <w:szCs w:val="18"/>
          <w:color w:val="auto"/>
        </w:rPr>
        <w:t>)) shall be applied pro rata to each Lender’s participation in that Loan.</w:t>
      </w:r>
    </w:p>
    <w:p>
      <w:pPr>
        <w:spacing w:after="0" w:line="93"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66" w:right="439" w:bottom="1440" w:gutter="0" w:footer="0" w:header="0"/>
        </w:sectPr>
      </w:pPr>
    </w:p>
    <w:bookmarkStart w:id="59" w:name="page60"/>
    <w:bookmarkEnd w:id="5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COSTS OF UTILISATION</w:t>
      </w:r>
    </w:p>
    <w:p>
      <w:pPr>
        <w:spacing w:after="0" w:line="252" w:lineRule="exact"/>
        <w:rPr>
          <w:sz w:val="20"/>
          <w:szCs w:val="20"/>
          <w:color w:val="auto"/>
        </w:rPr>
      </w:pPr>
    </w:p>
    <w:p>
      <w:pPr>
        <w:ind w:left="544" w:hanging="544"/>
        <w:spacing w:after="0"/>
        <w:tabs>
          <w:tab w:leader="none" w:pos="544"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Calculation of interest (Facility A)</w:t>
      </w:r>
    </w:p>
    <w:p>
      <w:pPr>
        <w:spacing w:after="0" w:line="121" w:lineRule="exact"/>
        <w:rPr>
          <w:sz w:val="20"/>
          <w:szCs w:val="20"/>
          <w:color w:val="auto"/>
        </w:rPr>
      </w:pPr>
    </w:p>
    <w:p>
      <w:pPr>
        <w:ind w:left="544" w:right="100"/>
        <w:spacing w:after="0" w:line="282" w:lineRule="auto"/>
        <w:rPr>
          <w:sz w:val="20"/>
          <w:szCs w:val="20"/>
          <w:color w:val="auto"/>
        </w:rPr>
      </w:pPr>
      <w:r>
        <w:rPr>
          <w:rFonts w:ascii="Times New Roman" w:cs="Times New Roman" w:eastAsia="Times New Roman" w:hAnsi="Times New Roman"/>
          <w:sz w:val="18"/>
          <w:szCs w:val="18"/>
          <w:color w:val="auto"/>
        </w:rPr>
        <w:t>The rate of interest on each Loan (Facility A) for each Interest Period relating thereto is the percentage rate per annum which is the aggregate of the applicable:</w:t>
      </w:r>
    </w:p>
    <w:p>
      <w:pPr>
        <w:spacing w:after="0" w:line="67" w:lineRule="exact"/>
        <w:rPr>
          <w:sz w:val="20"/>
          <w:szCs w:val="20"/>
          <w:color w:val="auto"/>
        </w:rPr>
      </w:pPr>
    </w:p>
    <w:p>
      <w:pPr>
        <w:ind w:left="1184" w:hanging="644"/>
        <w:spacing w:after="0"/>
        <w:tabs>
          <w:tab w:leader="none" w:pos="118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EURIBOR.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Calculation of interest (Facility B)</w:t>
      </w:r>
    </w:p>
    <w:p>
      <w:pPr>
        <w:spacing w:after="0" w:line="121" w:lineRule="exact"/>
        <w:rPr>
          <w:sz w:val="20"/>
          <w:szCs w:val="20"/>
          <w:color w:val="auto"/>
        </w:rPr>
      </w:pPr>
    </w:p>
    <w:p>
      <w:pPr>
        <w:ind w:left="544" w:right="120"/>
        <w:spacing w:after="0" w:line="282" w:lineRule="auto"/>
        <w:rPr>
          <w:sz w:val="20"/>
          <w:szCs w:val="20"/>
          <w:color w:val="auto"/>
        </w:rPr>
      </w:pPr>
      <w:r>
        <w:rPr>
          <w:rFonts w:ascii="Times New Roman" w:cs="Times New Roman" w:eastAsia="Times New Roman" w:hAnsi="Times New Roman"/>
          <w:sz w:val="18"/>
          <w:szCs w:val="18"/>
          <w:color w:val="auto"/>
        </w:rPr>
        <w:t>The rate of interest on each Loan (Facility B) for each Interest Period relating thereto is the percentage rate per annum which is the aggregate of the applicable:</w:t>
      </w:r>
    </w:p>
    <w:p>
      <w:pPr>
        <w:spacing w:after="0" w:line="67" w:lineRule="exact"/>
        <w:rPr>
          <w:sz w:val="20"/>
          <w:szCs w:val="20"/>
          <w:color w:val="auto"/>
        </w:rPr>
      </w:pPr>
    </w:p>
    <w:p>
      <w:pPr>
        <w:ind w:left="1184" w:hanging="644"/>
        <w:spacing w:after="0"/>
        <w:tabs>
          <w:tab w:leader="none" w:pos="118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Rate.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Payment of interest</w:t>
      </w:r>
    </w:p>
    <w:p>
      <w:pPr>
        <w:spacing w:after="0" w:line="121" w:lineRule="exact"/>
        <w:rPr>
          <w:sz w:val="20"/>
          <w:szCs w:val="20"/>
          <w:color w:val="auto"/>
        </w:rPr>
      </w:pPr>
    </w:p>
    <w:p>
      <w:pPr>
        <w:ind w:left="544" w:right="80"/>
        <w:spacing w:after="0" w:line="282" w:lineRule="auto"/>
        <w:rPr>
          <w:sz w:val="20"/>
          <w:szCs w:val="20"/>
          <w:color w:val="auto"/>
        </w:rPr>
      </w:pPr>
      <w:r>
        <w:rPr>
          <w:rFonts w:ascii="Times New Roman" w:cs="Times New Roman" w:eastAsia="Times New Roman" w:hAnsi="Times New Roman"/>
          <w:sz w:val="18"/>
          <w:szCs w:val="18"/>
          <w:color w:val="auto"/>
        </w:rPr>
        <w:t>The Borrower shall pay accrued interest on each Loan on the last day of each Interest Period relating thereto (and, if the Interest Period is longer than six Months, on the dates falling at six monthly intervals after the first day of the Interest Period).</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Default interest</w:t>
      </w:r>
    </w:p>
    <w:p>
      <w:pPr>
        <w:spacing w:after="0" w:line="135" w:lineRule="exact"/>
        <w:rPr>
          <w:sz w:val="20"/>
          <w:szCs w:val="20"/>
          <w:color w:val="auto"/>
        </w:rPr>
      </w:pPr>
    </w:p>
    <w:p>
      <w:pPr>
        <w:ind w:left="544" w:right="240" w:hanging="544"/>
        <w:spacing w:after="0" w:line="276" w:lineRule="auto"/>
        <w:tabs>
          <w:tab w:leader="none" w:pos="544"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Obligor fails to pay any amount payable by it under a Finance Document on its due date, interest shall accrue on an Unpaid Sum from its due date up to the date of actual payment (both before and after judgment) at a rate which, subject to paragraph (b) below, is the sum of two</w:t>
      </w:r>
    </w:p>
    <w:p>
      <w:pPr>
        <w:ind w:left="544" w:right="1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per cent. and the rate which would have been payable if that Unpaid Sum had, during the period of non-payment, constituted a Loan in the currency of that Unpaid Sum for successive Interest Periods, each of a duration selected by the Agent (acting reasonably). Any interest accruing under this Clause 10.4 shall be immediately payable by the relevant Obligor on demand by the Agent.</w:t>
      </w:r>
    </w:p>
    <w:p>
      <w:pPr>
        <w:spacing w:after="0" w:line="91" w:lineRule="exact"/>
        <w:rPr>
          <w:rFonts w:ascii="Times New Roman" w:cs="Times New Roman" w:eastAsia="Times New Roman" w:hAnsi="Times New Roman"/>
          <w:sz w:val="17"/>
          <w:szCs w:val="17"/>
          <w:color w:val="auto"/>
        </w:rPr>
      </w:pPr>
    </w:p>
    <w:p>
      <w:pPr>
        <w:ind w:left="544" w:right="240" w:hanging="544"/>
        <w:spacing w:after="0" w:line="282" w:lineRule="auto"/>
        <w:tabs>
          <w:tab w:leader="none" w:pos="5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Unpaid Sum consists of all or part of a Loan which became due on a day which was not the last day of an Interest Period relating to that Loan:</w:t>
      </w:r>
    </w:p>
    <w:p>
      <w:pPr>
        <w:spacing w:after="0" w:line="67" w:lineRule="exact"/>
        <w:rPr>
          <w:sz w:val="20"/>
          <w:szCs w:val="20"/>
          <w:color w:val="auto"/>
        </w:rPr>
      </w:pPr>
    </w:p>
    <w:p>
      <w:pPr>
        <w:ind w:left="1184" w:right="20" w:hanging="644"/>
        <w:spacing w:after="0" w:line="282" w:lineRule="auto"/>
        <w:tabs>
          <w:tab w:leader="none" w:pos="118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Interest Period for that Unpaid Sum shall have a duration equal to the unexpired portion of the current Interest Period relating to that Loan; and</w:t>
      </w:r>
    </w:p>
    <w:p>
      <w:pPr>
        <w:spacing w:after="0" w:line="67"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applying to that Unpaid Sum during that first Interest Period shall be the sum of two (2) per cent. and the rate which would have applied if that Unpaid Sum had not become due.</w:t>
      </w:r>
    </w:p>
    <w:p>
      <w:pPr>
        <w:spacing w:after="0" w:line="67" w:lineRule="exact"/>
        <w:rPr>
          <w:rFonts w:ascii="Times New Roman" w:cs="Times New Roman" w:eastAsia="Times New Roman" w:hAnsi="Times New Roman"/>
          <w:sz w:val="18"/>
          <w:szCs w:val="18"/>
          <w:color w:val="auto"/>
        </w:rPr>
      </w:pPr>
    </w:p>
    <w:p>
      <w:pPr>
        <w:ind w:left="544" w:right="120" w:hanging="544"/>
        <w:spacing w:after="0" w:line="282" w:lineRule="auto"/>
        <w:tabs>
          <w:tab w:leader="none" w:pos="5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interest (if unpaid) arising on an Unpaid Sum will be compounded with that Unpaid Sum at the end of each Interest Period applicable to that Unpaid Sum but will remain immediately due and payable.</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4"/>
          </w:cols>
          <w:pgMar w:left="436" w:top="266" w:right="439" w:bottom="1440" w:gutter="0" w:footer="0" w:header="0"/>
        </w:sectPr>
      </w:pPr>
    </w:p>
    <w:bookmarkStart w:id="60" w:name="page61"/>
    <w:bookmarkEnd w:id="60"/>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10.5</w:t>
      </w:r>
      <w:r>
        <w:rPr>
          <w:sz w:val="20"/>
          <w:szCs w:val="20"/>
          <w:color w:val="auto"/>
        </w:rPr>
        <w:tab/>
      </w:r>
      <w:r>
        <w:rPr>
          <w:rFonts w:ascii="Times New Roman" w:cs="Times New Roman" w:eastAsia="Times New Roman" w:hAnsi="Times New Roman"/>
          <w:sz w:val="17"/>
          <w:szCs w:val="17"/>
          <w:b w:val="1"/>
          <w:bCs w:val="1"/>
          <w:color w:val="auto"/>
        </w:rPr>
        <w:t>Notification of rates of interest</w:t>
      </w:r>
    </w:p>
    <w:p>
      <w:pPr>
        <w:spacing w:after="0" w:line="135" w:lineRule="exact"/>
        <w:rPr>
          <w:sz w:val="20"/>
          <w:szCs w:val="20"/>
          <w:color w:val="auto"/>
        </w:rPr>
      </w:pPr>
    </w:p>
    <w:p>
      <w:pPr>
        <w:ind w:left="544" w:hanging="544"/>
        <w:spacing w:after="0"/>
        <w:tabs>
          <w:tab w:leader="none" w:pos="54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notify the relevant Lenders and the Borrower of the determination of a rate of interest under this Agreement.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notify the Borrower of each Funding Rate relating to a Loan (Facility A).</w:t>
      </w:r>
    </w:p>
    <w:p>
      <w:pPr>
        <w:spacing w:after="0" w:line="370" w:lineRule="exact"/>
        <w:rPr>
          <w:sz w:val="20"/>
          <w:szCs w:val="20"/>
          <w:color w:val="auto"/>
        </w:rPr>
      </w:pPr>
    </w:p>
    <w:p>
      <w:pPr>
        <w:ind w:left="544" w:hanging="544"/>
        <w:spacing w:after="0"/>
        <w:tabs>
          <w:tab w:leader="none" w:pos="544"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PERIODS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Selection of Interest Periods</w:t>
      </w:r>
    </w:p>
    <w:p>
      <w:pPr>
        <w:spacing w:after="0" w:line="135" w:lineRule="exact"/>
        <w:rPr>
          <w:sz w:val="20"/>
          <w:szCs w:val="20"/>
          <w:color w:val="auto"/>
        </w:rPr>
      </w:pPr>
    </w:p>
    <w:p>
      <w:pPr>
        <w:ind w:left="544" w:right="260" w:hanging="544"/>
        <w:spacing w:after="0" w:line="282" w:lineRule="auto"/>
        <w:tabs>
          <w:tab w:leader="none" w:pos="54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select an Interest Period for a Loan in the Utilisation Request for that Loan or (if the Loan has already been borrowed) in a Selection Notice.</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Selection Notice for a Loan is irrevocable and must be delivered to the Agent by the Borrower not later than the Specified Time.</w:t>
      </w:r>
    </w:p>
    <w:p>
      <w:pPr>
        <w:spacing w:after="0" w:line="130" w:lineRule="exact"/>
        <w:rPr>
          <w:rFonts w:ascii="Times New Roman" w:cs="Times New Roman" w:eastAsia="Times New Roman" w:hAnsi="Times New Roman"/>
          <w:sz w:val="18"/>
          <w:szCs w:val="18"/>
          <w:color w:val="auto"/>
        </w:rPr>
      </w:pPr>
    </w:p>
    <w:p>
      <w:pPr>
        <w:ind w:left="544" w:right="200" w:hanging="544"/>
        <w:spacing w:after="0" w:line="282" w:lineRule="auto"/>
        <w:tabs>
          <w:tab w:leader="none" w:pos="54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Selection Notice to the Agent in accordance with paragraph (b) above, the relevant Interest Period will be one Month.</w:t>
      </w:r>
    </w:p>
    <w:p>
      <w:pPr>
        <w:spacing w:after="0" w:line="67" w:lineRule="exact"/>
        <w:rPr>
          <w:rFonts w:ascii="Times New Roman" w:cs="Times New Roman" w:eastAsia="Times New Roman" w:hAnsi="Times New Roman"/>
          <w:sz w:val="18"/>
          <w:szCs w:val="18"/>
          <w:color w:val="auto"/>
        </w:rPr>
      </w:pPr>
    </w:p>
    <w:p>
      <w:pPr>
        <w:ind w:left="544" w:right="640" w:hanging="544"/>
        <w:spacing w:after="0" w:line="282" w:lineRule="auto"/>
        <w:tabs>
          <w:tab w:leader="none" w:pos="54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Clause 11, the Borrower may select an Interest Period of one (1), three (3) or six (6) Months or of any other period agreed between the Company, the Agent and all the Lenders in relation to the relevant Loan.</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Period for a Loan shall not extend beyond the Termination Date.</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Interest Period for a Loan shall start on its Utilisation Date or (if already made) on the last day of its preceding Interest Period.</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Non-Business Days</w:t>
      </w:r>
    </w:p>
    <w:p>
      <w:pPr>
        <w:spacing w:after="0" w:line="121" w:lineRule="exact"/>
        <w:rPr>
          <w:sz w:val="20"/>
          <w:szCs w:val="20"/>
          <w:color w:val="auto"/>
        </w:rPr>
      </w:pPr>
    </w:p>
    <w:p>
      <w:pPr>
        <w:ind w:left="544" w:right="80"/>
        <w:spacing w:after="0" w:line="282" w:lineRule="auto"/>
        <w:rPr>
          <w:sz w:val="20"/>
          <w:szCs w:val="20"/>
          <w:color w:val="auto"/>
        </w:rPr>
      </w:pPr>
      <w:r>
        <w:rPr>
          <w:rFonts w:ascii="Times New Roman" w:cs="Times New Roman" w:eastAsia="Times New Roman" w:hAnsi="Times New Roman"/>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Consolidation and division of Loans</w:t>
      </w:r>
    </w:p>
    <w:p>
      <w:pPr>
        <w:spacing w:after="0" w:line="135" w:lineRule="exact"/>
        <w:rPr>
          <w:sz w:val="20"/>
          <w:szCs w:val="20"/>
          <w:color w:val="auto"/>
        </w:rPr>
      </w:pPr>
    </w:p>
    <w:p>
      <w:pPr>
        <w:ind w:left="544" w:right="80" w:hanging="544"/>
        <w:spacing w:after="0" w:line="266" w:lineRule="auto"/>
        <w:tabs>
          <w:tab w:leader="none" w:pos="54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Interest Periods relate to Loans in the same currency and end on the same date, those Loans will, unless the Borrower specifies to the contrary in the Selection Notice for the next Interest Period, be consolidated into, and treated as, a single Loan on the last day of the Interest Period.</w:t>
      </w:r>
    </w:p>
    <w:p>
      <w:pPr>
        <w:spacing w:after="0" w:line="79" w:lineRule="exact"/>
        <w:rPr>
          <w:rFonts w:ascii="Times New Roman" w:cs="Times New Roman" w:eastAsia="Times New Roman" w:hAnsi="Times New Roman"/>
          <w:sz w:val="18"/>
          <w:szCs w:val="18"/>
          <w:color w:val="auto"/>
        </w:rPr>
      </w:pPr>
    </w:p>
    <w:p>
      <w:pPr>
        <w:ind w:left="544" w:right="40" w:hanging="544"/>
        <w:spacing w:after="0" w:line="267" w:lineRule="auto"/>
        <w:tabs>
          <w:tab w:leader="none" w:pos="54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4.3 (</w:t>
      </w:r>
      <w:r>
        <w:rPr>
          <w:rFonts w:ascii="Times New Roman" w:cs="Times New Roman" w:eastAsia="Times New Roman" w:hAnsi="Times New Roman"/>
          <w:sz w:val="18"/>
          <w:szCs w:val="18"/>
          <w:i w:val="1"/>
          <w:iCs w:val="1"/>
          <w:color w:val="auto"/>
        </w:rPr>
        <w:t>Maximum number of Loans</w:t>
      </w:r>
      <w:r>
        <w:rPr>
          <w:rFonts w:ascii="Times New Roman" w:cs="Times New Roman" w:eastAsia="Times New Roman" w:hAnsi="Times New Roman"/>
          <w:sz w:val="18"/>
          <w:szCs w:val="18"/>
          <w:color w:val="auto"/>
        </w:rPr>
        <w:t>) and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 if the Borrower requests in a Selection Notice that a Loan be divided into two or more Loans under the same Facility, that Loan will, on the last day of its Interest Period, be divided into the amounts specified in that Selection Notice, being an aggregate amount equal to the amount of the Loan immediately before its division.</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4"/>
          </w:cols>
          <w:pgMar w:left="436" w:top="266" w:right="439" w:bottom="1440" w:gutter="0" w:footer="0" w:header="0"/>
        </w:sectPr>
      </w:pPr>
    </w:p>
    <w:bookmarkStart w:id="61" w:name="page62"/>
    <w:bookmarkEnd w:id="61"/>
    <w:p>
      <w:pPr>
        <w:ind w:left="544" w:hanging="544"/>
        <w:spacing w:after="0"/>
        <w:tabs>
          <w:tab w:leader="none" w:pos="544"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TO THE CALCULATION OF INTEREST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Unavailability of Screen Rate relating to a Loan (Facility A)</w:t>
      </w:r>
    </w:p>
    <w:p>
      <w:pPr>
        <w:spacing w:after="0" w:line="133" w:lineRule="exact"/>
        <w:rPr>
          <w:sz w:val="20"/>
          <w:szCs w:val="20"/>
          <w:color w:val="auto"/>
        </w:rPr>
      </w:pPr>
    </w:p>
    <w:p>
      <w:pPr>
        <w:ind w:left="544" w:right="220" w:hanging="544"/>
        <w:spacing w:after="0" w:line="284" w:lineRule="auto"/>
        <w:tabs>
          <w:tab w:leader="none" w:pos="54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Interpolated Screen Rate</w:t>
      </w:r>
      <w:r>
        <w:rPr>
          <w:rFonts w:ascii="Times New Roman" w:cs="Times New Roman" w:eastAsia="Times New Roman" w:hAnsi="Times New Roman"/>
          <w:sz w:val="18"/>
          <w:szCs w:val="18"/>
          <w:color w:val="auto"/>
        </w:rPr>
        <w:t>: If no Screen Rate is available for EURIBOR for the Interest Period of a Loan (Facility A), the applicable EURIBOR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the Interpolated Screen Rate for a period equal in length to the Interest Period of that Loan (Facility A).</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Shortened Interest Period: </w:t>
      </w:r>
      <w:r>
        <w:rPr>
          <w:rFonts w:ascii="Times New Roman" w:cs="Times New Roman" w:eastAsia="Times New Roman" w:hAnsi="Times New Roman"/>
          <w:sz w:val="18"/>
          <w:szCs w:val="18"/>
          <w:color w:val="auto"/>
        </w:rPr>
        <w:t>If no Screen Rate is available for EURIBOR for:</w:t>
      </w:r>
    </w:p>
    <w:p>
      <w:pPr>
        <w:spacing w:after="0" w:line="132"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a Loan (Facility A);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Period of a Loan (Facility A) and it is not possible to calculate the Interpolated Screen Rate,</w:t>
      </w:r>
    </w:p>
    <w:p>
      <w:pPr>
        <w:spacing w:after="0" w:line="117" w:lineRule="exact"/>
        <w:rPr>
          <w:sz w:val="20"/>
          <w:szCs w:val="20"/>
          <w:color w:val="auto"/>
        </w:rPr>
      </w:pPr>
    </w:p>
    <w:p>
      <w:pPr>
        <w:ind w:left="544" w:right="500"/>
        <w:spacing w:after="0" w:line="266" w:lineRule="auto"/>
        <w:rPr>
          <w:sz w:val="20"/>
          <w:szCs w:val="20"/>
          <w:color w:val="auto"/>
        </w:rPr>
      </w:pPr>
      <w:r>
        <w:rPr>
          <w:rFonts w:ascii="Times New Roman" w:cs="Times New Roman" w:eastAsia="Times New Roman" w:hAnsi="Times New Roman"/>
          <w:sz w:val="18"/>
          <w:szCs w:val="18"/>
          <w:color w:val="auto"/>
        </w:rPr>
        <w:t>the Interest Period of that Loan (Facility A) shall (if it is longer than the applicable Fallback Interest Period) be shortened to the applicable Fallback Interest Period and the applicable EURIBOR for that shortened Interest Period shall be determined pursuant to the definition of EURIBOR.</w:t>
      </w:r>
    </w:p>
    <w:p>
      <w:pPr>
        <w:spacing w:after="0" w:line="79" w:lineRule="exact"/>
        <w:rPr>
          <w:sz w:val="20"/>
          <w:szCs w:val="20"/>
          <w:color w:val="auto"/>
        </w:rPr>
      </w:pPr>
    </w:p>
    <w:p>
      <w:pPr>
        <w:ind w:left="544" w:right="320" w:hanging="544"/>
        <w:spacing w:after="0" w:line="267" w:lineRule="auto"/>
        <w:tabs>
          <w:tab w:leader="none" w:pos="54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Shortened Interest Period and Historic Screen Rate</w:t>
      </w:r>
      <w:r>
        <w:rPr>
          <w:rFonts w:ascii="Times New Roman" w:cs="Times New Roman" w:eastAsia="Times New Roman" w:hAnsi="Times New Roman"/>
          <w:sz w:val="18"/>
          <w:szCs w:val="18"/>
          <w:color w:val="auto"/>
        </w:rPr>
        <w:t>: If the Interest Period of a Loan (Facility A) is, after giving effect to paragraph (b)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the applicable Fallback Interest Period or shorter than the applicable Fallback Interest Period and, in either case, no Screen Rate is available for EURIBOR for:</w:t>
      </w:r>
    </w:p>
    <w:p>
      <w:pPr>
        <w:spacing w:after="0" w:line="8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that Loan (Facility A);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Period of that Loan (Facility A) and it is not possible to calculate the Interpolated Screen Rate,</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applicable EURIBOR shall be the Historic Screen Rate for that Loan (Facility A).</w:t>
      </w:r>
    </w:p>
    <w:p>
      <w:pPr>
        <w:spacing w:after="0" w:line="129" w:lineRule="exact"/>
        <w:rPr>
          <w:sz w:val="20"/>
          <w:szCs w:val="20"/>
          <w:color w:val="auto"/>
        </w:rPr>
      </w:pPr>
    </w:p>
    <w:p>
      <w:pPr>
        <w:jc w:val="both"/>
        <w:ind w:left="544" w:right="120" w:hanging="544"/>
        <w:spacing w:after="0" w:line="267" w:lineRule="auto"/>
        <w:tabs>
          <w:tab w:leader="none" w:pos="54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Shortened Interest Period and Interpolated Historic Screen Rate</w:t>
      </w:r>
      <w:r>
        <w:rPr>
          <w:rFonts w:ascii="Times New Roman" w:cs="Times New Roman" w:eastAsia="Times New Roman" w:hAnsi="Times New Roman"/>
          <w:sz w:val="18"/>
          <w:szCs w:val="18"/>
          <w:color w:val="auto"/>
        </w:rPr>
        <w:t>: If paragraph (c) above applies but no Historic Screen Rate is available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Period of a Loan (Facility A), the applicable EURIBOR shall be the Interpolated Historic Screen Rate for a period equal in length to the Interest Period of that Loan (Facility A).</w:t>
      </w:r>
    </w:p>
    <w:p>
      <w:pPr>
        <w:spacing w:after="0" w:line="78" w:lineRule="exact"/>
        <w:rPr>
          <w:rFonts w:ascii="Times New Roman" w:cs="Times New Roman" w:eastAsia="Times New Roman" w:hAnsi="Times New Roman"/>
          <w:sz w:val="18"/>
          <w:szCs w:val="18"/>
          <w:color w:val="auto"/>
        </w:rPr>
      </w:pPr>
    </w:p>
    <w:p>
      <w:pPr>
        <w:ind w:left="544" w:right="360" w:hanging="544"/>
        <w:spacing w:after="0" w:line="267" w:lineRule="auto"/>
        <w:tabs>
          <w:tab w:leader="none" w:pos="54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If paragraph (d) above applies but no Interpolated Historic Screen Rate is available for the relevant currency or Interest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shall be no EURIBOR for that Loan (Facility A) and Clause 12.4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shall apply to that Loan (Facility A) for that Interest Period.</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Unavailability of CME Term SOFR</w:t>
      </w:r>
    </w:p>
    <w:p>
      <w:pPr>
        <w:spacing w:after="0" w:line="133" w:lineRule="exact"/>
        <w:rPr>
          <w:sz w:val="20"/>
          <w:szCs w:val="20"/>
          <w:color w:val="auto"/>
        </w:rPr>
      </w:pPr>
    </w:p>
    <w:p>
      <w:pPr>
        <w:ind w:left="544" w:right="140" w:hanging="544"/>
        <w:spacing w:after="0" w:line="284" w:lineRule="auto"/>
        <w:tabs>
          <w:tab w:leader="none" w:pos="54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Interpolated CME Term SOFR</w:t>
      </w:r>
      <w:r>
        <w:rPr>
          <w:rFonts w:ascii="Times New Roman" w:cs="Times New Roman" w:eastAsia="Times New Roman" w:hAnsi="Times New Roman"/>
          <w:sz w:val="18"/>
          <w:szCs w:val="18"/>
          <w:color w:val="auto"/>
        </w:rPr>
        <w:t>: If no CME Term SOFR is available for the Interest Period of a Loan (Facility B), the applicable Reference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the Interpolated CME Term SOFR for a period equal in length to the Interest Period of that Loan (Facility B).</w:t>
      </w:r>
    </w:p>
    <w:p>
      <w:pPr>
        <w:spacing w:after="0" w:line="63" w:lineRule="exact"/>
        <w:rPr>
          <w:rFonts w:ascii="Times New Roman" w:cs="Times New Roman" w:eastAsia="Times New Roman" w:hAnsi="Times New Roman"/>
          <w:sz w:val="18"/>
          <w:szCs w:val="18"/>
          <w:color w:val="auto"/>
        </w:rPr>
      </w:pPr>
    </w:p>
    <w:p>
      <w:pPr>
        <w:ind w:left="544" w:right="80" w:hanging="544"/>
        <w:spacing w:after="0" w:line="261" w:lineRule="auto"/>
        <w:tabs>
          <w:tab w:leader="none" w:pos="54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Shortened Interest Period</w:t>
      </w:r>
      <w:r>
        <w:rPr>
          <w:rFonts w:ascii="Times New Roman" w:cs="Times New Roman" w:eastAsia="Times New Roman" w:hAnsi="Times New Roman"/>
          <w:sz w:val="18"/>
          <w:szCs w:val="18"/>
          <w:color w:val="auto"/>
        </w:rPr>
        <w:t>: If no CME Term SOFR is available for the Interest Period of a Loan (Facility B) and it is not possible to calculate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Interpolated CME Term SOFR, the Interest Period of that Loan (Facility B) shall (if it is longer than the applicable Fallback Interest Period) be shortened to the applicable Fallback Interest Period and the applicable Reference Rate for that shortened Interest Period shall be determined pursuant to the definition of “</w:t>
      </w:r>
      <w:r>
        <w:rPr>
          <w:rFonts w:ascii="Times New Roman" w:cs="Times New Roman" w:eastAsia="Times New Roman" w:hAnsi="Times New Roman"/>
          <w:sz w:val="18"/>
          <w:szCs w:val="18"/>
          <w:b w:val="1"/>
          <w:bCs w:val="1"/>
          <w:color w:val="auto"/>
        </w:rPr>
        <w:t>Reference Rate</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Shortened Interest Period and Historic CME Term SOFR</w:t>
      </w:r>
      <w:r>
        <w:rPr>
          <w:rFonts w:ascii="Times New Roman" w:cs="Times New Roman" w:eastAsia="Times New Roman" w:hAnsi="Times New Roman"/>
          <w:sz w:val="18"/>
          <w:szCs w:val="18"/>
          <w:color w:val="auto"/>
        </w:rPr>
        <w:t>: If the Interest Period of a Loan (Facility B) is, after giving effect to paragraph</w:t>
      </w:r>
    </w:p>
    <w:p>
      <w:pPr>
        <w:spacing w:after="0" w:line="29" w:lineRule="exact"/>
        <w:rPr>
          <w:rFonts w:ascii="Times New Roman" w:cs="Times New Roman" w:eastAsia="Times New Roman" w:hAnsi="Times New Roman"/>
          <w:sz w:val="18"/>
          <w:szCs w:val="18"/>
          <w:color w:val="auto"/>
        </w:rPr>
      </w:pPr>
    </w:p>
    <w:p>
      <w:pPr>
        <w:ind w:left="54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either the applicable Fallback Interest Period or shorter than the applicable Fallback Interest Period and, in either case, no CME Term SOFR is available for the Interest Period of that Loan (Facility B) and it is not possible to calculate the Interpolated CME Term SOFR, the applicable Reference Rate shall be the Historic CME Term SOFR for that Loan (Facility B).</w:t>
      </w:r>
    </w:p>
    <w:p>
      <w:pPr>
        <w:spacing w:after="0" w:line="11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4"/>
          </w:cols>
          <w:pgMar w:left="436" w:top="266" w:right="439" w:bottom="1440" w:gutter="0" w:footer="0" w:header="0"/>
        </w:sectPr>
      </w:pPr>
    </w:p>
    <w:bookmarkStart w:id="62" w:name="page63"/>
    <w:bookmarkEnd w:id="62"/>
    <w:p>
      <w:pPr>
        <w:ind w:left="544" w:right="80" w:hanging="544"/>
        <w:spacing w:after="0" w:line="267" w:lineRule="auto"/>
        <w:tabs>
          <w:tab w:leader="none" w:pos="54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Shortened Interest Period and Interpolated Historic CME Term SOFR</w:t>
      </w:r>
      <w:r>
        <w:rPr>
          <w:rFonts w:ascii="Times New Roman" w:cs="Times New Roman" w:eastAsia="Times New Roman" w:hAnsi="Times New Roman"/>
          <w:sz w:val="18"/>
          <w:szCs w:val="18"/>
          <w:color w:val="auto"/>
        </w:rPr>
        <w:t>: If paragraph (c) above applies but no Historic CME Term SOFR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the Interest Period of the Loan (Facility B), the applicable Reference Rate shall be the Interpolated Historic CME Term SOFR for a period equal in length to the Interest Period of that Loan (Facility B).</w:t>
      </w:r>
    </w:p>
    <w:p>
      <w:pPr>
        <w:spacing w:after="0" w:line="78" w:lineRule="exact"/>
        <w:rPr>
          <w:rFonts w:ascii="Times New Roman" w:cs="Times New Roman" w:eastAsia="Times New Roman" w:hAnsi="Times New Roman"/>
          <w:sz w:val="18"/>
          <w:szCs w:val="18"/>
          <w:color w:val="auto"/>
        </w:rPr>
      </w:pPr>
    </w:p>
    <w:p>
      <w:pPr>
        <w:ind w:left="544" w:right="20" w:hanging="544"/>
        <w:spacing w:after="0" w:line="261" w:lineRule="auto"/>
        <w:tabs>
          <w:tab w:leader="none" w:pos="54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ICE Term SOFR</w:t>
      </w:r>
      <w:r>
        <w:rPr>
          <w:rFonts w:ascii="Times New Roman" w:cs="Times New Roman" w:eastAsia="Times New Roman" w:hAnsi="Times New Roman"/>
          <w:sz w:val="18"/>
          <w:szCs w:val="18"/>
          <w:color w:val="auto"/>
        </w:rPr>
        <w:t>: If paragraph (d) above applies but it is not possible to calculate the Interpolated Historic CME Term SOFR, the Interest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that Loan (Facility B) shall, if it has been shortened pursuant to paragraph (b) above, revert to its previous length and the applicable Reference Rate shall be the applicable ICE Term SOFR as of the Specified Time and for a period equal in length to the Interest Period of that Loan (Facility B).</w:t>
      </w:r>
    </w:p>
    <w:p>
      <w:pPr>
        <w:spacing w:after="0" w:line="85" w:lineRule="exact"/>
        <w:rPr>
          <w:rFonts w:ascii="Times New Roman" w:cs="Times New Roman" w:eastAsia="Times New Roman" w:hAnsi="Times New Roman"/>
          <w:sz w:val="18"/>
          <w:szCs w:val="18"/>
          <w:color w:val="auto"/>
        </w:rPr>
      </w:pPr>
    </w:p>
    <w:p>
      <w:pPr>
        <w:ind w:left="544" w:right="40" w:hanging="544"/>
        <w:spacing w:after="0" w:line="267" w:lineRule="auto"/>
        <w:tabs>
          <w:tab w:leader="none" w:pos="54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Interpolated ICE Term SOFR</w:t>
      </w:r>
      <w:r>
        <w:rPr>
          <w:rFonts w:ascii="Times New Roman" w:cs="Times New Roman" w:eastAsia="Times New Roman" w:hAnsi="Times New Roman"/>
          <w:sz w:val="18"/>
          <w:szCs w:val="18"/>
          <w:color w:val="auto"/>
        </w:rPr>
        <w:t>: If paragraph (e) above applies but no ICE Term SOFR is available for the Interest Period of that Loan (Facility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Reference Rate shall be the Interpolated ICE Term SOFR for a period equal in length to the Interest Period of that Loan (Facility B).</w:t>
      </w:r>
    </w:p>
    <w:p>
      <w:pPr>
        <w:spacing w:after="0" w:line="78" w:lineRule="exact"/>
        <w:rPr>
          <w:rFonts w:ascii="Times New Roman" w:cs="Times New Roman" w:eastAsia="Times New Roman" w:hAnsi="Times New Roman"/>
          <w:sz w:val="18"/>
          <w:szCs w:val="18"/>
          <w:color w:val="auto"/>
        </w:rPr>
      </w:pPr>
    </w:p>
    <w:p>
      <w:pPr>
        <w:jc w:val="both"/>
        <w:ind w:left="544" w:right="20" w:hanging="544"/>
        <w:spacing w:after="0" w:line="267" w:lineRule="auto"/>
        <w:tabs>
          <w:tab w:leader="none" w:pos="54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Fixed Central Bank Rate</w:t>
      </w:r>
      <w:r>
        <w:rPr>
          <w:rFonts w:ascii="Times New Roman" w:cs="Times New Roman" w:eastAsia="Times New Roman" w:hAnsi="Times New Roman"/>
          <w:sz w:val="18"/>
          <w:szCs w:val="18"/>
          <w:color w:val="auto"/>
        </w:rPr>
        <w:t>: If paragraph (f) above applies but it is not possible to calculate the Interpolated ICE Term SOFR, the Interest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Loan (Facility B) shall (if it is longer than the applicable Fallback Interest Period) be shortened to the applicable Fallback Interest Period and the applicable Reference Rate shall be:</w:t>
      </w:r>
    </w:p>
    <w:p>
      <w:pPr>
        <w:spacing w:after="0" w:line="8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rate per annum which is the aggregate of:</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 Bank Rate for the Quotation Day;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Central Bank Rate Adjustment;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Central Bank Rate for the Quotation Day is not available, the percentage rate per annum which is the aggregate of:</w:t>
      </w:r>
    </w:p>
    <w:p>
      <w:pPr>
        <w:spacing w:after="0" w:line="130" w:lineRule="exact"/>
        <w:rPr>
          <w:rFonts w:ascii="Times New Roman" w:cs="Times New Roman" w:eastAsia="Times New Roman" w:hAnsi="Times New Roman"/>
          <w:sz w:val="18"/>
          <w:szCs w:val="18"/>
          <w:color w:val="auto"/>
        </w:rPr>
      </w:pPr>
    </w:p>
    <w:p>
      <w:pPr>
        <w:ind w:left="1744" w:right="240" w:hanging="543"/>
        <w:spacing w:after="0" w:line="282" w:lineRule="auto"/>
        <w:tabs>
          <w:tab w:leader="none" w:pos="1744"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Central Bank Rate for a day which is no more than three US Government Securities Business Days before the Quotation Day; and</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Central Bank Rate Adjustment.</w:t>
      </w:r>
    </w:p>
    <w:p>
      <w:pPr>
        <w:spacing w:after="0" w:line="128" w:lineRule="exact"/>
        <w:rPr>
          <w:rFonts w:ascii="Times New Roman" w:cs="Times New Roman" w:eastAsia="Times New Roman" w:hAnsi="Times New Roman"/>
          <w:sz w:val="18"/>
          <w:szCs w:val="18"/>
          <w:color w:val="auto"/>
        </w:rPr>
      </w:pPr>
    </w:p>
    <w:p>
      <w:pPr>
        <w:ind w:left="544" w:right="160" w:hanging="544"/>
        <w:spacing w:after="0" w:line="284" w:lineRule="auto"/>
        <w:tabs>
          <w:tab w:leader="none" w:pos="54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paragraph (g) above applies but there is no applicable Central Bank Rate, Clause 12.4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shall apply to that Loan (Facility B) for that Interest Period.</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Market disruption</w:t>
      </w:r>
    </w:p>
    <w:p>
      <w:pPr>
        <w:spacing w:after="0" w:line="135" w:lineRule="exact"/>
        <w:rPr>
          <w:sz w:val="20"/>
          <w:szCs w:val="20"/>
          <w:color w:val="auto"/>
        </w:rPr>
      </w:pPr>
    </w:p>
    <w:p>
      <w:pPr>
        <w:ind w:left="544" w:right="60" w:hanging="544"/>
        <w:spacing w:after="0" w:line="261" w:lineRule="auto"/>
        <w:tabs>
          <w:tab w:leader="none" w:pos="54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Loan (Facility A)) if before close of business in London on the Quotation Day for the relevant Interest Period, the Agent receives notifications from a Lender or Lenders (whose participations in that Loan (Facility A) exceed 35 per cent. of that Loan (Facility A)) that the cost to it of funding its participation in that Loan (Facility A) from whatever source it may reasonably select would be in excess of EURIBOR then Clause 12.4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shall apply to that Loan (Facility A) for the relevant Interest Period;</w:t>
      </w:r>
    </w:p>
    <w:p>
      <w:pPr>
        <w:spacing w:after="0" w:line="11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4"/>
          </w:cols>
          <w:pgMar w:left="436" w:top="268" w:right="439" w:bottom="1440" w:gutter="0" w:footer="0" w:header="0"/>
        </w:sectPr>
      </w:pPr>
    </w:p>
    <w:bookmarkStart w:id="63" w:name="page64"/>
    <w:bookmarkEnd w:id="63"/>
    <w:p>
      <w:pPr>
        <w:jc w:val="both"/>
        <w:ind w:left="544" w:right="120" w:hanging="544"/>
        <w:spacing w:after="0" w:line="261" w:lineRule="auto"/>
        <w:tabs>
          <w:tab w:leader="none" w:pos="54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respect of a Loan (Facility B) if before close of business in London on the Reporting Day for the relevant Interest Period, the Agent receives notifications from a Lender or Lenders (whose participations in that Loan (Facility B) exceed 35 per cent. of that Loan (Facility B)) that its cost of funds relating to its participation in that Loan (Facility B) would be in excess of the Market Disruption Rate, then Clause 12.4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shall apply to that Loan (Facility B) for the relevant Interest Period.</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Cost of funds</w:t>
      </w:r>
    </w:p>
    <w:p>
      <w:pPr>
        <w:spacing w:after="0" w:line="135" w:lineRule="exact"/>
        <w:rPr>
          <w:sz w:val="20"/>
          <w:szCs w:val="20"/>
          <w:color w:val="auto"/>
        </w:rPr>
      </w:pPr>
    </w:p>
    <w:p>
      <w:pPr>
        <w:ind w:left="544" w:right="540" w:hanging="544"/>
        <w:spacing w:after="0" w:line="282" w:lineRule="auto"/>
        <w:tabs>
          <w:tab w:leader="none" w:pos="5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12.4 applies, the rate of interest on each relevant Lender’s share of relevant Loan for the relevant Interest Period shall be the percentage rate per annum which is the sum of:</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Margin;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notified to the Agent by that Lender as soon as practicable and in any event by close of business on the date falling five</w:t>
      </w:r>
    </w:p>
    <w:p>
      <w:pPr>
        <w:spacing w:after="0" w:line="27" w:lineRule="exact"/>
        <w:rPr>
          <w:rFonts w:ascii="Times New Roman" w:cs="Times New Roman" w:eastAsia="Times New Roman" w:hAnsi="Times New Roman"/>
          <w:sz w:val="18"/>
          <w:szCs w:val="18"/>
          <w:color w:val="auto"/>
        </w:rPr>
      </w:pPr>
    </w:p>
    <w:p>
      <w:pPr>
        <w:ind w:left="1184"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before the date on which interest is due to be paid in respect of that Interest Period), to be that which expresses as a percentage rate per annum the cost to the relevant Lender of funding its participation in that Loan from whatever source it may reasonably select.</w:t>
      </w:r>
    </w:p>
    <w:p>
      <w:pPr>
        <w:spacing w:after="0" w:line="91" w:lineRule="exact"/>
        <w:rPr>
          <w:rFonts w:ascii="Times New Roman" w:cs="Times New Roman" w:eastAsia="Times New Roman" w:hAnsi="Times New Roman"/>
          <w:sz w:val="18"/>
          <w:szCs w:val="18"/>
          <w:color w:val="auto"/>
        </w:rPr>
      </w:pPr>
    </w:p>
    <w:p>
      <w:pPr>
        <w:ind w:left="544" w:right="260" w:hanging="544"/>
        <w:spacing w:after="0" w:line="282" w:lineRule="auto"/>
        <w:tabs>
          <w:tab w:leader="none" w:pos="5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12.4 applies and the Agent or the Borrower so requires, the Agent and the Borrower shall enter into negotiations (for a period of not more than thirty days) with a view to agreeing a substitute basis for determining the rate of interest.</w:t>
      </w:r>
    </w:p>
    <w:p>
      <w:pPr>
        <w:spacing w:after="0" w:line="67" w:lineRule="exact"/>
        <w:rPr>
          <w:rFonts w:ascii="Times New Roman" w:cs="Times New Roman" w:eastAsia="Times New Roman" w:hAnsi="Times New Roman"/>
          <w:sz w:val="18"/>
          <w:szCs w:val="18"/>
          <w:color w:val="auto"/>
        </w:rPr>
      </w:pPr>
    </w:p>
    <w:p>
      <w:pPr>
        <w:ind w:left="544" w:right="140" w:hanging="544"/>
        <w:spacing w:after="0" w:line="282" w:lineRule="auto"/>
        <w:tabs>
          <w:tab w:leader="none" w:pos="5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alternative basis agreed pursuant to paragraph (b) above shall, with the prior consent of all the Lenders and the Borrower, be binding on all Parties.</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Loan (Facility A)) if this Clause 12.4 applies pursuant to Clause 12.3 (</w:t>
      </w:r>
      <w:r>
        <w:rPr>
          <w:rFonts w:ascii="Times New Roman" w:cs="Times New Roman" w:eastAsia="Times New Roman" w:hAnsi="Times New Roman"/>
          <w:sz w:val="18"/>
          <w:szCs w:val="18"/>
          <w:i w:val="1"/>
          <w:iCs w:val="1"/>
          <w:color w:val="auto"/>
        </w:rPr>
        <w:t>Market disruption</w:t>
      </w:r>
      <w:r>
        <w:rPr>
          <w:rFonts w:ascii="Times New Roman" w:cs="Times New Roman" w:eastAsia="Times New Roman" w:hAnsi="Times New Roman"/>
          <w:sz w:val="18"/>
          <w:szCs w:val="18"/>
          <w:color w:val="auto"/>
        </w:rPr>
        <w:t>) and:</w:t>
      </w:r>
    </w:p>
    <w:p>
      <w:pPr>
        <w:spacing w:after="0" w:line="132"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Lender’s Funding Rate is less than EURIBOR;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does not supply a quotation by the time specified in paragraph (a)(ii) above,</w:t>
      </w:r>
    </w:p>
    <w:p>
      <w:pPr>
        <w:spacing w:after="0" w:line="117" w:lineRule="exact"/>
        <w:rPr>
          <w:sz w:val="20"/>
          <w:szCs w:val="20"/>
          <w:color w:val="auto"/>
        </w:rPr>
      </w:pPr>
    </w:p>
    <w:p>
      <w:pPr>
        <w:ind w:left="544" w:right="20"/>
        <w:spacing w:after="0" w:line="282" w:lineRule="auto"/>
        <w:rPr>
          <w:sz w:val="20"/>
          <w:szCs w:val="20"/>
          <w:color w:val="auto"/>
        </w:rPr>
      </w:pPr>
      <w:r>
        <w:rPr>
          <w:rFonts w:ascii="Times New Roman" w:cs="Times New Roman" w:eastAsia="Times New Roman" w:hAnsi="Times New Roman"/>
          <w:sz w:val="18"/>
          <w:szCs w:val="18"/>
          <w:color w:val="auto"/>
        </w:rPr>
        <w:t>the cost to that Lender of funding its participation in that Loan (Facility A) for that Interest Period shall be deemed, for the purposes of paragraph (a)(ii) above, to be EURIBOR.</w:t>
      </w:r>
    </w:p>
    <w:p>
      <w:pPr>
        <w:spacing w:after="0" w:line="65" w:lineRule="exact"/>
        <w:rPr>
          <w:sz w:val="20"/>
          <w:szCs w:val="20"/>
          <w:color w:val="auto"/>
        </w:rPr>
      </w:pPr>
    </w:p>
    <w:p>
      <w:pPr>
        <w:ind w:left="544" w:hanging="544"/>
        <w:spacing w:after="0"/>
        <w:tabs>
          <w:tab w:leader="none" w:pos="54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Loan (Facility B)) if this Clause 12.4 applies pursuant to Clause 12.3 (</w:t>
      </w:r>
      <w:r>
        <w:rPr>
          <w:rFonts w:ascii="Times New Roman" w:cs="Times New Roman" w:eastAsia="Times New Roman" w:hAnsi="Times New Roman"/>
          <w:sz w:val="18"/>
          <w:szCs w:val="18"/>
          <w:i w:val="1"/>
          <w:iCs w:val="1"/>
          <w:color w:val="auto"/>
        </w:rPr>
        <w:t>Market disruption</w:t>
      </w:r>
      <w:r>
        <w:rPr>
          <w:rFonts w:ascii="Times New Roman" w:cs="Times New Roman" w:eastAsia="Times New Roman" w:hAnsi="Times New Roman"/>
          <w:sz w:val="18"/>
          <w:szCs w:val="18"/>
          <w:color w:val="auto"/>
        </w:rPr>
        <w:t>) and:</w:t>
      </w:r>
    </w:p>
    <w:p>
      <w:pPr>
        <w:spacing w:after="0" w:line="132"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Lender’s Funding Rate is less than the Market Disruption Rate;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does not notify a rate to the Agent by the time specified in paragraph (a)(ii) above,</w:t>
      </w:r>
    </w:p>
    <w:p>
      <w:pPr>
        <w:spacing w:after="0" w:line="117" w:lineRule="exact"/>
        <w:rPr>
          <w:sz w:val="20"/>
          <w:szCs w:val="20"/>
          <w:color w:val="auto"/>
        </w:rPr>
      </w:pPr>
    </w:p>
    <w:p>
      <w:pPr>
        <w:ind w:left="544" w:right="540"/>
        <w:spacing w:after="0" w:line="282" w:lineRule="auto"/>
        <w:rPr>
          <w:sz w:val="20"/>
          <w:szCs w:val="20"/>
          <w:color w:val="auto"/>
        </w:rPr>
      </w:pPr>
      <w:r>
        <w:rPr>
          <w:rFonts w:ascii="Times New Roman" w:cs="Times New Roman" w:eastAsia="Times New Roman" w:hAnsi="Times New Roman"/>
          <w:sz w:val="18"/>
          <w:szCs w:val="18"/>
          <w:color w:val="auto"/>
        </w:rPr>
        <w:t>that Lenders cost of funds relating to its participation in that Loan (Facility B) for that Interest Period shall be deemed, for the purposes of paragraph (a) above, to be the Market Disruption Rate.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b w:val="1"/>
          <w:bCs w:val="1"/>
          <w:color w:val="auto"/>
        </w:rPr>
        <w:t>Notification to Company</w:t>
      </w:r>
    </w:p>
    <w:p>
      <w:pPr>
        <w:spacing w:after="0" w:line="11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Clause 12.4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applies the Agent shall, as soon as is practicable, notify the Borrower.</w:t>
      </w:r>
    </w:p>
    <w:p>
      <w:pPr>
        <w:spacing w:after="0" w:line="12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7"/>
          <w:szCs w:val="17"/>
          <w:b w:val="1"/>
          <w:bCs w:val="1"/>
          <w:color w:val="auto"/>
        </w:rPr>
        <w:t>Break Costs</w:t>
      </w:r>
    </w:p>
    <w:p>
      <w:pPr>
        <w:spacing w:after="0" w:line="135" w:lineRule="exact"/>
        <w:rPr>
          <w:sz w:val="20"/>
          <w:szCs w:val="20"/>
          <w:color w:val="auto"/>
        </w:rPr>
      </w:pPr>
    </w:p>
    <w:p>
      <w:pPr>
        <w:ind w:left="544" w:right="60" w:hanging="544"/>
        <w:spacing w:after="0" w:line="266" w:lineRule="auto"/>
        <w:tabs>
          <w:tab w:leader="none" w:pos="54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within three Business Days of demand by a Finance Party, pay to that Finance Party its Break Costs (as applicable) attributable to all or any part of a Loan or Unpaid Sum being paid by the Borrower on a day (in the case of any amount in euro) other than, or (in the case of any amount in USD) prior to, the last day of an Interest Period for that Loan or Unpaid Sum.</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4"/>
          </w:cols>
          <w:pgMar w:left="436" w:top="270" w:right="439" w:bottom="1440" w:gutter="0" w:footer="0" w:header="0"/>
        </w:sectPr>
      </w:pPr>
    </w:p>
    <w:bookmarkStart w:id="64" w:name="page65"/>
    <w:bookmarkEnd w:id="64"/>
    <w:p>
      <w:pPr>
        <w:ind w:left="544" w:right="60" w:hanging="544"/>
        <w:spacing w:after="0" w:line="266" w:lineRule="auto"/>
        <w:tabs>
          <w:tab w:leader="none" w:pos="54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shall, as soon as reasonably practicable after a demand by the Agent, provide a certificate confirming the amount of its Break Costs for any Interest Period (in the case of any amount in euro) in which they accrue or (in the case of any amount in USD) in respect of which they become, or may become, payable.</w:t>
      </w:r>
    </w:p>
    <w:p>
      <w:pPr>
        <w:spacing w:after="0" w:line="320" w:lineRule="exact"/>
        <w:rPr>
          <w:sz w:val="20"/>
          <w:szCs w:val="20"/>
          <w:color w:val="auto"/>
        </w:rPr>
      </w:pPr>
    </w:p>
    <w:p>
      <w:pPr>
        <w:ind w:left="544" w:hanging="544"/>
        <w:spacing w:after="0"/>
        <w:tabs>
          <w:tab w:leader="none" w:pos="544"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b w:val="1"/>
          <w:bCs w:val="1"/>
          <w:color w:val="auto"/>
        </w:rPr>
        <w:t>Commitment fee</w:t>
      </w:r>
    </w:p>
    <w:p>
      <w:pPr>
        <w:spacing w:after="0" w:line="135" w:lineRule="exact"/>
        <w:rPr>
          <w:sz w:val="20"/>
          <w:szCs w:val="20"/>
          <w:color w:val="auto"/>
        </w:rPr>
      </w:pPr>
    </w:p>
    <w:p>
      <w:pPr>
        <w:ind w:left="544" w:right="20" w:hanging="544"/>
        <w:spacing w:after="0" w:line="266" w:lineRule="auto"/>
        <w:tabs>
          <w:tab w:leader="none" w:pos="54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Agent (for the account of each relevant Lender) a commitment fee in respect of the Available Commitment of each Lender in respect of a Facility computed at the rate of 35 per cent. of the applicable Margin (on that Lender’s Available Commitment under that Facility, in the same currency in which that Facility is denominated).</w:t>
      </w:r>
    </w:p>
    <w:p>
      <w:pPr>
        <w:spacing w:after="0" w:line="81" w:lineRule="exact"/>
        <w:rPr>
          <w:rFonts w:ascii="Times New Roman" w:cs="Times New Roman" w:eastAsia="Times New Roman" w:hAnsi="Times New Roman"/>
          <w:sz w:val="18"/>
          <w:szCs w:val="18"/>
          <w:color w:val="auto"/>
        </w:rPr>
      </w:pPr>
    </w:p>
    <w:p>
      <w:pPr>
        <w:ind w:left="544" w:right="340" w:hanging="544"/>
        <w:spacing w:after="0" w:line="282" w:lineRule="auto"/>
        <w:tabs>
          <w:tab w:leader="none" w:pos="54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fee accrues on a daily basis, for the period starting from and including the Signing Date to and including the last day of the Availability Period.</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commitment fee is payable on the last day of:</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successive period of three Months starting from the Signing Date;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Period; and</w:t>
      </w:r>
    </w:p>
    <w:p>
      <w:pPr>
        <w:spacing w:after="0" w:line="130"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cancelled in full, on the cancelled amount of the relevant Lender’s Commitment in respect of that Facility, at the time the cancellation is effective.</w:t>
      </w:r>
    </w:p>
    <w:p>
      <w:pPr>
        <w:spacing w:after="0" w:line="67" w:lineRule="exact"/>
        <w:rPr>
          <w:rFonts w:ascii="Times New Roman" w:cs="Times New Roman" w:eastAsia="Times New Roman" w:hAnsi="Times New Roman"/>
          <w:sz w:val="18"/>
          <w:szCs w:val="18"/>
          <w:color w:val="auto"/>
        </w:rPr>
      </w:pPr>
    </w:p>
    <w:p>
      <w:pPr>
        <w:ind w:left="544" w:right="20" w:hanging="544"/>
        <w:spacing w:after="0" w:line="282" w:lineRule="auto"/>
        <w:tabs>
          <w:tab w:leader="none" w:pos="54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commitment fee is payable to the Agent (for the account of a Lender) on any Available Commitment of that Lender for any day on which that Lender is a Defaulting Lender.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Arrangement fee and coordination fee</w:t>
      </w:r>
    </w:p>
    <w:p>
      <w:pPr>
        <w:spacing w:after="0" w:line="121" w:lineRule="exact"/>
        <w:rPr>
          <w:sz w:val="20"/>
          <w:szCs w:val="20"/>
          <w:color w:val="auto"/>
        </w:rPr>
      </w:pPr>
    </w:p>
    <w:p>
      <w:pPr>
        <w:ind w:left="544" w:right="220"/>
        <w:spacing w:after="0" w:line="282" w:lineRule="auto"/>
        <w:rPr>
          <w:sz w:val="20"/>
          <w:szCs w:val="20"/>
          <w:color w:val="auto"/>
        </w:rPr>
      </w:pPr>
      <w:r>
        <w:rPr>
          <w:rFonts w:ascii="Times New Roman" w:cs="Times New Roman" w:eastAsia="Times New Roman" w:hAnsi="Times New Roman"/>
          <w:sz w:val="18"/>
          <w:szCs w:val="18"/>
          <w:color w:val="auto"/>
        </w:rPr>
        <w:t>The Borrower shall pay to the Agent (for the account of each MLAB and each MLA) an arrangement fee and the Agent (for the account of the Global Coordinators) a coordination fee in the amount and at the times agreed in one or more Fee Letters.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13.3</w:t>
        <w:tab/>
        <w:t>Agency fee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Borrower shall pay to the Agent (for its own account) an agency fee in the amount and at the times agreed in a Fee Letter.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7"/>
          <w:szCs w:val="17"/>
          <w:b w:val="1"/>
          <w:bCs w:val="1"/>
          <w:color w:val="auto"/>
        </w:rPr>
        <w:t>Security agency fee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Borrower shall pay to the Security Agent (for its own account) a security agency fee in the amount and at the times agreed in a Fee Letter.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7"/>
          <w:szCs w:val="17"/>
          <w:b w:val="1"/>
          <w:bCs w:val="1"/>
          <w:color w:val="auto"/>
        </w:rPr>
        <w:t>Account Bank fee</w:t>
      </w:r>
    </w:p>
    <w:p>
      <w:pPr>
        <w:spacing w:after="0" w:line="121"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The Borrower shall pay to the Account Bank (for the account of the Account Bank) an account bank fee in the amount and at the times agreed in a Fee Letter.</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4"/>
          </w:cols>
          <w:pgMar w:left="436" w:top="270" w:right="439" w:bottom="1440" w:gutter="0" w:footer="0" w:header="0"/>
        </w:sectPr>
      </w:pPr>
    </w:p>
    <w:bookmarkStart w:id="65" w:name="page66"/>
    <w:bookmarkEnd w:id="6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ADDITIONAL PAYMENT OBLIGATIONS</w:t>
      </w:r>
    </w:p>
    <w:p>
      <w:pPr>
        <w:spacing w:after="0" w:line="252" w:lineRule="exact"/>
        <w:rPr>
          <w:sz w:val="20"/>
          <w:szCs w:val="20"/>
          <w:color w:val="auto"/>
        </w:rPr>
      </w:pPr>
    </w:p>
    <w:p>
      <w:pPr>
        <w:ind w:left="4" w:right="7460" w:hanging="4"/>
        <w:spacing w:after="0" w:line="385" w:lineRule="auto"/>
        <w:tabs>
          <w:tab w:leader="none" w:pos="544"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GROSS-UP AND INDEMNITIES 14.1 Definitions</w:t>
      </w:r>
    </w:p>
    <w:p>
      <w:pPr>
        <w:spacing w:after="0" w:line="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w:t>
      </w:r>
    </w:p>
    <w:p>
      <w:pPr>
        <w:spacing w:after="0" w:line="113"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DTTP Filing</w:t>
      </w:r>
      <w:r>
        <w:rPr>
          <w:rFonts w:ascii="Times New Roman" w:cs="Times New Roman" w:eastAsia="Times New Roman" w:hAnsi="Times New Roman"/>
          <w:sz w:val="18"/>
          <w:szCs w:val="18"/>
          <w:color w:val="auto"/>
        </w:rPr>
        <w:t>” means an H.M. Revenue &amp; Customs’ Form DTTP2 duly completed and filed by the relevant Borrower, which:</w:t>
      </w:r>
    </w:p>
    <w:p>
      <w:pPr>
        <w:spacing w:after="0" w:line="134" w:lineRule="exact"/>
        <w:rPr>
          <w:rFonts w:ascii="Times New Roman" w:cs="Times New Roman" w:eastAsia="Times New Roman" w:hAnsi="Times New Roman"/>
          <w:sz w:val="18"/>
          <w:szCs w:val="18"/>
          <w:b w:val="1"/>
          <w:bCs w:val="1"/>
          <w:color w:val="auto"/>
        </w:rPr>
      </w:pPr>
    </w:p>
    <w:p>
      <w:pPr>
        <w:ind w:left="1184" w:right="60" w:hanging="644"/>
        <w:spacing w:after="0" w:line="266" w:lineRule="auto"/>
        <w:tabs>
          <w:tab w:leader="none" w:pos="1184"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relates to a Treaty Lender that is an Original Lender, contains the scheme reference number and jurisdiction of tax residence stated opposite that Lender’s name in Schedule 1 (</w:t>
      </w:r>
      <w:r>
        <w:rPr>
          <w:rFonts w:ascii="Times New Roman" w:cs="Times New Roman" w:eastAsia="Times New Roman" w:hAnsi="Times New Roman"/>
          <w:sz w:val="18"/>
          <w:szCs w:val="18"/>
          <w:i w:val="1"/>
          <w:iCs w:val="1"/>
          <w:color w:val="auto"/>
        </w:rPr>
        <w:t>The Original Lenders</w:t>
      </w:r>
      <w:r>
        <w:rPr>
          <w:rFonts w:ascii="Times New Roman" w:cs="Times New Roman" w:eastAsia="Times New Roman" w:hAnsi="Times New Roman"/>
          <w:sz w:val="18"/>
          <w:szCs w:val="18"/>
          <w:color w:val="auto"/>
        </w:rPr>
        <w:t>), and is filed with H.M. Revenue &amp; Customs within 30 days of the date of this Agreement; or</w:t>
      </w:r>
    </w:p>
    <w:p>
      <w:pPr>
        <w:spacing w:after="0" w:line="81" w:lineRule="exact"/>
        <w:rPr>
          <w:rFonts w:ascii="Times New Roman" w:cs="Times New Roman" w:eastAsia="Times New Roman" w:hAnsi="Times New Roman"/>
          <w:sz w:val="18"/>
          <w:szCs w:val="18"/>
          <w:color w:val="auto"/>
        </w:rPr>
      </w:pPr>
    </w:p>
    <w:p>
      <w:pPr>
        <w:ind w:left="1184" w:right="380" w:hanging="644"/>
        <w:spacing w:after="0" w:line="266" w:lineRule="auto"/>
        <w:tabs>
          <w:tab w:leader="none" w:pos="1184"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relates to a Treaty Lender that is not an Original Lender, contains the scheme reference number and jurisdiction of tax residence stated in respect of that Lender in the documentation which it executes on becoming a Party as a Lender, and is filed with H.M. Revenue &amp; Customs within 30 days of the date that Treaty Lender becomes a Party as a Lender.</w:t>
      </w:r>
    </w:p>
    <w:p>
      <w:pPr>
        <w:spacing w:after="0" w:line="64" w:lineRule="exact"/>
        <w:rPr>
          <w:sz w:val="20"/>
          <w:szCs w:val="20"/>
          <w:color w:val="auto"/>
        </w:rPr>
      </w:pPr>
    </w:p>
    <w:p>
      <w:pPr>
        <w:ind w:left="544"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Cancelled Certificate</w:t>
      </w:r>
      <w:r>
        <w:rPr>
          <w:rFonts w:ascii="Times New Roman" w:cs="Times New Roman" w:eastAsia="Times New Roman" w:hAnsi="Times New Roman"/>
          <w:sz w:val="18"/>
          <w:szCs w:val="18"/>
          <w:color w:val="auto"/>
        </w:rPr>
        <w:t>” means any QPP Certificate in respect of which HM Revenue &amp; Customs has given a notification under regulation 7 of the QPP Regulations so that such QPP Certificate is a cancelled certificate for the purposes of the QPP Regulations.</w:t>
      </w:r>
    </w:p>
    <w:p>
      <w:pPr>
        <w:spacing w:after="0" w:line="47" w:lineRule="exact"/>
        <w:rPr>
          <w:sz w:val="20"/>
          <w:szCs w:val="20"/>
          <w:color w:val="auto"/>
        </w:rPr>
      </w:pPr>
    </w:p>
    <w:p>
      <w:pPr>
        <w:jc w:val="both"/>
        <w:ind w:left="544" w:right="10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Protected Party</w:t>
      </w:r>
      <w:r>
        <w:rPr>
          <w:rFonts w:ascii="Times New Roman" w:cs="Times New Roman" w:eastAsia="Times New Roman" w:hAnsi="Times New Roman"/>
          <w:sz w:val="17"/>
          <w:szCs w:val="17"/>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24" w:lineRule="exact"/>
        <w:rPr>
          <w:sz w:val="20"/>
          <w:szCs w:val="20"/>
          <w:color w:val="auto"/>
        </w:rPr>
      </w:pPr>
    </w:p>
    <w:p>
      <w:pPr>
        <w:ind w:left="544" w:right="3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QPP Certificate</w:t>
      </w:r>
      <w:r>
        <w:rPr>
          <w:rFonts w:ascii="Times New Roman" w:cs="Times New Roman" w:eastAsia="Times New Roman" w:hAnsi="Times New Roman"/>
          <w:sz w:val="18"/>
          <w:szCs w:val="18"/>
          <w:color w:val="auto"/>
        </w:rPr>
        <w:t>” means a valid creditor certificate for the purposes of the QPP Regulations, given, in the case of an Original Lender, in the form set out in Schedule 10 (</w:t>
      </w:r>
      <w:r>
        <w:rPr>
          <w:rFonts w:ascii="Times New Roman" w:cs="Times New Roman" w:eastAsia="Times New Roman" w:hAnsi="Times New Roman"/>
          <w:sz w:val="18"/>
          <w:szCs w:val="18"/>
          <w:i w:val="1"/>
          <w:iCs w:val="1"/>
          <w:color w:val="auto"/>
        </w:rPr>
        <w:t>Form of QPP Certificate</w:t>
      </w:r>
      <w:r>
        <w:rPr>
          <w:rFonts w:ascii="Times New Roman" w:cs="Times New Roman" w:eastAsia="Times New Roman" w:hAnsi="Times New Roman"/>
          <w:sz w:val="18"/>
          <w:szCs w:val="18"/>
          <w:color w:val="auto"/>
        </w:rPr>
        <w:t>), or, in the case of a New Lender, in the form set out in the Schedule 2 of Schedule 4 (Form of Transfer Certificate), or Schedule 2 of Schedule 5 (Form of Assignment Agreement), as applicable.</w:t>
      </w:r>
    </w:p>
    <w:p>
      <w:pPr>
        <w:spacing w:after="0" w:line="63" w:lineRule="exact"/>
        <w:rPr>
          <w:sz w:val="20"/>
          <w:szCs w:val="20"/>
          <w:color w:val="auto"/>
        </w:rPr>
      </w:pPr>
    </w:p>
    <w:p>
      <w:pPr>
        <w:ind w:left="544"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QPP Lender</w:t>
      </w:r>
      <w:r>
        <w:rPr>
          <w:rFonts w:ascii="Times New Roman" w:cs="Times New Roman" w:eastAsia="Times New Roman" w:hAnsi="Times New Roman"/>
          <w:sz w:val="18"/>
          <w:szCs w:val="18"/>
          <w:color w:val="auto"/>
        </w:rPr>
        <w:t>” means a Lender which has delivered a QPP Certificate to the Company, provided that such QPP Certificate is not a Withdrawn Certificate or a Cancelled Certificate.</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QPP Regulations</w:t>
      </w:r>
      <w:r>
        <w:rPr>
          <w:rFonts w:ascii="Times New Roman" w:cs="Times New Roman" w:eastAsia="Times New Roman" w:hAnsi="Times New Roman"/>
          <w:sz w:val="18"/>
          <w:szCs w:val="18"/>
          <w:color w:val="auto"/>
        </w:rPr>
        <w:t>” means the Qualifying Private Placement Regulations 2015 (2015 No. 2002).</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Lender</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4" w:hanging="644"/>
        <w:spacing w:after="0"/>
        <w:tabs>
          <w:tab w:leader="none" w:pos="118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which is beneficially entitled to interest payable to that Lender in respect of an advance under a Finance Document and is: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w:t>
      </w:r>
    </w:p>
    <w:p>
      <w:pPr>
        <w:spacing w:after="0" w:line="130" w:lineRule="exact"/>
        <w:rPr>
          <w:rFonts w:ascii="Times New Roman" w:cs="Times New Roman" w:eastAsia="Times New Roman" w:hAnsi="Times New Roman"/>
          <w:sz w:val="18"/>
          <w:szCs w:val="18"/>
          <w:color w:val="auto"/>
        </w:rPr>
      </w:pPr>
    </w:p>
    <w:p>
      <w:pPr>
        <w:ind w:left="2404" w:hanging="649"/>
        <w:spacing w:after="0" w:line="266" w:lineRule="auto"/>
        <w:tabs>
          <w:tab w:leader="none" w:pos="2404"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bank (as defined for the purpose of section 879 of the ITA) making an advance under a Finance Document and is within the charge to United Kingdom corporation tax as respects any payments of interest made in respect of that advance or would be within such charge as respects such payments apart from section 18A of the CTA; or</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4"/>
          </w:cols>
          <w:pgMar w:left="436" w:top="266" w:right="439" w:bottom="1440" w:gutter="0" w:footer="0" w:header="0"/>
        </w:sectPr>
      </w:pPr>
    </w:p>
    <w:bookmarkStart w:id="66" w:name="page67"/>
    <w:bookmarkEnd w:id="66"/>
    <w:p>
      <w:pPr>
        <w:ind w:left="2400" w:right="40" w:hanging="649"/>
        <w:spacing w:after="0" w:line="266" w:lineRule="auto"/>
        <w:tabs>
          <w:tab w:leader="none" w:pos="2400"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respect of an advance made under a Finance Document by a person that was a bank (as defined for the purpose of section 879 of the ITA) at the time that that advance was made and is within the charge to United Kingdom corporation tax as respects any payments of interest made in respect of that advance; or</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which is:</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in the United Kingdom for United Kingdom tax purposes;</w:t>
      </w:r>
    </w:p>
    <w:p>
      <w:pPr>
        <w:spacing w:after="0" w:line="130" w:lineRule="exact"/>
        <w:rPr>
          <w:rFonts w:ascii="Times New Roman" w:cs="Times New Roman" w:eastAsia="Times New Roman" w:hAnsi="Times New Roman"/>
          <w:sz w:val="18"/>
          <w:szCs w:val="18"/>
          <w:color w:val="auto"/>
        </w:rPr>
      </w:pPr>
    </w:p>
    <w:p>
      <w:pPr>
        <w:ind w:left="2400" w:right="260" w:hanging="649"/>
        <w:spacing w:after="0" w:line="261" w:lineRule="auto"/>
        <w:tabs>
          <w:tab w:leader="none" w:pos="2400"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85" w:lineRule="exact"/>
        <w:rPr>
          <w:rFonts w:ascii="Times New Roman" w:cs="Times New Roman" w:eastAsia="Times New Roman" w:hAnsi="Times New Roman"/>
          <w:sz w:val="18"/>
          <w:szCs w:val="18"/>
          <w:color w:val="auto"/>
        </w:rPr>
      </w:pPr>
    </w:p>
    <w:p>
      <w:pPr>
        <w:ind w:left="2400" w:right="20" w:hanging="649"/>
        <w:spacing w:after="0" w:line="266" w:lineRule="auto"/>
        <w:tabs>
          <w:tab w:leader="none" w:pos="2400"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Treaty Lender; 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QPP Lender;</w:t>
      </w:r>
    </w:p>
    <w:p>
      <w:pPr>
        <w:spacing w:after="0" w:line="130" w:lineRule="exact"/>
        <w:rPr>
          <w:rFonts w:ascii="Times New Roman" w:cs="Times New Roman" w:eastAsia="Times New Roman" w:hAnsi="Times New Roman"/>
          <w:sz w:val="18"/>
          <w:szCs w:val="18"/>
          <w:color w:val="auto"/>
        </w:rPr>
      </w:pPr>
    </w:p>
    <w:p>
      <w:pPr>
        <w:ind w:left="1180" w:right="720" w:hanging="644"/>
        <w:spacing w:after="0" w:line="282" w:lineRule="auto"/>
        <w:tabs>
          <w:tab w:leader="none" w:pos="11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which is a building society (as defined for the purpose of section 880 of the ITA) making an advance under a Finance Document; or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Original Lender.</w:t>
      </w:r>
    </w:p>
    <w:p>
      <w:pPr>
        <w:spacing w:after="0" w:line="113" w:lineRule="exact"/>
        <w:rPr>
          <w:sz w:val="20"/>
          <w:szCs w:val="20"/>
          <w:color w:val="auto"/>
        </w:rPr>
      </w:pPr>
    </w:p>
    <w:p>
      <w:pPr>
        <w:ind w:left="540"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Confirmation</w:t>
      </w:r>
      <w:r>
        <w:rPr>
          <w:rFonts w:ascii="Times New Roman" w:cs="Times New Roman" w:eastAsia="Times New Roman" w:hAnsi="Times New Roman"/>
          <w:sz w:val="18"/>
          <w:szCs w:val="18"/>
          <w:color w:val="auto"/>
        </w:rPr>
        <w:t>” means a confirmation by a Lender that the person beneficially entitled to interest payable to that Lender in respect of an advance under a Finance Document is either:</w:t>
      </w:r>
    </w:p>
    <w:p>
      <w:pPr>
        <w:spacing w:after="0" w:line="64" w:lineRule="exact"/>
        <w:rPr>
          <w:sz w:val="20"/>
          <w:szCs w:val="20"/>
          <w:color w:val="auto"/>
        </w:rPr>
      </w:pPr>
    </w:p>
    <w:p>
      <w:pPr>
        <w:ind w:left="1180" w:hanging="644"/>
        <w:spacing w:after="0"/>
        <w:tabs>
          <w:tab w:leader="none" w:pos="11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in the United Kingdom for United Kingdom tax purposes;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so resident in the United Kingdom; or</w:t>
      </w:r>
    </w:p>
    <w:p>
      <w:pPr>
        <w:spacing w:after="0" w:line="130" w:lineRule="exact"/>
        <w:rPr>
          <w:rFonts w:ascii="Times New Roman" w:cs="Times New Roman" w:eastAsia="Times New Roman" w:hAnsi="Times New Roman"/>
          <w:sz w:val="18"/>
          <w:szCs w:val="18"/>
          <w:color w:val="auto"/>
        </w:rPr>
      </w:pPr>
    </w:p>
    <w:p>
      <w:pPr>
        <w:ind w:left="1740" w:right="160" w:hanging="543"/>
        <w:spacing w:after="0" w:line="266" w:lineRule="auto"/>
        <w:tabs>
          <w:tab w:leader="none" w:pos="17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0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70" w:right="439" w:bottom="1440" w:gutter="0" w:footer="0" w:header="0"/>
        </w:sectPr>
      </w:pPr>
    </w:p>
    <w:bookmarkStart w:id="67" w:name="page68"/>
    <w:bookmarkEnd w:id="67"/>
    <w:p>
      <w:pPr>
        <w:ind w:left="1184" w:right="200" w:hanging="644"/>
        <w:spacing w:after="0" w:line="266" w:lineRule="auto"/>
        <w:tabs>
          <w:tab w:leader="none" w:pos="118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6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means a credit against, relief or remission for, or repayment of any Tax.</w:t>
      </w:r>
    </w:p>
    <w:p>
      <w:pPr>
        <w:spacing w:after="0" w:line="117" w:lineRule="exact"/>
        <w:rPr>
          <w:sz w:val="20"/>
          <w:szCs w:val="20"/>
          <w:color w:val="auto"/>
        </w:rPr>
      </w:pPr>
    </w:p>
    <w:p>
      <w:pPr>
        <w:ind w:left="544"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means a deduction or withholding for or on account of Tax from a payment under a Finance Document, other than a FATCA Deduction.</w:t>
      </w:r>
    </w:p>
    <w:p>
      <w:pPr>
        <w:spacing w:after="0" w:line="47" w:lineRule="exact"/>
        <w:rPr>
          <w:sz w:val="20"/>
          <w:szCs w:val="20"/>
          <w:color w:val="auto"/>
        </w:rPr>
      </w:pPr>
    </w:p>
    <w:p>
      <w:pPr>
        <w:ind w:left="544"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w:t>
      </w:r>
      <w:r>
        <w:rPr>
          <w:rFonts w:ascii="Times New Roman" w:cs="Times New Roman" w:eastAsia="Times New Roman" w:hAnsi="Times New Roman"/>
          <w:sz w:val="18"/>
          <w:szCs w:val="18"/>
          <w:color w:val="auto"/>
        </w:rPr>
        <w:t>” means either the increase in a payment made by an Obligor to a Finance Party under Clause 14.2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 a payment under Clause 14.3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Treaty Lender</w:t>
      </w:r>
      <w:r>
        <w:rPr>
          <w:rFonts w:ascii="Times New Roman" w:cs="Times New Roman" w:eastAsia="Times New Roman" w:hAnsi="Times New Roman"/>
          <w:sz w:val="18"/>
          <w:szCs w:val="18"/>
          <w:color w:val="auto"/>
        </w:rPr>
        <w:t>” means a Lender which is not a QPP Lender and:</w:t>
      </w:r>
    </w:p>
    <w:p>
      <w:pPr>
        <w:spacing w:after="0" w:line="135" w:lineRule="exact"/>
        <w:rPr>
          <w:sz w:val="20"/>
          <w:szCs w:val="20"/>
          <w:color w:val="auto"/>
        </w:rPr>
      </w:pPr>
    </w:p>
    <w:p>
      <w:pPr>
        <w:ind w:left="1184" w:hanging="644"/>
        <w:spacing w:after="0"/>
        <w:tabs>
          <w:tab w:leader="none" w:pos="118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treated as a resident of a Treaty State for the purposes of the Treaty;</w:t>
      </w:r>
    </w:p>
    <w:p>
      <w:pPr>
        <w:spacing w:after="0" w:line="130"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carry on a business in the United Kingdom through a permanent establishment with which that Lender’s participation in the Loans is effectively connected; and</w:t>
      </w:r>
    </w:p>
    <w:p>
      <w:pPr>
        <w:spacing w:after="0" w:line="67" w:lineRule="exact"/>
        <w:rPr>
          <w:rFonts w:ascii="Times New Roman" w:cs="Times New Roman" w:eastAsia="Times New Roman" w:hAnsi="Times New Roman"/>
          <w:sz w:val="18"/>
          <w:szCs w:val="18"/>
          <w:color w:val="auto"/>
        </w:rPr>
      </w:pPr>
    </w:p>
    <w:p>
      <w:pPr>
        <w:ind w:left="1184" w:hanging="644"/>
        <w:spacing w:after="0" w:line="266" w:lineRule="auto"/>
        <w:tabs>
          <w:tab w:leader="none" w:pos="118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fulfils any conditions which must be fulfilled under the double taxation agreement for residents of that Treaty State to obtain full exemption from United Kingdom taxation on interest payable to that Lender in respect of an advance under a Finance Document, except that for this purpose it shall be assumed that the following are satisfied:</w:t>
      </w:r>
    </w:p>
    <w:p>
      <w:pPr>
        <w:spacing w:after="0" w:line="81" w:lineRule="exact"/>
        <w:rPr>
          <w:rFonts w:ascii="Times New Roman" w:cs="Times New Roman" w:eastAsia="Times New Roman" w:hAnsi="Times New Roman"/>
          <w:sz w:val="18"/>
          <w:szCs w:val="18"/>
          <w:color w:val="auto"/>
        </w:rPr>
      </w:pPr>
    </w:p>
    <w:p>
      <w:pPr>
        <w:ind w:left="1744" w:right="40" w:hanging="543"/>
        <w:spacing w:after="0" w:line="266" w:lineRule="auto"/>
        <w:tabs>
          <w:tab w:leader="none" w:pos="174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which relates (expressly or by implication) to there being a special relationship between the Borrower and the Lender or between both of them and another person, or to the amounts or terms of any Loan or the Finance Documents or to any other matter that is outside the exclusive control of that Lender; and</w:t>
      </w:r>
    </w:p>
    <w:p>
      <w:pPr>
        <w:spacing w:after="0" w:line="81"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necessary procedural formalities.</w:t>
      </w:r>
    </w:p>
    <w:p>
      <w:pPr>
        <w:spacing w:after="0" w:line="113" w:lineRule="exact"/>
        <w:rPr>
          <w:sz w:val="20"/>
          <w:szCs w:val="20"/>
          <w:color w:val="auto"/>
        </w:rPr>
      </w:pPr>
    </w:p>
    <w:p>
      <w:pPr>
        <w:ind w:left="54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Treaty State</w:t>
      </w:r>
      <w:r>
        <w:rPr>
          <w:rFonts w:ascii="Times New Roman" w:cs="Times New Roman" w:eastAsia="Times New Roman" w:hAnsi="Times New Roman"/>
          <w:sz w:val="18"/>
          <w:szCs w:val="18"/>
          <w:color w:val="auto"/>
        </w:rPr>
        <w:t>” means a jurisdiction having a double taxation agreement (a “</w:t>
      </w:r>
      <w:r>
        <w:rPr>
          <w:rFonts w:ascii="Times New Roman" w:cs="Times New Roman" w:eastAsia="Times New Roman" w:hAnsi="Times New Roman"/>
          <w:sz w:val="18"/>
          <w:szCs w:val="18"/>
          <w:b w:val="1"/>
          <w:bCs w:val="1"/>
          <w:color w:val="auto"/>
        </w:rPr>
        <w:t>Treaty</w:t>
      </w:r>
      <w:r>
        <w:rPr>
          <w:rFonts w:ascii="Times New Roman" w:cs="Times New Roman" w:eastAsia="Times New Roman" w:hAnsi="Times New Roman"/>
          <w:sz w:val="18"/>
          <w:szCs w:val="18"/>
          <w:color w:val="auto"/>
        </w:rPr>
        <w:t>”) with the United Kingdom which makes provision for full exemption from tax imposed by the United Kingdom on interest.</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Non-Bank Lender</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1184" w:hanging="644"/>
        <w:spacing w:after="0"/>
        <w:tabs>
          <w:tab w:leader="none" w:pos="118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Original Lender listed in Schedule 1 (</w:t>
      </w:r>
      <w:r>
        <w:rPr>
          <w:rFonts w:ascii="Times New Roman" w:cs="Times New Roman" w:eastAsia="Times New Roman" w:hAnsi="Times New Roman"/>
          <w:sz w:val="18"/>
          <w:szCs w:val="18"/>
          <w:i w:val="1"/>
          <w:iCs w:val="1"/>
          <w:color w:val="auto"/>
        </w:rPr>
        <w:t>The Original Lenders</w:t>
      </w:r>
      <w:r>
        <w:rPr>
          <w:rFonts w:ascii="Times New Roman" w:cs="Times New Roman" w:eastAsia="Times New Roman" w:hAnsi="Times New Roman"/>
          <w:sz w:val="18"/>
          <w:szCs w:val="18"/>
          <w:color w:val="auto"/>
        </w:rPr>
        <w:t>); and</w:t>
      </w:r>
    </w:p>
    <w:p>
      <w:pPr>
        <w:spacing w:after="0" w:line="132"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which is not an Original Lender,</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which gives a Tax Confirmation in the documentation which it executes on becoming a Party as a Lender.</w:t>
      </w:r>
    </w:p>
    <w:p>
      <w:pPr>
        <w:spacing w:after="0" w:line="117"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Unless a contrary indication appears, in this Clause 14 a reference to “determines” or “determined” means a determination made in the absolute discretion of the person making the determination.</w:t>
      </w:r>
    </w:p>
    <w:p>
      <w:pPr>
        <w:spacing w:after="0" w:line="5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Withdrawn Certificate</w:t>
      </w:r>
      <w:r>
        <w:rPr>
          <w:rFonts w:ascii="Times New Roman" w:cs="Times New Roman" w:eastAsia="Times New Roman" w:hAnsi="Times New Roman"/>
          <w:sz w:val="18"/>
          <w:szCs w:val="18"/>
          <w:color w:val="auto"/>
        </w:rPr>
        <w:t>” means a withdrawn certificate for the purposes of the QPP Regulations.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b w:val="1"/>
          <w:bCs w:val="1"/>
          <w:color w:val="auto"/>
        </w:rPr>
        <w:t>Tax gross-up</w:t>
      </w:r>
    </w:p>
    <w:p>
      <w:pPr>
        <w:spacing w:after="0" w:line="135" w:lineRule="exact"/>
        <w:rPr>
          <w:sz w:val="20"/>
          <w:szCs w:val="20"/>
          <w:color w:val="auto"/>
        </w:rPr>
      </w:pPr>
    </w:p>
    <w:p>
      <w:pPr>
        <w:ind w:left="544" w:hanging="544"/>
        <w:spacing w:after="0"/>
        <w:tabs>
          <w:tab w:leader="none" w:pos="54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make all payments to be made by it without any Tax Deduction, unless a Tax Deduction is required by law.</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4"/>
          </w:cols>
          <w:pgMar w:left="436" w:top="270" w:right="439" w:bottom="1440" w:gutter="0" w:footer="0" w:header="0"/>
        </w:sectPr>
      </w:pPr>
    </w:p>
    <w:bookmarkStart w:id="68" w:name="page69"/>
    <w:bookmarkEnd w:id="68"/>
    <w:p>
      <w:pPr>
        <w:ind w:left="544" w:right="60" w:hanging="544"/>
        <w:spacing w:after="0" w:line="266" w:lineRule="auto"/>
        <w:tabs>
          <w:tab w:leader="none" w:pos="5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Company and that Obligor.</w:t>
      </w:r>
    </w:p>
    <w:p>
      <w:pPr>
        <w:spacing w:after="0" w:line="81" w:lineRule="exact"/>
        <w:rPr>
          <w:rFonts w:ascii="Times New Roman" w:cs="Times New Roman" w:eastAsia="Times New Roman" w:hAnsi="Times New Roman"/>
          <w:sz w:val="18"/>
          <w:szCs w:val="18"/>
          <w:color w:val="auto"/>
        </w:rPr>
      </w:pPr>
    </w:p>
    <w:p>
      <w:pPr>
        <w:ind w:left="544" w:right="280" w:hanging="544"/>
        <w:spacing w:after="0" w:line="266" w:lineRule="auto"/>
        <w:tabs>
          <w:tab w:leader="none" w:pos="5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81" w:lineRule="exact"/>
        <w:rPr>
          <w:rFonts w:ascii="Times New Roman" w:cs="Times New Roman" w:eastAsia="Times New Roman" w:hAnsi="Times New Roman"/>
          <w:sz w:val="18"/>
          <w:szCs w:val="18"/>
          <w:color w:val="auto"/>
        </w:rPr>
      </w:pPr>
    </w:p>
    <w:p>
      <w:pPr>
        <w:ind w:left="544" w:right="40" w:hanging="544"/>
        <w:spacing w:after="0" w:line="282" w:lineRule="auto"/>
        <w:tabs>
          <w:tab w:leader="none" w:pos="5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shall not be increased under paragraph (c) above by reason of a Tax Deduction on account of Tax imposed by the United Kingdom, if on the date on which the payment falls due:</w:t>
      </w:r>
    </w:p>
    <w:p>
      <w:pPr>
        <w:spacing w:after="0" w:line="67" w:lineRule="exact"/>
        <w:rPr>
          <w:rFonts w:ascii="Times New Roman" w:cs="Times New Roman" w:eastAsia="Times New Roman" w:hAnsi="Times New Roman"/>
          <w:sz w:val="18"/>
          <w:szCs w:val="18"/>
          <w:color w:val="auto"/>
        </w:rPr>
      </w:pPr>
    </w:p>
    <w:p>
      <w:pPr>
        <w:ind w:left="1184" w:right="20" w:hanging="644"/>
        <w:spacing w:after="0" w:line="261" w:lineRule="auto"/>
        <w:tabs>
          <w:tab w:leader="none" w:pos="118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Lender is a Qualifying Lender solely by virtue of paragraph (a)(ii) of the definition of Qualifying Lender and:</w:t>
      </w:r>
    </w:p>
    <w:p>
      <w:pPr>
        <w:spacing w:after="0" w:line="126" w:lineRule="exact"/>
        <w:rPr>
          <w:rFonts w:ascii="Times New Roman" w:cs="Times New Roman" w:eastAsia="Times New Roman" w:hAnsi="Times New Roman"/>
          <w:sz w:val="18"/>
          <w:szCs w:val="18"/>
          <w:color w:val="auto"/>
        </w:rPr>
      </w:pPr>
    </w:p>
    <w:p>
      <w:pPr>
        <w:ind w:left="1744" w:right="300" w:hanging="543"/>
        <w:spacing w:after="0" w:line="268" w:lineRule="auto"/>
        <w:tabs>
          <w:tab w:leader="none" w:pos="1744"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of H.M. Revenue &amp; Customs has given (and not revoked) a direction (a “</w:t>
      </w:r>
      <w:r>
        <w:rPr>
          <w:rFonts w:ascii="Times New Roman" w:cs="Times New Roman" w:eastAsia="Times New Roman" w:hAnsi="Times New Roman"/>
          <w:sz w:val="18"/>
          <w:szCs w:val="18"/>
          <w:b w:val="1"/>
          <w:bCs w:val="1"/>
          <w:color w:val="auto"/>
        </w:rPr>
        <w:t>Direction</w:t>
      </w:r>
      <w:r>
        <w:rPr>
          <w:rFonts w:ascii="Times New Roman" w:cs="Times New Roman" w:eastAsia="Times New Roman" w:hAnsi="Times New Roman"/>
          <w:sz w:val="18"/>
          <w:szCs w:val="18"/>
          <w:color w:val="auto"/>
        </w:rPr>
        <w:t>”) under section 931 of the ITA which relates to the payment and that Lender has received from the Obligor making the payment or from the Company a certified copy of that Direction; and</w:t>
      </w:r>
    </w:p>
    <w:p>
      <w:pPr>
        <w:spacing w:after="0" w:line="8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could have been made to the Lender without any Tax Deduction if that Direction had not been made;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Lender is a Qualifying Lender solely by virtue of paragraph (a)(ii) of the definition of Qualifying Lender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Lender has not given a Tax Confirmation to the Company; and</w:t>
      </w:r>
    </w:p>
    <w:p>
      <w:pPr>
        <w:spacing w:after="0" w:line="130" w:lineRule="exact"/>
        <w:rPr>
          <w:rFonts w:ascii="Times New Roman" w:cs="Times New Roman" w:eastAsia="Times New Roman" w:hAnsi="Times New Roman"/>
          <w:sz w:val="18"/>
          <w:szCs w:val="18"/>
          <w:color w:val="auto"/>
        </w:rPr>
      </w:pPr>
    </w:p>
    <w:p>
      <w:pPr>
        <w:jc w:val="both"/>
        <w:ind w:left="1744" w:right="120" w:hanging="543"/>
        <w:spacing w:after="0" w:line="266" w:lineRule="auto"/>
        <w:tabs>
          <w:tab w:leader="none" w:pos="1744"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could have been made to the Lender without any Tax Deduction if the Lender had given a Tax Confirmation to the Company, on the basis that the Tax Confirmation would have enabled the Company to have formed a reasonable belief that the payment was an “excepted payment” for the purpose of section 930 of the ITA; or</w:t>
      </w:r>
    </w:p>
    <w:p>
      <w:pPr>
        <w:spacing w:after="0" w:line="81" w:lineRule="exact"/>
        <w:rPr>
          <w:rFonts w:ascii="Times New Roman" w:cs="Times New Roman" w:eastAsia="Times New Roman" w:hAnsi="Times New Roman"/>
          <w:sz w:val="18"/>
          <w:szCs w:val="18"/>
          <w:color w:val="auto"/>
        </w:rPr>
      </w:pPr>
    </w:p>
    <w:p>
      <w:pPr>
        <w:ind w:left="1184" w:right="140" w:hanging="644"/>
        <w:spacing w:after="0" w:line="266" w:lineRule="auto"/>
        <w:tabs>
          <w:tab w:leader="none" w:pos="118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Lender is a Treaty Lender and the Obligor making the payment is able to demonstrate that the payment could have been made to the Lender without the Tax Deduction had that Lender complied with its obligations under paragraph (g) or (h) (as applicable) below.</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4"/>
          </w:cols>
          <w:pgMar w:left="436" w:top="270" w:right="439" w:bottom="1440" w:gutter="0" w:footer="0" w:header="0"/>
        </w:sectPr>
      </w:pPr>
    </w:p>
    <w:bookmarkStart w:id="69" w:name="page70"/>
    <w:bookmarkEnd w:id="69"/>
    <w:p>
      <w:pPr>
        <w:ind w:left="544" w:right="60" w:hanging="544"/>
        <w:spacing w:after="0" w:line="282" w:lineRule="auto"/>
        <w:tabs>
          <w:tab w:leader="none" w:pos="54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 Obligor is required to make a Tax Deduction, that Obligor shall make that Tax Deduction and any payment required in connection with that Tax Deduction within the time allowed and in the minimum amount required by law.</w:t>
      </w:r>
    </w:p>
    <w:p>
      <w:pPr>
        <w:spacing w:after="0" w:line="67" w:lineRule="exact"/>
        <w:rPr>
          <w:rFonts w:ascii="Times New Roman" w:cs="Times New Roman" w:eastAsia="Times New Roman" w:hAnsi="Times New Roman"/>
          <w:sz w:val="18"/>
          <w:szCs w:val="18"/>
          <w:color w:val="auto"/>
        </w:rPr>
      </w:pPr>
    </w:p>
    <w:p>
      <w:pPr>
        <w:ind w:left="544" w:right="40" w:hanging="544"/>
        <w:spacing w:after="0" w:line="261" w:lineRule="auto"/>
        <w:tabs>
          <w:tab w:leader="none" w:pos="54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days of making either a Tax Deduction or any payment required in connection with that Tax Deduction, the Obligor making that Tax Deduction shall deliver to the Agent for the Finance Party entitled to the payment a statement under section 975 of the ITA or other evidence reasonably satisfactory to that Finance Party that the Tax Deduction has been made or (as applicable) any appropriate payment paid to the relevant taxing authority.</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w:t>
      </w:r>
    </w:p>
    <w:p>
      <w:pPr>
        <w:spacing w:after="0" w:line="131" w:lineRule="exact"/>
        <w:rPr>
          <w:sz w:val="20"/>
          <w:szCs w:val="20"/>
          <w:color w:val="auto"/>
        </w:rPr>
      </w:pPr>
    </w:p>
    <w:p>
      <w:pPr>
        <w:jc w:val="both"/>
        <w:ind w:left="1184" w:right="140" w:hanging="644"/>
        <w:spacing w:after="0" w:line="266" w:lineRule="auto"/>
        <w:tabs>
          <w:tab w:leader="none" w:pos="118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(ii) below, a Treaty Lender and each Obligor which makes a payment to which that Treaty Lender is entitled shall co-operate in completing any procedural formalities necessary for that Obligor to obtain authorisation to make that payment without a Tax Deduction.</w:t>
      </w:r>
    </w:p>
    <w:p>
      <w:pPr>
        <w:spacing w:after="0" w:line="8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(ii)</w:t>
      </w:r>
    </w:p>
    <w:p>
      <w:pPr>
        <w:spacing w:after="0" w:line="131" w:lineRule="exact"/>
        <w:rPr>
          <w:sz w:val="20"/>
          <w:szCs w:val="20"/>
          <w:color w:val="auto"/>
        </w:rPr>
      </w:pPr>
    </w:p>
    <w:p>
      <w:pPr>
        <w:ind w:left="1744" w:right="40" w:hanging="543"/>
        <w:spacing w:after="0" w:line="266" w:lineRule="auto"/>
        <w:tabs>
          <w:tab w:leader="none" w:pos="17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Treaty Lender which is an Original Lender and that holds a passport under the HMRC DT Treaty Passport scheme, and which wishes that scheme to apply to this Agreement, shall confirm its scheme reference number and its jurisdiction of tax residence opposite its name in Schedule 1 (</w:t>
      </w:r>
      <w:r>
        <w:rPr>
          <w:rFonts w:ascii="Times New Roman" w:cs="Times New Roman" w:eastAsia="Times New Roman" w:hAnsi="Times New Roman"/>
          <w:sz w:val="18"/>
          <w:szCs w:val="18"/>
          <w:i w:val="1"/>
          <w:iCs w:val="1"/>
          <w:color w:val="auto"/>
        </w:rPr>
        <w:t>The Original Lenders</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1744" w:right="300" w:hanging="543"/>
        <w:spacing w:after="0" w:line="266" w:lineRule="auto"/>
        <w:tabs>
          <w:tab w:leader="none" w:pos="17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Treaty Lender which is not an Original Lender and that holds a passport under the HMRC DT Treaty Passport scheme, and which wishes that scheme to apply to this Agreement, shall confirm its scheme reference number and its jurisdiction of tax residence in the documentation which it executes on becoming a Party as a Lender,</w:t>
      </w:r>
    </w:p>
    <w:p>
      <w:pPr>
        <w:spacing w:after="0" w:line="68"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and, having done so, that Lender shall be under no obligation pursuant to paragraph (i) above.</w:t>
      </w:r>
    </w:p>
    <w:p>
      <w:pPr>
        <w:spacing w:after="0" w:line="129" w:lineRule="exact"/>
        <w:rPr>
          <w:sz w:val="20"/>
          <w:szCs w:val="20"/>
          <w:color w:val="auto"/>
        </w:rPr>
      </w:pPr>
    </w:p>
    <w:p>
      <w:pPr>
        <w:ind w:left="1184" w:hanging="644"/>
        <w:spacing w:after="0" w:line="258" w:lineRule="auto"/>
        <w:tabs>
          <w:tab w:leader="none" w:pos="1184"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includes the confirmation described in paragraph (ii)(A) above in Schedule 1 (</w:t>
      </w:r>
      <w:r>
        <w:rPr>
          <w:rFonts w:ascii="Times New Roman" w:cs="Times New Roman" w:eastAsia="Times New Roman" w:hAnsi="Times New Roman"/>
          <w:sz w:val="18"/>
          <w:szCs w:val="18"/>
          <w:i w:val="1"/>
          <w:iCs w:val="1"/>
          <w:color w:val="auto"/>
        </w:rPr>
        <w:t>The Original Lenders</w:t>
      </w:r>
      <w:r>
        <w:rPr>
          <w:rFonts w:ascii="Times New Roman" w:cs="Times New Roman" w:eastAsia="Times New Roman" w:hAnsi="Times New Roman"/>
          <w:sz w:val="18"/>
          <w:szCs w:val="18"/>
          <w:color w:val="auto"/>
        </w:rPr>
        <w:t>) or the confirmation described in paragraph (ii)(B) above in the documentation which it executes on becoming a Party as a Lender thereby notifies the Borrower that, to the extent that that Lender is a Lender under a Facility made available to that Borrower and the HMRC DT Treaty Passport scheme is to apply in respect of that Lender’s Commitment(s) or its participation in any Loan to the Borrower, the Borrower must file a Borrower DTTP Filing.</w:t>
      </w:r>
    </w:p>
    <w:p>
      <w:pPr>
        <w:spacing w:after="0" w:line="9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has confirmed its scheme reference number and its jurisdiction of tax residence in accordance with paragraph (g)(ii) above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making a payment to that Lender has not made a Borrower DTTP Filing in respect of that Lender; or</w:t>
      </w:r>
    </w:p>
    <w:p>
      <w:pPr>
        <w:spacing w:after="0" w:line="131" w:lineRule="exact"/>
        <w:rPr>
          <w:sz w:val="20"/>
          <w:szCs w:val="20"/>
          <w:color w:val="auto"/>
        </w:rPr>
      </w:pPr>
    </w:p>
    <w:p>
      <w:pPr>
        <w:ind w:left="1184" w:hanging="644"/>
        <w:spacing w:after="0"/>
        <w:tabs>
          <w:tab w:leader="none" w:pos="118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making a payment to that Lender has made a Borrower DTTP Filing in respect of that Lender but: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Borrower DTTP Filing has been rejected by H.M. Revenue &amp; Customs;</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4"/>
          </w:cols>
          <w:pgMar w:left="436" w:top="270" w:right="439" w:bottom="1440" w:gutter="0" w:footer="0" w:header="0"/>
        </w:sectPr>
      </w:pPr>
    </w:p>
    <w:bookmarkStart w:id="70" w:name="page71"/>
    <w:bookmarkEnd w:id="70"/>
    <w:p>
      <w:pPr>
        <w:ind w:left="1744" w:right="440" w:hanging="543"/>
        <w:spacing w:after="0" w:line="282" w:lineRule="auto"/>
        <w:tabs>
          <w:tab w:leader="none" w:pos="174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H.M. Revenue &amp; Customs has not given the Borrower authority to make payments to that Lender without a Tax Deduction within 60 days of the date of the Borrower DTTP Filing; or</w:t>
      </w:r>
    </w:p>
    <w:p>
      <w:pPr>
        <w:spacing w:after="0" w:line="67" w:lineRule="exact"/>
        <w:rPr>
          <w:rFonts w:ascii="Times New Roman" w:cs="Times New Roman" w:eastAsia="Times New Roman" w:hAnsi="Times New Roman"/>
          <w:sz w:val="18"/>
          <w:szCs w:val="18"/>
          <w:color w:val="auto"/>
        </w:rPr>
      </w:pPr>
    </w:p>
    <w:p>
      <w:pPr>
        <w:ind w:left="1744" w:right="60" w:hanging="543"/>
        <w:spacing w:after="0" w:line="282" w:lineRule="auto"/>
        <w:tabs>
          <w:tab w:leader="none" w:pos="174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H.M. Revenue &amp; Customs has given the Borrower authority to make payments to that Lender without a Tax Deduction but such authority has subsequently been revoked or expired,</w:t>
      </w:r>
    </w:p>
    <w:p>
      <w:pPr>
        <w:spacing w:after="0" w:line="54" w:lineRule="exact"/>
        <w:rPr>
          <w:sz w:val="20"/>
          <w:szCs w:val="20"/>
          <w:color w:val="auto"/>
        </w:rPr>
      </w:pPr>
    </w:p>
    <w:p>
      <w:pPr>
        <w:ind w:left="544" w:right="240"/>
        <w:spacing w:after="0" w:line="282" w:lineRule="auto"/>
        <w:rPr>
          <w:sz w:val="20"/>
          <w:szCs w:val="20"/>
          <w:color w:val="auto"/>
        </w:rPr>
      </w:pPr>
      <w:r>
        <w:rPr>
          <w:rFonts w:ascii="Times New Roman" w:cs="Times New Roman" w:eastAsia="Times New Roman" w:hAnsi="Times New Roman"/>
          <w:sz w:val="18"/>
          <w:szCs w:val="18"/>
          <w:color w:val="auto"/>
        </w:rPr>
        <w:t>and in each case, the Borrower has notified that Lender in writing, that Lender and the Borrower shall co-operate in completing any additional procedural formalities necessary for that Borrower to obtain authorisation to make that payment without a Tax Deduction.</w:t>
      </w:r>
    </w:p>
    <w:p>
      <w:pPr>
        <w:spacing w:after="0" w:line="67" w:lineRule="exact"/>
        <w:rPr>
          <w:sz w:val="20"/>
          <w:szCs w:val="20"/>
          <w:color w:val="auto"/>
        </w:rPr>
      </w:pPr>
    </w:p>
    <w:p>
      <w:pPr>
        <w:ind w:left="544" w:right="100" w:hanging="544"/>
        <w:spacing w:after="0" w:line="266" w:lineRule="auto"/>
        <w:tabs>
          <w:tab w:leader="none" w:pos="5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has not confirmed its scheme reference number and jurisdiction of tax residence in accordance with paragraph (g)(ii) above, no Obligor shall make a Borrower DTTP Filing or file any other form relating to the HMRC DT Treaty Passport scheme in respect of that Lender’s Commitment(s) or its participation in any Loan unless the Lender otherwise agrees.</w:t>
      </w:r>
    </w:p>
    <w:p>
      <w:pPr>
        <w:spacing w:after="0" w:line="81" w:lineRule="exact"/>
        <w:rPr>
          <w:rFonts w:ascii="Times New Roman" w:cs="Times New Roman" w:eastAsia="Times New Roman" w:hAnsi="Times New Roman"/>
          <w:sz w:val="18"/>
          <w:szCs w:val="18"/>
          <w:color w:val="auto"/>
        </w:rPr>
      </w:pPr>
    </w:p>
    <w:p>
      <w:pPr>
        <w:ind w:left="544" w:right="100" w:hanging="544"/>
        <w:spacing w:after="0" w:line="282" w:lineRule="auto"/>
        <w:tabs>
          <w:tab w:leader="none" w:pos="5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on making a Borrower DTTP Filing, deliver a copy of that Borrower DTTP Filing to the Agent for delivery to the relevant Lender.</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Non-Bank Lender which is an Original Lender gives a Tax Confirmation to the Company by entering into this Agreement.</w:t>
      </w:r>
    </w:p>
    <w:p>
      <w:pPr>
        <w:spacing w:after="0" w:line="130" w:lineRule="exact"/>
        <w:rPr>
          <w:rFonts w:ascii="Times New Roman" w:cs="Times New Roman" w:eastAsia="Times New Roman" w:hAnsi="Times New Roman"/>
          <w:sz w:val="18"/>
          <w:szCs w:val="18"/>
          <w:color w:val="auto"/>
        </w:rPr>
      </w:pPr>
    </w:p>
    <w:p>
      <w:pPr>
        <w:ind w:left="544" w:right="420" w:hanging="544"/>
        <w:spacing w:after="0" w:line="282" w:lineRule="auto"/>
        <w:tabs>
          <w:tab w:leader="none" w:pos="5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Non-Bank Lender shall promptly notify the Company and the Agent if there is any change in the position from that set out in the Tax Confirmation.</w:t>
      </w:r>
    </w:p>
    <w:p>
      <w:pPr>
        <w:spacing w:after="0" w:line="67" w:lineRule="exact"/>
        <w:rPr>
          <w:rFonts w:ascii="Times New Roman" w:cs="Times New Roman" w:eastAsia="Times New Roman" w:hAnsi="Times New Roman"/>
          <w:sz w:val="18"/>
          <w:szCs w:val="18"/>
          <w:color w:val="auto"/>
        </w:rPr>
      </w:pPr>
    </w:p>
    <w:p>
      <w:pPr>
        <w:ind w:left="544" w:right="80" w:hanging="544"/>
        <w:spacing w:after="0" w:line="282" w:lineRule="auto"/>
        <w:tabs>
          <w:tab w:leader="none" w:pos="5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Obligor receives a notification from HM Revenue &amp; Customs that a QPP Certificate given by a Lender has no effect, the relevant Obligor shall deliver a copy of that notification to the Lender.</w:t>
      </w:r>
    </w:p>
    <w:p>
      <w:pPr>
        <w:spacing w:after="0" w:line="67" w:lineRule="exact"/>
        <w:rPr>
          <w:rFonts w:ascii="Times New Roman" w:cs="Times New Roman" w:eastAsia="Times New Roman" w:hAnsi="Times New Roman"/>
          <w:sz w:val="18"/>
          <w:szCs w:val="18"/>
          <w:color w:val="auto"/>
        </w:rPr>
      </w:pPr>
    </w:p>
    <w:p>
      <w:pPr>
        <w:ind w:left="544" w:right="100" w:hanging="544"/>
        <w:spacing w:after="0" w:line="282" w:lineRule="auto"/>
        <w:tabs>
          <w:tab w:leader="none" w:pos="5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without any liability to any Party that, where a Lender can deliver a QPP Certificate, it will do so in the form set out in Schedule 10 (</w:t>
      </w:r>
      <w:r>
        <w:rPr>
          <w:rFonts w:ascii="Times New Roman" w:cs="Times New Roman" w:eastAsia="Times New Roman" w:hAnsi="Times New Roman"/>
          <w:sz w:val="18"/>
          <w:szCs w:val="18"/>
          <w:i w:val="1"/>
          <w:iCs w:val="1"/>
          <w:color w:val="auto"/>
        </w:rPr>
        <w:t>Form of QPP Certificate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4" w:right="200" w:hanging="544"/>
        <w:spacing w:after="0" w:line="261" w:lineRule="auto"/>
        <w:tabs>
          <w:tab w:leader="none" w:pos="5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use reasonable endeavours to submit to the Borrower any forms, documents or information as may be necessary for the Borrower to determine whether it is required to make payments under this Agreement subject to a Tax Deduction. For the avoidance of doubt, the provision of any forms, documents or information by the Lenders shall not be a condition to the Borrower’s obligation at paragraph 14.2(c) above to increase the amount of any such payments.</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b w:val="1"/>
          <w:bCs w:val="1"/>
          <w:color w:val="auto"/>
        </w:rPr>
        <w:t>Tax indemnity</w:t>
      </w:r>
    </w:p>
    <w:p>
      <w:pPr>
        <w:spacing w:after="0" w:line="135" w:lineRule="exact"/>
        <w:rPr>
          <w:sz w:val="20"/>
          <w:szCs w:val="20"/>
          <w:color w:val="auto"/>
        </w:rPr>
      </w:pPr>
    </w:p>
    <w:p>
      <w:pPr>
        <w:ind w:left="544" w:right="200" w:hanging="544"/>
        <w:spacing w:after="0" w:line="266" w:lineRule="auto"/>
        <w:tabs>
          <w:tab w:leader="none" w:pos="5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apply: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 assessed on a Finance Party:</w:t>
      </w:r>
    </w:p>
    <w:p>
      <w:pPr>
        <w:spacing w:after="0" w:line="130" w:lineRule="exact"/>
        <w:rPr>
          <w:rFonts w:ascii="Times New Roman" w:cs="Times New Roman" w:eastAsia="Times New Roman" w:hAnsi="Times New Roman"/>
          <w:sz w:val="18"/>
          <w:szCs w:val="18"/>
          <w:color w:val="auto"/>
        </w:rPr>
      </w:pPr>
    </w:p>
    <w:p>
      <w:pPr>
        <w:ind w:left="1744" w:right="180" w:hanging="543"/>
        <w:spacing w:after="0" w:line="282" w:lineRule="auto"/>
        <w:tabs>
          <w:tab w:leader="none" w:pos="1744"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4"/>
          </w:cols>
          <w:pgMar w:left="436" w:top="270" w:right="439" w:bottom="1440" w:gutter="0" w:footer="0" w:header="0"/>
        </w:sectPr>
      </w:pPr>
    </w:p>
    <w:bookmarkStart w:id="71" w:name="page72"/>
    <w:bookmarkEnd w:id="71"/>
    <w:p>
      <w:pPr>
        <w:ind w:left="1744" w:right="580" w:hanging="543"/>
        <w:spacing w:after="0" w:line="282" w:lineRule="auto"/>
        <w:tabs>
          <w:tab w:leader="none" w:pos="174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law of the jurisdiction in which that Finance Party’s Facility Office is located in respect of amounts received or receivable in that jurisdiction,</w:t>
      </w:r>
    </w:p>
    <w:p>
      <w:pPr>
        <w:spacing w:after="0" w:line="54" w:lineRule="exact"/>
        <w:rPr>
          <w:sz w:val="20"/>
          <w:szCs w:val="20"/>
          <w:color w:val="auto"/>
        </w:rPr>
      </w:pPr>
    </w:p>
    <w:p>
      <w:pPr>
        <w:ind w:left="1204" w:right="80"/>
        <w:spacing w:after="0" w:line="282" w:lineRule="auto"/>
        <w:rPr>
          <w:sz w:val="20"/>
          <w:szCs w:val="20"/>
          <w:color w:val="auto"/>
        </w:rPr>
      </w:pPr>
      <w:r>
        <w:rPr>
          <w:rFonts w:ascii="Times New Roman" w:cs="Times New Roman" w:eastAsia="Times New Roman" w:hAnsi="Times New Roman"/>
          <w:sz w:val="18"/>
          <w:szCs w:val="18"/>
          <w:color w:val="auto"/>
        </w:rPr>
        <w:t>if that Tax is imposed on or calculated by reference to the net income received or receivable (but not any sum deemed to be received or receivable) by that Finance Party; or</w:t>
      </w:r>
    </w:p>
    <w:p>
      <w:pPr>
        <w:spacing w:after="0" w:line="67" w:lineRule="exact"/>
        <w:rPr>
          <w:sz w:val="20"/>
          <w:szCs w:val="20"/>
          <w:color w:val="auto"/>
        </w:rPr>
      </w:pPr>
    </w:p>
    <w:p>
      <w:pPr>
        <w:ind w:left="1184" w:hanging="644"/>
        <w:spacing w:after="0"/>
        <w:tabs>
          <w:tab w:leader="none" w:pos="118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loss, liability or cost:</w:t>
      </w:r>
    </w:p>
    <w:p>
      <w:pPr>
        <w:spacing w:after="0" w:line="128"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compensated for by an increased payment under Clause 14.2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right="20" w:hanging="543"/>
        <w:spacing w:after="0" w:line="284" w:lineRule="auto"/>
        <w:tabs>
          <w:tab w:leader="none" w:pos="1744"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have been compensated for by an increased payment under Clause 14.2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but was not so compensated solely because one of the exclusions in paragraph (d) of Clause 14.2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applied; or</w:t>
      </w:r>
    </w:p>
    <w:p>
      <w:pPr>
        <w:spacing w:after="0" w:line="65"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FATCA Deduction required to be made by a Party.</w:t>
      </w:r>
    </w:p>
    <w:p>
      <w:pPr>
        <w:spacing w:after="0" w:line="130" w:lineRule="exact"/>
        <w:rPr>
          <w:rFonts w:ascii="Times New Roman" w:cs="Times New Roman" w:eastAsia="Times New Roman" w:hAnsi="Times New Roman"/>
          <w:sz w:val="18"/>
          <w:szCs w:val="18"/>
          <w:color w:val="auto"/>
        </w:rPr>
      </w:pPr>
    </w:p>
    <w:p>
      <w:pPr>
        <w:ind w:left="544" w:right="60" w:hanging="544"/>
        <w:spacing w:after="0" w:line="282" w:lineRule="auto"/>
        <w:tabs>
          <w:tab w:leader="none" w:pos="5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Protected Party making, or intending to make, a claim under paragraph (a) above shall promptly notify the Agent of the event which will give, or has given, rise to the claim, following which the Agent shall notify the Company.</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Protected Party shall, on receiving a payment from an Obligor under this Clause 14.3, notify the Agent.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7"/>
          <w:szCs w:val="17"/>
          <w:b w:val="1"/>
          <w:bCs w:val="1"/>
          <w:color w:val="auto"/>
        </w:rPr>
        <w:t>Tax Credit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an Obligor makes a Tax Payment and the relevant Finance Party determines that:</w:t>
      </w:r>
    </w:p>
    <w:p>
      <w:pPr>
        <w:spacing w:after="0" w:line="131" w:lineRule="exact"/>
        <w:rPr>
          <w:sz w:val="20"/>
          <w:szCs w:val="20"/>
          <w:color w:val="auto"/>
        </w:rPr>
      </w:pPr>
    </w:p>
    <w:p>
      <w:pPr>
        <w:ind w:left="1184" w:right="40" w:hanging="644"/>
        <w:spacing w:after="0" w:line="282" w:lineRule="auto"/>
        <w:tabs>
          <w:tab w:leader="none" w:pos="118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Credit is attributable to an increased payment of which that Tax Payment forms part, to that Tax Payment or to a Tax Deduction in consequence of which that Tax Payment was required;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Finance Party has obtained and utilised that Tax Credit,</w:t>
      </w:r>
    </w:p>
    <w:p>
      <w:pPr>
        <w:spacing w:after="0" w:line="117"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b w:val="1"/>
          <w:bCs w:val="1"/>
          <w:color w:val="auto"/>
        </w:rPr>
        <w:t>Lender status confirmation</w:t>
      </w:r>
    </w:p>
    <w:p>
      <w:pPr>
        <w:spacing w:after="0" w:line="121"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Each Lender which is not an Original Lender shall indicate, in the documentation which it executes on becoming a Party as a Lender, and for the benefit of the Agent and without liability to any Obligor, which of the following categories it falls in:</w:t>
      </w:r>
    </w:p>
    <w:p>
      <w:pPr>
        <w:spacing w:after="0" w:line="67" w:lineRule="exact"/>
        <w:rPr>
          <w:sz w:val="20"/>
          <w:szCs w:val="20"/>
          <w:color w:val="auto"/>
        </w:rPr>
      </w:pPr>
    </w:p>
    <w:p>
      <w:pPr>
        <w:ind w:left="1184" w:hanging="644"/>
        <w:spacing w:after="0"/>
        <w:tabs>
          <w:tab w:leader="none" w:pos="118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Qualifying Lender;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Lender (other than a Treaty Lender or a QPP Lender);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Treaty Lender;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QPP Lender.</w:t>
      </w:r>
    </w:p>
    <w:p>
      <w:pPr>
        <w:spacing w:after="0" w:line="117" w:lineRule="exact"/>
        <w:rPr>
          <w:sz w:val="20"/>
          <w:szCs w:val="20"/>
          <w:color w:val="auto"/>
        </w:rPr>
      </w:pPr>
    </w:p>
    <w:p>
      <w:pPr>
        <w:ind w:left="544" w:right="60"/>
        <w:spacing w:after="0" w:line="261" w:lineRule="auto"/>
        <w:rPr>
          <w:sz w:val="20"/>
          <w:szCs w:val="20"/>
          <w:color w:val="auto"/>
        </w:rPr>
      </w:pPr>
      <w:r>
        <w:rPr>
          <w:rFonts w:ascii="Times New Roman" w:cs="Times New Roman" w:eastAsia="Times New Roman" w:hAnsi="Times New Roman"/>
          <w:sz w:val="18"/>
          <w:szCs w:val="18"/>
          <w:color w:val="auto"/>
        </w:rPr>
        <w:t>If such a Lender fails to indicate its status in accordance with this Clause 14.5 then that Lender shall be treated for the purposes of this Agreement (including by each Obligor) as if it is not a Qualifying Lender until such time as it notifies the Agent which category applies (and the Agent, upon receipt of such notification, shall inform the Company). For the avoidance of doubt, the documentation which a Lender executes on becoming a Party as a Lender shall not be invalidated by any failure of a Lender to comply with this Clause 14.5.</w:t>
      </w:r>
    </w:p>
    <w:p>
      <w:pPr>
        <w:spacing w:after="0" w:line="11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4"/>
          </w:cols>
          <w:pgMar w:left="436" w:top="270" w:right="439" w:bottom="1440" w:gutter="0" w:footer="0" w:header="0"/>
        </w:sectPr>
      </w:pPr>
    </w:p>
    <w:bookmarkStart w:id="72" w:name="page73"/>
    <w:bookmarkEnd w:id="72"/>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14.6</w:t>
        <w:tab/>
        <w:t>Stamp taxes</w:t>
      </w:r>
    </w:p>
    <w:p>
      <w:pPr>
        <w:spacing w:after="0" w:line="121" w:lineRule="exact"/>
        <w:rPr>
          <w:sz w:val="20"/>
          <w:szCs w:val="20"/>
          <w:color w:val="auto"/>
        </w:rPr>
      </w:pPr>
    </w:p>
    <w:p>
      <w:pPr>
        <w:ind w:left="544" w:right="40"/>
        <w:spacing w:after="0" w:line="282" w:lineRule="auto"/>
        <w:rPr>
          <w:sz w:val="20"/>
          <w:szCs w:val="20"/>
          <w:color w:val="auto"/>
        </w:rPr>
      </w:pPr>
      <w:r>
        <w:rPr>
          <w:rFonts w:ascii="Times New Roman" w:cs="Times New Roman" w:eastAsia="Times New Roman" w:hAnsi="Times New Roman"/>
          <w:sz w:val="18"/>
          <w:szCs w:val="18"/>
          <w:color w:val="auto"/>
        </w:rPr>
        <w:t>The Company shall pay and, within three Business Days of demand, indemnify each Secured Party against any cost, loss or liability that Secured Party incurs in relation to all stamp duty, registration and other similar Taxes payable in respect of any Finance Document.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6"/>
          <w:szCs w:val="16"/>
          <w:b w:val="1"/>
          <w:bCs w:val="1"/>
          <w:color w:val="auto"/>
        </w:rPr>
        <w:t>VAT</w:t>
      </w:r>
    </w:p>
    <w:p>
      <w:pPr>
        <w:spacing w:after="0" w:line="135" w:lineRule="exact"/>
        <w:rPr>
          <w:sz w:val="20"/>
          <w:szCs w:val="20"/>
          <w:color w:val="auto"/>
        </w:rPr>
      </w:pPr>
    </w:p>
    <w:p>
      <w:pPr>
        <w:ind w:left="544" w:right="60" w:hanging="544"/>
        <w:spacing w:after="0" w:line="256" w:lineRule="auto"/>
        <w:tabs>
          <w:tab w:leader="none" w:pos="5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88" w:lineRule="exact"/>
        <w:rPr>
          <w:rFonts w:ascii="Times New Roman" w:cs="Times New Roman" w:eastAsia="Times New Roman" w:hAnsi="Times New Roman"/>
          <w:sz w:val="18"/>
          <w:szCs w:val="18"/>
          <w:color w:val="auto"/>
        </w:rPr>
      </w:pPr>
    </w:p>
    <w:p>
      <w:pPr>
        <w:ind w:left="544" w:right="20" w:hanging="544"/>
        <w:spacing w:after="0" w:line="262" w:lineRule="auto"/>
        <w:tabs>
          <w:tab w:leader="none" w:pos="5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VAT is or becomes chargeable on any supply made by any Finance Party (the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to any other Finance Party (the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under a Finance Document, and any Party other than the Recipient (the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85" w:lineRule="exact"/>
        <w:rPr>
          <w:rFonts w:ascii="Times New Roman" w:cs="Times New Roman" w:eastAsia="Times New Roman" w:hAnsi="Times New Roman"/>
          <w:sz w:val="18"/>
          <w:szCs w:val="18"/>
          <w:color w:val="auto"/>
        </w:rPr>
      </w:pPr>
    </w:p>
    <w:p>
      <w:pPr>
        <w:ind w:left="1184" w:right="60" w:hanging="644"/>
        <w:spacing w:after="0" w:line="261" w:lineRule="auto"/>
        <w:tabs>
          <w:tab w:leader="none" w:pos="118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85" w:lineRule="exact"/>
        <w:rPr>
          <w:rFonts w:ascii="Times New Roman" w:cs="Times New Roman" w:eastAsia="Times New Roman" w:hAnsi="Times New Roman"/>
          <w:sz w:val="18"/>
          <w:szCs w:val="18"/>
          <w:color w:val="auto"/>
        </w:rPr>
      </w:pPr>
    </w:p>
    <w:p>
      <w:pPr>
        <w:ind w:left="1184" w:right="80" w:hanging="644"/>
        <w:spacing w:after="0" w:line="261" w:lineRule="auto"/>
        <w:tabs>
          <w:tab w:leader="none" w:pos="118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85" w:lineRule="exact"/>
        <w:rPr>
          <w:rFonts w:ascii="Times New Roman" w:cs="Times New Roman" w:eastAsia="Times New Roman" w:hAnsi="Times New Roman"/>
          <w:sz w:val="18"/>
          <w:szCs w:val="18"/>
          <w:color w:val="auto"/>
        </w:rPr>
      </w:pPr>
    </w:p>
    <w:p>
      <w:pPr>
        <w:ind w:left="544" w:right="20" w:hanging="544"/>
        <w:spacing w:after="0" w:line="261" w:lineRule="auto"/>
        <w:tabs>
          <w:tab w:leader="none" w:pos="5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1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4"/>
          </w:cols>
          <w:pgMar w:left="436" w:top="266" w:right="439" w:bottom="1440" w:gutter="0" w:footer="0" w:header="0"/>
        </w:sectPr>
      </w:pPr>
    </w:p>
    <w:bookmarkStart w:id="73" w:name="page74"/>
    <w:bookmarkEnd w:id="73"/>
    <w:p>
      <w:pPr>
        <w:ind w:left="544" w:right="20" w:hanging="544"/>
        <w:spacing w:after="0" w:line="255" w:lineRule="auto"/>
        <w:tabs>
          <w:tab w:leader="none" w:pos="54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reference in this Clause 14.7 to any Party shall, at any time when such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the Value Added Tax Act 1994, Article 11 of Council Directive 2006/112/EC (or as implemented by the relevant member state of the European Union) or any other similar provision in any jurisdiction other than the United Kingdom or a member state of the European Union)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spacing w:after="0" w:line="94" w:lineRule="exact"/>
        <w:rPr>
          <w:rFonts w:ascii="Times New Roman" w:cs="Times New Roman" w:eastAsia="Times New Roman" w:hAnsi="Times New Roman"/>
          <w:sz w:val="18"/>
          <w:szCs w:val="18"/>
          <w:color w:val="auto"/>
        </w:rPr>
      </w:pPr>
    </w:p>
    <w:p>
      <w:pPr>
        <w:ind w:left="544" w:right="260" w:hanging="544"/>
        <w:spacing w:after="0" w:line="266" w:lineRule="auto"/>
        <w:tabs>
          <w:tab w:leader="none" w:pos="54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7"/>
          <w:szCs w:val="17"/>
          <w:b w:val="1"/>
          <w:bCs w:val="1"/>
          <w:color w:val="auto"/>
        </w:rPr>
        <w:t>FATCA information</w:t>
      </w:r>
    </w:p>
    <w:p>
      <w:pPr>
        <w:spacing w:after="0" w:line="135" w:lineRule="exact"/>
        <w:rPr>
          <w:sz w:val="20"/>
          <w:szCs w:val="20"/>
          <w:color w:val="auto"/>
        </w:rPr>
      </w:pPr>
    </w:p>
    <w:p>
      <w:pPr>
        <w:ind w:left="544" w:hanging="544"/>
        <w:spacing w:after="0"/>
        <w:tabs>
          <w:tab w:leader="none" w:pos="5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each Party shall, within ten Business Days of a reasonable request by another Party: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to that other Party whether it is: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FATCA Exempt Party;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FATCA Exempt Party;</w:t>
      </w:r>
    </w:p>
    <w:p>
      <w:pPr>
        <w:spacing w:after="0" w:line="130" w:lineRule="exact"/>
        <w:rPr>
          <w:rFonts w:ascii="Times New Roman" w:cs="Times New Roman" w:eastAsia="Times New Roman" w:hAnsi="Times New Roman"/>
          <w:sz w:val="18"/>
          <w:szCs w:val="18"/>
          <w:color w:val="auto"/>
        </w:rPr>
      </w:pPr>
    </w:p>
    <w:p>
      <w:pPr>
        <w:ind w:left="1184" w:right="560" w:hanging="644"/>
        <w:spacing w:after="0" w:line="282" w:lineRule="auto"/>
        <w:tabs>
          <w:tab w:leader="none" w:pos="118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67"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67"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67" w:lineRule="exact"/>
        <w:rPr>
          <w:rFonts w:ascii="Times New Roman" w:cs="Times New Roman" w:eastAsia="Times New Roman" w:hAnsi="Times New Roman"/>
          <w:sz w:val="18"/>
          <w:szCs w:val="18"/>
          <w:color w:val="auto"/>
        </w:rPr>
      </w:pPr>
    </w:p>
    <w:p>
      <w:pPr>
        <w:ind w:left="544" w:right="640" w:hanging="544"/>
        <w:spacing w:after="0" w:line="282" w:lineRule="auto"/>
        <w:tabs>
          <w:tab w:leader="none" w:pos="5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fiduciary duty;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duty of confidentiality.</w:t>
      </w:r>
    </w:p>
    <w:p>
      <w:pPr>
        <w:spacing w:after="0" w:line="130" w:lineRule="exact"/>
        <w:rPr>
          <w:rFonts w:ascii="Times New Roman" w:cs="Times New Roman" w:eastAsia="Times New Roman" w:hAnsi="Times New Roman"/>
          <w:sz w:val="18"/>
          <w:szCs w:val="18"/>
          <w:color w:val="auto"/>
        </w:rPr>
      </w:pPr>
    </w:p>
    <w:p>
      <w:pPr>
        <w:ind w:left="544" w:right="20" w:hanging="544"/>
        <w:spacing w:after="0" w:line="261" w:lineRule="auto"/>
        <w:tabs>
          <w:tab w:leader="none" w:pos="5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fails to confirm whether or not it is a FATCA Exempt Party or to supply forms, documentation or other information requested in accordance with paragraph (a)(i) or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1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4"/>
          </w:cols>
          <w:pgMar w:left="436" w:top="270" w:right="439" w:bottom="1440" w:gutter="0" w:footer="0" w:header="0"/>
        </w:sectPr>
      </w:pPr>
    </w:p>
    <w:bookmarkStart w:id="74" w:name="page75"/>
    <w:bookmarkEnd w:id="74"/>
    <w:p>
      <w:pPr>
        <w:ind w:left="544" w:right="720" w:hanging="544"/>
        <w:spacing w:after="0" w:line="282" w:lineRule="auto"/>
        <w:tabs>
          <w:tab w:leader="none" w:pos="54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Borrower is a U.S. Tax Obligor, or the Agent reasonably believes that its obligations under FATCA or any other applicable law or regulation require it, each Lender shall, within ten Business Days of:</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Borrower is a U.S. Tax Obligor and the relevant Lender is an Original Lender, the Signing Date;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Borrower is a U.S. Tax Obligor on a date on which any other Lender becomes a Party as a Lender, that date;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Borrower is not a U.S. Tax Obligor, the date of a request from the Agent,</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supply to the Agent:</w:t>
      </w:r>
    </w:p>
    <w:p>
      <w:pPr>
        <w:spacing w:after="0" w:line="131" w:lineRule="exact"/>
        <w:rPr>
          <w:sz w:val="20"/>
          <w:szCs w:val="20"/>
          <w:color w:val="auto"/>
        </w:rPr>
      </w:pPr>
    </w:p>
    <w:p>
      <w:pPr>
        <w:ind w:left="1744" w:hanging="543"/>
        <w:spacing w:after="0"/>
        <w:tabs>
          <w:tab w:leader="none" w:pos="174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withholding certificate on Form W-8, Form W-9 or any other relevant form; or</w:t>
      </w:r>
    </w:p>
    <w:p>
      <w:pPr>
        <w:spacing w:after="0" w:line="130" w:lineRule="exact"/>
        <w:rPr>
          <w:rFonts w:ascii="Times New Roman" w:cs="Times New Roman" w:eastAsia="Times New Roman" w:hAnsi="Times New Roman"/>
          <w:sz w:val="18"/>
          <w:szCs w:val="18"/>
          <w:color w:val="auto"/>
        </w:rPr>
      </w:pPr>
    </w:p>
    <w:p>
      <w:pPr>
        <w:ind w:left="1744" w:right="100" w:hanging="543"/>
        <w:spacing w:after="0" w:line="282" w:lineRule="auto"/>
        <w:tabs>
          <w:tab w:leader="none" w:pos="174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statement or other document, authorisation or waiver as the Agent may require to certify or establish the status of such Lender under FATCA or that other law or regulation.</w:t>
      </w:r>
    </w:p>
    <w:p>
      <w:pPr>
        <w:spacing w:after="0" w:line="67" w:lineRule="exact"/>
        <w:rPr>
          <w:rFonts w:ascii="Times New Roman" w:cs="Times New Roman" w:eastAsia="Times New Roman" w:hAnsi="Times New Roman"/>
          <w:sz w:val="18"/>
          <w:szCs w:val="18"/>
          <w:color w:val="auto"/>
        </w:rPr>
      </w:pPr>
    </w:p>
    <w:p>
      <w:pPr>
        <w:ind w:left="544" w:right="660" w:hanging="544"/>
        <w:spacing w:after="0" w:line="282" w:lineRule="auto"/>
        <w:tabs>
          <w:tab w:leader="none" w:pos="5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provide any withholding certificate, withholding statement, document, authorisation or waiver it receives from a Lender pursuant to paragraph (e) above to the Borrower.</w:t>
      </w:r>
    </w:p>
    <w:p>
      <w:pPr>
        <w:spacing w:after="0" w:line="67" w:lineRule="exact"/>
        <w:rPr>
          <w:rFonts w:ascii="Times New Roman" w:cs="Times New Roman" w:eastAsia="Times New Roman" w:hAnsi="Times New Roman"/>
          <w:sz w:val="18"/>
          <w:szCs w:val="18"/>
          <w:color w:val="auto"/>
        </w:rPr>
      </w:pPr>
    </w:p>
    <w:p>
      <w:pPr>
        <w:ind w:left="544" w:right="240" w:hanging="544"/>
        <w:spacing w:after="0" w:line="258" w:lineRule="auto"/>
        <w:tabs>
          <w:tab w:leader="none" w:pos="5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withholding certificate, withholding statement, document, authorisation or waiver provided to the Agent by a Lender pursuant to paragraph (e) above is or becomes 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Borrower.</w:t>
      </w:r>
    </w:p>
    <w:p>
      <w:pPr>
        <w:spacing w:after="0" w:line="88" w:lineRule="exact"/>
        <w:rPr>
          <w:rFonts w:ascii="Times New Roman" w:cs="Times New Roman" w:eastAsia="Times New Roman" w:hAnsi="Times New Roman"/>
          <w:sz w:val="18"/>
          <w:szCs w:val="18"/>
          <w:color w:val="auto"/>
        </w:rPr>
      </w:pPr>
    </w:p>
    <w:p>
      <w:pPr>
        <w:ind w:left="544" w:right="60" w:hanging="544"/>
        <w:spacing w:after="0" w:line="266" w:lineRule="auto"/>
        <w:tabs>
          <w:tab w:leader="none" w:pos="5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rely on any withholding certificate, withholding statement, document, authorisation or waiver it receives from a Lender pursuant to paragraph (e) or (g) above without further verification. The Agent shall not be liable for any action taken by it under or in connection with paragraph (e), (f) or (g) above.</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14.9</w:t>
      </w:r>
      <w:r>
        <w:rPr>
          <w:sz w:val="20"/>
          <w:szCs w:val="20"/>
          <w:color w:val="auto"/>
        </w:rPr>
        <w:tab/>
      </w:r>
      <w:r>
        <w:rPr>
          <w:rFonts w:ascii="Times New Roman" w:cs="Times New Roman" w:eastAsia="Times New Roman" w:hAnsi="Times New Roman"/>
          <w:sz w:val="17"/>
          <w:szCs w:val="17"/>
          <w:b w:val="1"/>
          <w:bCs w:val="1"/>
          <w:color w:val="auto"/>
        </w:rPr>
        <w:t>FATCA Deduction</w:t>
      </w:r>
    </w:p>
    <w:p>
      <w:pPr>
        <w:spacing w:after="0" w:line="135" w:lineRule="exact"/>
        <w:rPr>
          <w:sz w:val="20"/>
          <w:szCs w:val="20"/>
          <w:color w:val="auto"/>
        </w:rPr>
      </w:pPr>
    </w:p>
    <w:p>
      <w:pPr>
        <w:ind w:left="544" w:right="540" w:hanging="544"/>
        <w:spacing w:after="0" w:line="266" w:lineRule="auto"/>
        <w:tabs>
          <w:tab w:leader="none" w:pos="5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81" w:lineRule="exact"/>
        <w:rPr>
          <w:rFonts w:ascii="Times New Roman" w:cs="Times New Roman" w:eastAsia="Times New Roman" w:hAnsi="Times New Roman"/>
          <w:sz w:val="18"/>
          <w:szCs w:val="18"/>
          <w:color w:val="auto"/>
        </w:rPr>
      </w:pPr>
    </w:p>
    <w:p>
      <w:pPr>
        <w:ind w:left="544" w:right="140" w:hanging="544"/>
        <w:spacing w:after="0" w:line="266" w:lineRule="auto"/>
        <w:tabs>
          <w:tab w:leader="none" w:pos="5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Company, the Agent and the other Finance Parties.</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4"/>
          </w:cols>
          <w:pgMar w:left="436" w:top="270" w:right="439" w:bottom="1440" w:gutter="0" w:footer="0" w:header="0"/>
        </w:sectPr>
      </w:pPr>
    </w:p>
    <w:bookmarkStart w:id="75" w:name="page76"/>
    <w:bookmarkEnd w:id="75"/>
    <w:p>
      <w:pPr>
        <w:ind w:left="4" w:right="8780" w:hanging="4"/>
        <w:spacing w:after="0" w:line="392" w:lineRule="auto"/>
        <w:tabs>
          <w:tab w:leader="none" w:pos="54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INCREASED COSTS 15.1 Increased Costs</w:t>
      </w:r>
    </w:p>
    <w:p>
      <w:pPr>
        <w:spacing w:after="0" w:line="1" w:lineRule="exact"/>
        <w:rPr>
          <w:sz w:val="20"/>
          <w:szCs w:val="20"/>
          <w:color w:val="auto"/>
        </w:rPr>
      </w:pPr>
    </w:p>
    <w:p>
      <w:pPr>
        <w:ind w:left="544" w:right="100" w:hanging="544"/>
        <w:spacing w:after="0" w:line="257" w:lineRule="auto"/>
        <w:tabs>
          <w:tab w:leader="none" w:pos="54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15.3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the Borrower shall, within three Business Days of a demand by the Agent, pay for the account of a Finance Party the amount of any Increased Costs incurred by that Finance Party or any of its Affiliates as a result of (i) the introduction of or any change in (or in the interpretation, administration or application of) any law or regulation or (ii) compliance with any law or regulation made after the Signing Date or (iii) the implementation or application of or compliance with Basel III, CRD IV or CRD V or any law or regulation that implements or applies Basel III, CRD IV or CRD V. The term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in this paragraph (a) shall include any law concerning capital adequacy, prudential limits, liquidity, reserve assets or Tax.</w:t>
      </w:r>
    </w:p>
    <w:p>
      <w:pPr>
        <w:spacing w:after="0" w:line="89" w:lineRule="exact"/>
        <w:rPr>
          <w:rFonts w:ascii="Times New Roman" w:cs="Times New Roman" w:eastAsia="Times New Roman" w:hAnsi="Times New Roman"/>
          <w:sz w:val="18"/>
          <w:szCs w:val="18"/>
          <w:color w:val="auto"/>
        </w:rPr>
      </w:pPr>
    </w:p>
    <w:p>
      <w:pPr>
        <w:jc w:val="both"/>
        <w:ind w:left="544" w:right="9100" w:hanging="544"/>
        <w:spacing w:after="0" w:line="406" w:lineRule="auto"/>
        <w:tabs>
          <w:tab w:leader="none" w:pos="533"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this Agreement: “</w:t>
      </w:r>
      <w:r>
        <w:rPr>
          <w:rFonts w:ascii="Times New Roman" w:cs="Times New Roman" w:eastAsia="Times New Roman" w:hAnsi="Times New Roman"/>
          <w:sz w:val="17"/>
          <w:szCs w:val="17"/>
          <w:b w:val="1"/>
          <w:bCs w:val="1"/>
          <w:color w:val="auto"/>
        </w:rPr>
        <w:t>Basel III</w:t>
      </w:r>
      <w:r>
        <w:rPr>
          <w:rFonts w:ascii="Times New Roman" w:cs="Times New Roman" w:eastAsia="Times New Roman" w:hAnsi="Times New Roman"/>
          <w:sz w:val="17"/>
          <w:szCs w:val="17"/>
          <w:color w:val="auto"/>
        </w:rPr>
        <w:t>” means:</w:t>
      </w:r>
    </w:p>
    <w:p>
      <w:pPr>
        <w:ind w:left="1184" w:hanging="644"/>
        <w:spacing w:after="0"/>
        <w:tabs>
          <w:tab w:leader="none" w:pos="118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on capital requirements, a leverage ratio and liquidity standards contained in “Basel III: A global regulatory framework</w:t>
      </w:r>
    </w:p>
    <w:p>
      <w:pPr>
        <w:spacing w:after="0" w:line="27" w:lineRule="exact"/>
        <w:rPr>
          <w:rFonts w:ascii="Times New Roman" w:cs="Times New Roman" w:eastAsia="Times New Roman" w:hAnsi="Times New Roman"/>
          <w:sz w:val="18"/>
          <w:szCs w:val="18"/>
          <w:color w:val="auto"/>
        </w:rPr>
      </w:pPr>
    </w:p>
    <w:p>
      <w:pPr>
        <w:ind w:left="1184"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91" w:lineRule="exact"/>
        <w:rPr>
          <w:rFonts w:ascii="Times New Roman" w:cs="Times New Roman" w:eastAsia="Times New Roman" w:hAnsi="Times New Roman"/>
          <w:sz w:val="18"/>
          <w:szCs w:val="18"/>
          <w:color w:val="auto"/>
        </w:rPr>
      </w:pPr>
    </w:p>
    <w:p>
      <w:pPr>
        <w:ind w:left="1184" w:right="100" w:hanging="644"/>
        <w:spacing w:after="0" w:line="266" w:lineRule="auto"/>
        <w:tabs>
          <w:tab w:leader="none" w:pos="118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guidance or standards published by the Basel Committee on Banking Supervision relating to “Basel III”.</w:t>
      </w:r>
    </w:p>
    <w:p>
      <w:pPr>
        <w:spacing w:after="0" w:line="11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CRD IV</w:t>
      </w:r>
      <w:r>
        <w:rPr>
          <w:rFonts w:ascii="Times New Roman" w:cs="Times New Roman" w:eastAsia="Times New Roman" w:hAnsi="Times New Roman"/>
          <w:sz w:val="18"/>
          <w:szCs w:val="18"/>
          <w:color w:val="auto"/>
        </w:rPr>
        <w:t>” means EU CRD IV and UK CRD IV.</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CRD V</w:t>
      </w:r>
      <w:r>
        <w:rPr>
          <w:rFonts w:ascii="Times New Roman" w:cs="Times New Roman" w:eastAsia="Times New Roman" w:hAnsi="Times New Roman"/>
          <w:sz w:val="18"/>
          <w:szCs w:val="18"/>
          <w:color w:val="auto"/>
        </w:rPr>
        <w:t>” means EU CRD V and UK CRD V.</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CRD IV</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4" w:right="360" w:hanging="644"/>
        <w:spacing w:after="0" w:line="282" w:lineRule="auto"/>
        <w:tabs>
          <w:tab w:leader="none" w:pos="118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No 575/2013 of the European Parliament and of the Council of 26 June 2013 on prudential requirements for credit institutions and investment firms and amending Regulation (EU) No 648/2012 (“</w:t>
      </w:r>
      <w:r>
        <w:rPr>
          <w:rFonts w:ascii="Times New Roman" w:cs="Times New Roman" w:eastAsia="Times New Roman" w:hAnsi="Times New Roman"/>
          <w:sz w:val="18"/>
          <w:szCs w:val="18"/>
          <w:b w:val="1"/>
          <w:bCs w:val="1"/>
          <w:color w:val="auto"/>
        </w:rPr>
        <w:t>CRR</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184" w:right="80" w:hanging="644"/>
        <w:spacing w:after="0" w:line="266" w:lineRule="auto"/>
        <w:tabs>
          <w:tab w:leader="none" w:pos="118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w:t>
      </w:r>
      <w:r>
        <w:rPr>
          <w:rFonts w:ascii="Times New Roman" w:cs="Times New Roman" w:eastAsia="Times New Roman" w:hAnsi="Times New Roman"/>
          <w:sz w:val="18"/>
          <w:szCs w:val="18"/>
          <w:b w:val="1"/>
          <w:bCs w:val="1"/>
          <w:color w:val="auto"/>
        </w:rPr>
        <w:t>CRD4</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CRD V</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4" w:right="80" w:hanging="644"/>
        <w:spacing w:after="0" w:line="282" w:lineRule="auto"/>
        <w:tabs>
          <w:tab w:leader="none" w:pos="118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No 2019/876 of the European Parliament and of the Council of 20 May 2019 amending CRR and Regulation (EU) No 648/2012 (“</w:t>
      </w:r>
      <w:r>
        <w:rPr>
          <w:rFonts w:ascii="Times New Roman" w:cs="Times New Roman" w:eastAsia="Times New Roman" w:hAnsi="Times New Roman"/>
          <w:sz w:val="18"/>
          <w:szCs w:val="18"/>
          <w:b w:val="1"/>
          <w:bCs w:val="1"/>
          <w:color w:val="auto"/>
        </w:rPr>
        <w:t>CRR2</w:t>
      </w:r>
      <w:r>
        <w:rPr>
          <w:rFonts w:ascii="Times New Roman" w:cs="Times New Roman" w:eastAsia="Times New Roman" w:hAnsi="Times New Roman"/>
          <w:sz w:val="18"/>
          <w:szCs w:val="18"/>
          <w:color w:val="auto"/>
        </w:rPr>
        <w:t>”; and</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4"/>
          </w:cols>
          <w:pgMar w:left="436" w:top="266" w:right="439" w:bottom="1440" w:gutter="0" w:footer="0" w:header="0"/>
        </w:sectPr>
      </w:pPr>
    </w:p>
    <w:bookmarkStart w:id="76" w:name="page77"/>
    <w:bookmarkEnd w:id="76"/>
    <w:p>
      <w:pPr>
        <w:ind w:left="544" w:right="1340" w:hanging="4"/>
        <w:spacing w:after="0" w:line="385" w:lineRule="auto"/>
        <w:tabs>
          <w:tab w:leader="none" w:pos="118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Directive (EU) 2019/878 of the European Parliament and of the Council of 20 May 2019 amending CRD4 (“</w:t>
      </w:r>
      <w:r>
        <w:rPr>
          <w:rFonts w:ascii="Times New Roman" w:cs="Times New Roman" w:eastAsia="Times New Roman" w:hAnsi="Times New Roman"/>
          <w:sz w:val="18"/>
          <w:szCs w:val="18"/>
          <w:b w:val="1"/>
          <w:bCs w:val="1"/>
          <w:color w:val="auto"/>
        </w:rPr>
        <w:t>CRD5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Increased Costs</w:t>
      </w:r>
      <w:r>
        <w:rPr>
          <w:rFonts w:ascii="Times New Roman" w:cs="Times New Roman" w:eastAsia="Times New Roman" w:hAnsi="Times New Roman"/>
          <w:sz w:val="18"/>
          <w:szCs w:val="18"/>
          <w:color w:val="auto"/>
        </w:rPr>
        <w:t>” means:</w:t>
      </w:r>
    </w:p>
    <w:p>
      <w:pPr>
        <w:spacing w:after="0" w:line="1" w:lineRule="exact"/>
        <w:rPr>
          <w:sz w:val="20"/>
          <w:szCs w:val="20"/>
          <w:color w:val="auto"/>
        </w:rPr>
      </w:pPr>
    </w:p>
    <w:p>
      <w:pPr>
        <w:ind w:left="1184" w:hanging="644"/>
        <w:spacing w:after="0"/>
        <w:tabs>
          <w:tab w:leader="none" w:pos="118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rate of return from a Facility or on a Finance Party’s (or its Affiliate’s) overall capital;</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or increased cost;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any amount due and payable under any Finance Document,</w:t>
      </w:r>
    </w:p>
    <w:p>
      <w:pPr>
        <w:spacing w:after="0" w:line="117" w:lineRule="exact"/>
        <w:rPr>
          <w:sz w:val="20"/>
          <w:szCs w:val="20"/>
          <w:color w:val="auto"/>
        </w:rPr>
      </w:pPr>
    </w:p>
    <w:p>
      <w:pPr>
        <w:ind w:left="544" w:right="300"/>
        <w:spacing w:after="0" w:line="282" w:lineRule="auto"/>
        <w:rPr>
          <w:sz w:val="20"/>
          <w:szCs w:val="20"/>
          <w:color w:val="auto"/>
        </w:rPr>
      </w:pPr>
      <w:r>
        <w:rPr>
          <w:rFonts w:ascii="Times New Roman" w:cs="Times New Roman" w:eastAsia="Times New Roman" w:hAnsi="Times New Roman"/>
          <w:sz w:val="18"/>
          <w:szCs w:val="18"/>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5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CRD IV</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4" w:hanging="644"/>
        <w:spacing w:after="0"/>
        <w:tabs>
          <w:tab w:leader="none" w:pos="118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CRR as it forms part of domestic law of the United Kingdom;</w:t>
      </w:r>
    </w:p>
    <w:p>
      <w:pPr>
        <w:spacing w:after="0" w:line="130" w:lineRule="exact"/>
        <w:rPr>
          <w:rFonts w:ascii="Times New Roman" w:cs="Times New Roman" w:eastAsia="Times New Roman" w:hAnsi="Times New Roman"/>
          <w:sz w:val="18"/>
          <w:szCs w:val="18"/>
          <w:color w:val="auto"/>
        </w:rPr>
      </w:pPr>
    </w:p>
    <w:p>
      <w:pPr>
        <w:ind w:left="1184" w:right="300" w:hanging="644"/>
        <w:spacing w:after="0" w:line="282" w:lineRule="auto"/>
        <w:tabs>
          <w:tab w:leader="none" w:pos="118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of the United Kingdom or any part of it, which immediately before IP completion day (as defined in the WAA) implemented CRD4 and its implementing measures;</w:t>
      </w:r>
    </w:p>
    <w:p>
      <w:pPr>
        <w:spacing w:after="0" w:line="67" w:lineRule="exact"/>
        <w:rPr>
          <w:rFonts w:ascii="Times New Roman" w:cs="Times New Roman" w:eastAsia="Times New Roman" w:hAnsi="Times New Roman"/>
          <w:sz w:val="18"/>
          <w:szCs w:val="18"/>
          <w:color w:val="auto"/>
        </w:rPr>
      </w:pPr>
    </w:p>
    <w:p>
      <w:pPr>
        <w:ind w:left="1184" w:right="660" w:hanging="644"/>
        <w:spacing w:after="0" w:line="282" w:lineRule="auto"/>
        <w:tabs>
          <w:tab w:leader="none" w:pos="118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EU legislation (as defined in the Withdrawal Act), which immediately before IP completion day (as defined in the WAA) implemented EU CRD IV as it forms part of domestic law of the United Kingdom;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which amends, replaces or restates any law specified in paragraphs (i) to (iii) above.</w:t>
      </w:r>
    </w:p>
    <w:p>
      <w:pPr>
        <w:spacing w:after="0" w:line="11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CRD V</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4" w:hanging="644"/>
        <w:spacing w:after="0"/>
        <w:tabs>
          <w:tab w:leader="none" w:pos="118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CRR2 as it forms part of domestic law of the United Kingdom;</w:t>
      </w:r>
    </w:p>
    <w:p>
      <w:pPr>
        <w:spacing w:after="0" w:line="130" w:lineRule="exact"/>
        <w:rPr>
          <w:rFonts w:ascii="Times New Roman" w:cs="Times New Roman" w:eastAsia="Times New Roman" w:hAnsi="Times New Roman"/>
          <w:sz w:val="18"/>
          <w:szCs w:val="18"/>
          <w:color w:val="auto"/>
        </w:rPr>
      </w:pPr>
    </w:p>
    <w:p>
      <w:pPr>
        <w:ind w:left="1184" w:right="300" w:hanging="644"/>
        <w:spacing w:after="0" w:line="282" w:lineRule="auto"/>
        <w:tabs>
          <w:tab w:leader="none" w:pos="118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of the United Kingdom or any part of it, which immediately before IP completion day (as defined in the WAA) implemented CRD5 and its implementing measures;</w:t>
      </w:r>
    </w:p>
    <w:p>
      <w:pPr>
        <w:spacing w:after="0" w:line="67" w:lineRule="exact"/>
        <w:rPr>
          <w:rFonts w:ascii="Times New Roman" w:cs="Times New Roman" w:eastAsia="Times New Roman" w:hAnsi="Times New Roman"/>
          <w:sz w:val="18"/>
          <w:szCs w:val="18"/>
          <w:color w:val="auto"/>
        </w:rPr>
      </w:pPr>
    </w:p>
    <w:p>
      <w:pPr>
        <w:ind w:left="1184" w:right="660" w:hanging="644"/>
        <w:spacing w:after="0" w:line="282" w:lineRule="auto"/>
        <w:tabs>
          <w:tab w:leader="none" w:pos="118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EU legislation (as defined in the Withdrawal Act), which immediately before IP completion day (as defined in the WAA) implemented EU CRD V as it forms part of domestic law of the United Kingdom; and</w:t>
      </w:r>
    </w:p>
    <w:p>
      <w:pPr>
        <w:spacing w:after="0" w:line="67"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which amends, replaces or restates any law specified in paragraphs (i) to (iii) above or which otherwise implements Basel III in the United Kingdom.</w:t>
      </w:r>
    </w:p>
    <w:p>
      <w:pPr>
        <w:spacing w:after="0" w:line="5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WAA</w:t>
      </w:r>
      <w:r>
        <w:rPr>
          <w:rFonts w:ascii="Times New Roman" w:cs="Times New Roman" w:eastAsia="Times New Roman" w:hAnsi="Times New Roman"/>
          <w:sz w:val="18"/>
          <w:szCs w:val="18"/>
          <w:color w:val="auto"/>
        </w:rPr>
        <w:t>” means the European Union (Withdrawal Agreement) Act 2020.</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Act</w:t>
      </w:r>
      <w:r>
        <w:rPr>
          <w:rFonts w:ascii="Times New Roman" w:cs="Times New Roman" w:eastAsia="Times New Roman" w:hAnsi="Times New Roman"/>
          <w:sz w:val="18"/>
          <w:szCs w:val="18"/>
          <w:color w:val="auto"/>
        </w:rPr>
        <w:t>” means the European Union (Withdrawal) Act 2018.</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Increased Cost claims</w:t>
      </w:r>
    </w:p>
    <w:p>
      <w:pPr>
        <w:spacing w:after="0" w:line="133" w:lineRule="exact"/>
        <w:rPr>
          <w:sz w:val="20"/>
          <w:szCs w:val="20"/>
          <w:color w:val="auto"/>
        </w:rPr>
      </w:pPr>
    </w:p>
    <w:p>
      <w:pPr>
        <w:ind w:left="544" w:right="100" w:hanging="544"/>
        <w:spacing w:after="0" w:line="284" w:lineRule="auto"/>
        <w:tabs>
          <w:tab w:leader="none" w:pos="54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intending to make a claim pursuant to Clause 15.1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shall notify the Agent of the event giving rise to the claim, following which the Agent shall promptly notify the Company.</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as soon as practicable after a demand by the Agent, provide a certificate confirming the amount of its Increased Costs.</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4"/>
          </w:cols>
          <w:pgMar w:left="436" w:top="266" w:right="439" w:bottom="1440" w:gutter="0" w:footer="0" w:header="0"/>
        </w:sectPr>
      </w:pPr>
    </w:p>
    <w:bookmarkStart w:id="77" w:name="page78"/>
    <w:bookmarkEnd w:id="77"/>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15.3</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133" w:lineRule="exact"/>
        <w:rPr>
          <w:sz w:val="20"/>
          <w:szCs w:val="20"/>
          <w:color w:val="auto"/>
        </w:rPr>
      </w:pPr>
    </w:p>
    <w:p>
      <w:pPr>
        <w:ind w:left="544" w:hanging="544"/>
        <w:spacing w:after="0"/>
        <w:tabs>
          <w:tab w:leader="none" w:pos="5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15.1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does not apply to the extent any Increased Cost is:</w:t>
      </w:r>
    </w:p>
    <w:p>
      <w:pPr>
        <w:spacing w:after="0" w:line="132"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Tax Deduction required by law to be made by an Obligor;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FATCA Deduction to be made by a Party;</w:t>
      </w:r>
    </w:p>
    <w:p>
      <w:pPr>
        <w:spacing w:after="0" w:line="128" w:lineRule="exact"/>
        <w:rPr>
          <w:rFonts w:ascii="Times New Roman" w:cs="Times New Roman" w:eastAsia="Times New Roman" w:hAnsi="Times New Roman"/>
          <w:sz w:val="18"/>
          <w:szCs w:val="18"/>
          <w:color w:val="auto"/>
        </w:rPr>
      </w:pPr>
    </w:p>
    <w:p>
      <w:pPr>
        <w:ind w:left="1184" w:right="200" w:hanging="644"/>
        <w:spacing w:after="0" w:line="284" w:lineRule="auto"/>
        <w:tabs>
          <w:tab w:leader="none" w:pos="1184"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by Clause 14.3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(or would have been compensated for under Clause 14.3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but was not so compensated solely because any of the exclusions in paragraph (b) of Clause 14.3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applied); or</w:t>
      </w:r>
    </w:p>
    <w:p>
      <w:pPr>
        <w:spacing w:after="0" w:line="6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the wilful breach by the relevant Finance Party or its Affiliates of any law or regulation.</w:t>
      </w:r>
    </w:p>
    <w:p>
      <w:pPr>
        <w:spacing w:after="0" w:line="12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15.3, a reference to a “Tax Deduction” has the same meaning given to that term in Clause 14.1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4" w:right="8560" w:hanging="4"/>
        <w:spacing w:after="0" w:line="414" w:lineRule="auto"/>
        <w:tabs>
          <w:tab w:leader="none" w:pos="544" w:val="left"/>
        </w:tabs>
        <w:numPr>
          <w:ilvl w:val="0"/>
          <w:numId w:val="2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INDEMNITIES 16.1 Currency indemnity</w:t>
      </w:r>
    </w:p>
    <w:p>
      <w:pPr>
        <w:spacing w:after="0" w:line="1" w:lineRule="exact"/>
        <w:rPr>
          <w:sz w:val="20"/>
          <w:szCs w:val="20"/>
          <w:color w:val="auto"/>
        </w:rPr>
      </w:pPr>
    </w:p>
    <w:p>
      <w:pPr>
        <w:ind w:left="544" w:right="120" w:hanging="544"/>
        <w:spacing w:after="0" w:line="268" w:lineRule="auto"/>
        <w:tabs>
          <w:tab w:leader="none" w:pos="54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sum due from an Obligor under the Finance Documents (a “</w:t>
      </w:r>
      <w:r>
        <w:rPr>
          <w:rFonts w:ascii="Times New Roman" w:cs="Times New Roman" w:eastAsia="Times New Roman" w:hAnsi="Times New Roman"/>
          <w:sz w:val="18"/>
          <w:szCs w:val="18"/>
          <w:b w:val="1"/>
          <w:bCs w:val="1"/>
          <w:color w:val="auto"/>
        </w:rPr>
        <w:t>Sum</w:t>
      </w:r>
      <w:r>
        <w:rPr>
          <w:rFonts w:ascii="Times New Roman" w:cs="Times New Roman" w:eastAsia="Times New Roman" w:hAnsi="Times New Roman"/>
          <w:sz w:val="18"/>
          <w:szCs w:val="18"/>
          <w:color w:val="auto"/>
        </w:rPr>
        <w:t>”), or any order, judgment or award given or made in relation to a Sum, has to be converted from the currency (the “</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in which that Sum is payable into another currency (the “</w:t>
      </w:r>
      <w:r>
        <w:rPr>
          <w:rFonts w:ascii="Times New Roman" w:cs="Times New Roman" w:eastAsia="Times New Roman" w:hAnsi="Times New Roman"/>
          <w:sz w:val="18"/>
          <w:szCs w:val="18"/>
          <w:b w:val="1"/>
          <w:bCs w:val="1"/>
          <w:color w:val="auto"/>
        </w:rPr>
        <w:t>Second Currency</w:t>
      </w:r>
      <w:r>
        <w:rPr>
          <w:rFonts w:ascii="Times New Roman" w:cs="Times New Roman" w:eastAsia="Times New Roman" w:hAnsi="Times New Roman"/>
          <w:sz w:val="18"/>
          <w:szCs w:val="18"/>
          <w:color w:val="auto"/>
        </w:rPr>
        <w:t>”) for the purpose of:</w:t>
      </w:r>
    </w:p>
    <w:p>
      <w:pPr>
        <w:spacing w:after="0" w:line="8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or filing a claim or proof against that Obligor;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enforcing an order, judgment or award in relation to any litigation or arbitration proceedings,</w:t>
      </w:r>
    </w:p>
    <w:p>
      <w:pPr>
        <w:spacing w:after="0" w:line="117" w:lineRule="exact"/>
        <w:rPr>
          <w:sz w:val="20"/>
          <w:szCs w:val="20"/>
          <w:color w:val="auto"/>
        </w:rPr>
      </w:pPr>
    </w:p>
    <w:p>
      <w:pPr>
        <w:ind w:left="544" w:right="40"/>
        <w:spacing w:after="0" w:line="261" w:lineRule="auto"/>
        <w:rPr>
          <w:sz w:val="20"/>
          <w:szCs w:val="20"/>
          <w:color w:val="auto"/>
        </w:rPr>
      </w:pPr>
      <w:r>
        <w:rPr>
          <w:rFonts w:ascii="Times New Roman" w:cs="Times New Roman" w:eastAsia="Times New Roman" w:hAnsi="Times New Roman"/>
          <w:sz w:val="18"/>
          <w:szCs w:val="18"/>
          <w:color w:val="auto"/>
        </w:rPr>
        <w:t>that Obligor shall as an independent obligation, within three Business Days of demand, indemnify each Secured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85" w:lineRule="exact"/>
        <w:rPr>
          <w:sz w:val="20"/>
          <w:szCs w:val="20"/>
          <w:color w:val="auto"/>
        </w:rPr>
      </w:pPr>
    </w:p>
    <w:p>
      <w:pPr>
        <w:ind w:left="544" w:right="300" w:hanging="544"/>
        <w:spacing w:after="0" w:line="282" w:lineRule="auto"/>
        <w:tabs>
          <w:tab w:leader="none" w:pos="5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16.2</w:t>
        <w:tab/>
        <w:t>Other indemnities</w:t>
      </w:r>
    </w:p>
    <w:p>
      <w:pPr>
        <w:spacing w:after="0" w:line="121" w:lineRule="exact"/>
        <w:rPr>
          <w:sz w:val="20"/>
          <w:szCs w:val="20"/>
          <w:color w:val="auto"/>
        </w:rPr>
      </w:pPr>
    </w:p>
    <w:p>
      <w:pPr>
        <w:ind w:left="544" w:right="340"/>
        <w:spacing w:after="0" w:line="282" w:lineRule="auto"/>
        <w:rPr>
          <w:sz w:val="20"/>
          <w:szCs w:val="20"/>
          <w:color w:val="auto"/>
        </w:rPr>
      </w:pPr>
      <w:r>
        <w:rPr>
          <w:rFonts w:ascii="Times New Roman" w:cs="Times New Roman" w:eastAsia="Times New Roman" w:hAnsi="Times New Roman"/>
          <w:sz w:val="18"/>
          <w:szCs w:val="18"/>
          <w:color w:val="auto"/>
        </w:rPr>
        <w:t>The Company shall (or shall procure that an Obligor will), within three Business Days of demand, indemnify each Secured Party against any cost, loss or liability incurred by that Secured Party as a result of:</w:t>
      </w:r>
    </w:p>
    <w:p>
      <w:pPr>
        <w:spacing w:after="0" w:line="67" w:lineRule="exact"/>
        <w:rPr>
          <w:sz w:val="20"/>
          <w:szCs w:val="20"/>
          <w:color w:val="auto"/>
        </w:rPr>
      </w:pPr>
    </w:p>
    <w:p>
      <w:pPr>
        <w:ind w:left="1184" w:hanging="644"/>
        <w:spacing w:after="0"/>
        <w:tabs>
          <w:tab w:leader="none" w:pos="118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w:t>
      </w:r>
    </w:p>
    <w:p>
      <w:pPr>
        <w:spacing w:after="0" w:line="130" w:lineRule="exact"/>
        <w:rPr>
          <w:rFonts w:ascii="Times New Roman" w:cs="Times New Roman" w:eastAsia="Times New Roman" w:hAnsi="Times New Roman"/>
          <w:sz w:val="18"/>
          <w:szCs w:val="18"/>
          <w:color w:val="auto"/>
        </w:rPr>
      </w:pPr>
    </w:p>
    <w:p>
      <w:pPr>
        <w:ind w:left="1184" w:right="300" w:hanging="644"/>
        <w:spacing w:after="0" w:line="282" w:lineRule="auto"/>
        <w:tabs>
          <w:tab w:leader="none" w:pos="118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produced or approved by or on behalf of an Obligor or the Keepwell Provider in connection with a Facility being or being alleged to be misleading and/or deceptive in any respect;</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4"/>
          </w:cols>
          <w:pgMar w:left="436" w:top="266" w:right="439" w:bottom="1440" w:gutter="0" w:footer="0" w:header="0"/>
        </w:sectPr>
      </w:pPr>
    </w:p>
    <w:bookmarkStart w:id="78" w:name="page79"/>
    <w:bookmarkEnd w:id="78"/>
    <w:p>
      <w:pPr>
        <w:ind w:left="1184" w:right="40" w:hanging="644"/>
        <w:spacing w:after="0" w:line="282" w:lineRule="auto"/>
        <w:tabs>
          <w:tab w:leader="none" w:pos="118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enquiry, investigation, subpoena (or similar order) or litigation with respect to any Obligor or the Keepwell Provider or with respect to the transactions contemplated or financed under the Finance Documents;</w:t>
      </w:r>
    </w:p>
    <w:p>
      <w:pPr>
        <w:spacing w:after="0" w:line="67" w:lineRule="exact"/>
        <w:rPr>
          <w:rFonts w:ascii="Times New Roman" w:cs="Times New Roman" w:eastAsia="Times New Roman" w:hAnsi="Times New Roman"/>
          <w:sz w:val="18"/>
          <w:szCs w:val="18"/>
          <w:color w:val="auto"/>
        </w:rPr>
      </w:pPr>
    </w:p>
    <w:p>
      <w:pPr>
        <w:ind w:left="1184" w:right="220" w:hanging="644"/>
        <w:spacing w:after="0" w:line="282" w:lineRule="auto"/>
        <w:tabs>
          <w:tab w:leader="none" w:pos="118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an Obligor or the Keepwell Provider to pay any amount due under a Finance Document on its due date, including without limitation, any cost, loss or liability arising as a result of Clause 31 (</w:t>
      </w:r>
      <w:r>
        <w:rPr>
          <w:rFonts w:ascii="Times New Roman" w:cs="Times New Roman" w:eastAsia="Times New Roman" w:hAnsi="Times New Roman"/>
          <w:sz w:val="18"/>
          <w:szCs w:val="18"/>
          <w:i w:val="1"/>
          <w:iCs w:val="1"/>
          <w:color w:val="auto"/>
        </w:rPr>
        <w:t>Sharing among the Finance Parties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or making arrangements to fund, its participation in a Loan requested by the Borrower in a Utilisation Request but not made by reason of the operation of any one or more of the provisions of this Agreement (other than by reason of default or negligence by that Secured Party alone); or</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(or part of a Loan) not being prepaid in accordance with a notice of prepayment given by the Borrower.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b w:val="1"/>
          <w:bCs w:val="1"/>
          <w:color w:val="auto"/>
        </w:rPr>
        <w:t>Indemnity to the Agent or Account Bank</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Company shall (or shall procure that an Obligor will) promptly indemnify the Agent or the Account Bank against:</w:t>
      </w:r>
    </w:p>
    <w:p>
      <w:pPr>
        <w:spacing w:after="0" w:line="131" w:lineRule="exact"/>
        <w:rPr>
          <w:sz w:val="20"/>
          <w:szCs w:val="20"/>
          <w:color w:val="auto"/>
        </w:rPr>
      </w:pPr>
    </w:p>
    <w:p>
      <w:pPr>
        <w:ind w:left="1184" w:hanging="644"/>
        <w:spacing w:after="0"/>
        <w:tabs>
          <w:tab w:leader="none" w:pos="118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loss or liability incurred by the Agent or the Account Bank (acting reasonably) as a result of:</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any event which it reasonably believes is a Default;</w:t>
      </w:r>
    </w:p>
    <w:p>
      <w:pPr>
        <w:spacing w:after="0" w:line="130" w:lineRule="exact"/>
        <w:rPr>
          <w:rFonts w:ascii="Times New Roman" w:cs="Times New Roman" w:eastAsia="Times New Roman" w:hAnsi="Times New Roman"/>
          <w:sz w:val="18"/>
          <w:szCs w:val="18"/>
          <w:color w:val="auto"/>
        </w:rPr>
      </w:pPr>
    </w:p>
    <w:p>
      <w:pPr>
        <w:ind w:left="1744" w:right="460" w:hanging="543"/>
        <w:spacing w:after="0" w:line="282" w:lineRule="auto"/>
        <w:tabs>
          <w:tab w:leader="none" w:pos="174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or relying on any notice, request or instruction which it reasonably believes to be genuine, correct and appropriately authorised; or</w:t>
      </w:r>
    </w:p>
    <w:p>
      <w:pPr>
        <w:spacing w:after="0" w:line="67" w:lineRule="exact"/>
        <w:rPr>
          <w:rFonts w:ascii="Times New Roman" w:cs="Times New Roman" w:eastAsia="Times New Roman" w:hAnsi="Times New Roman"/>
          <w:sz w:val="18"/>
          <w:szCs w:val="18"/>
          <w:color w:val="auto"/>
        </w:rPr>
      </w:pPr>
    </w:p>
    <w:p>
      <w:pPr>
        <w:ind w:left="1744" w:right="620" w:hanging="543"/>
        <w:spacing w:after="0" w:line="282" w:lineRule="auto"/>
        <w:tabs>
          <w:tab w:leader="none" w:pos="174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lawyers, accountants, tax advisers, surveyors or other professional advisers or experts as permitted under this Agreement; and</w:t>
      </w:r>
    </w:p>
    <w:p>
      <w:pPr>
        <w:spacing w:after="0" w:line="67" w:lineRule="exact"/>
        <w:rPr>
          <w:rFonts w:ascii="Times New Roman" w:cs="Times New Roman" w:eastAsia="Times New Roman" w:hAnsi="Times New Roman"/>
          <w:sz w:val="18"/>
          <w:szCs w:val="18"/>
          <w:color w:val="auto"/>
        </w:rPr>
      </w:pPr>
    </w:p>
    <w:p>
      <w:pPr>
        <w:ind w:left="1184" w:right="80" w:hanging="644"/>
        <w:spacing w:after="0" w:line="258" w:lineRule="auto"/>
        <w:tabs>
          <w:tab w:leader="none" w:pos="118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loss or liability (including, without limitation, for negligence or any other category of liability whatsoever) incurred by the Agent or the Account Bank (otherwise than by reason of the Agent’s or the Account Bank’s gross negligence or wilful misconduct) (or, in the case of any cost, loss or liability pursuant to Clause 32.11 (</w:t>
      </w:r>
      <w:r>
        <w:rPr>
          <w:rFonts w:ascii="Times New Roman" w:cs="Times New Roman" w:eastAsia="Times New Roman" w:hAnsi="Times New Roman"/>
          <w:sz w:val="18"/>
          <w:szCs w:val="18"/>
          <w:i w:val="1"/>
          <w:iCs w:val="1"/>
          <w:color w:val="auto"/>
        </w:rPr>
        <w:t>Disruption to payment systems etc.</w:t>
      </w:r>
      <w:r>
        <w:rPr>
          <w:rFonts w:ascii="Times New Roman" w:cs="Times New Roman" w:eastAsia="Times New Roman" w:hAnsi="Times New Roman"/>
          <w:sz w:val="18"/>
          <w:szCs w:val="18"/>
          <w:color w:val="auto"/>
        </w:rPr>
        <w:t>), notwithstanding the Agent’s the Account Banks’ negligence, gross negligence or any other category of liability whatsoever but not including any claim based on the fraud of the Agent or the Account Bank) in acting as Agent or Account Bank under the Finance Documents.</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7"/>
          <w:szCs w:val="17"/>
          <w:b w:val="1"/>
          <w:bCs w:val="1"/>
          <w:color w:val="auto"/>
        </w:rPr>
        <w:t>Indemnity to the Security Agent</w:t>
      </w:r>
    </w:p>
    <w:p>
      <w:pPr>
        <w:spacing w:after="0" w:line="135" w:lineRule="exact"/>
        <w:rPr>
          <w:sz w:val="20"/>
          <w:szCs w:val="20"/>
          <w:color w:val="auto"/>
        </w:rPr>
      </w:pPr>
    </w:p>
    <w:p>
      <w:pPr>
        <w:ind w:left="544" w:right="160" w:hanging="544"/>
        <w:spacing w:after="0" w:line="282" w:lineRule="auto"/>
        <w:tabs>
          <w:tab w:leader="none" w:pos="54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(or shall procure that an Obligor will) promptly indemnify the Security Agent and every Receiver and Delegate against any cost, loss or liability incurred by any of them as a result of:</w:t>
      </w:r>
    </w:p>
    <w:p>
      <w:pPr>
        <w:spacing w:after="0" w:line="6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Company to comply with its obligations under Clause 18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or relying on any notice, request or instruction which it reasonably believes to be genuine, correct and appropriately authorised;</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4"/>
          </w:cols>
          <w:pgMar w:left="436" w:top="270" w:right="439" w:bottom="1440" w:gutter="0" w:footer="0" w:header="0"/>
        </w:sectPr>
      </w:pPr>
    </w:p>
    <w:bookmarkStart w:id="79" w:name="page80"/>
    <w:bookmarkEnd w:id="79"/>
    <w:p>
      <w:pPr>
        <w:ind w:left="1184" w:hanging="644"/>
        <w:spacing w:after="0"/>
        <w:tabs>
          <w:tab w:leader="none" w:pos="118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taking, holding, protection or enforcement of the Transaction Security;</w:t>
      </w:r>
    </w:p>
    <w:p>
      <w:pPr>
        <w:spacing w:after="0" w:line="130" w:lineRule="exact"/>
        <w:rPr>
          <w:rFonts w:ascii="Times New Roman" w:cs="Times New Roman" w:eastAsia="Times New Roman" w:hAnsi="Times New Roman"/>
          <w:sz w:val="18"/>
          <w:szCs w:val="18"/>
          <w:color w:val="auto"/>
        </w:rPr>
      </w:pPr>
    </w:p>
    <w:p>
      <w:pPr>
        <w:ind w:left="1184" w:right="480" w:hanging="644"/>
        <w:spacing w:after="0" w:line="282" w:lineRule="auto"/>
        <w:tabs>
          <w:tab w:leader="none" w:pos="118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of the rights, powers, discretions, authorities and remedies vested in the Security Agent and each Receiver and Delegate by the Finance Documents or by law;</w:t>
      </w:r>
    </w:p>
    <w:p>
      <w:pPr>
        <w:spacing w:after="0" w:line="67"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by any Obligor or the Keepwell Provider in the performance of any of the obligations expressed to be assumed by it in the Finance Documents;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lawyers, accountants, tax advisers, surveyors or other professional advisers or experts as permitted under this Agreement; or</w:t>
      </w:r>
    </w:p>
    <w:p>
      <w:pPr>
        <w:spacing w:after="0" w:line="130" w:lineRule="exact"/>
        <w:rPr>
          <w:rFonts w:ascii="Times New Roman" w:cs="Times New Roman" w:eastAsia="Times New Roman" w:hAnsi="Times New Roman"/>
          <w:sz w:val="18"/>
          <w:szCs w:val="18"/>
          <w:color w:val="auto"/>
        </w:rPr>
      </w:pPr>
    </w:p>
    <w:p>
      <w:pPr>
        <w:ind w:left="1184" w:right="60" w:hanging="644"/>
        <w:spacing w:after="0" w:line="266" w:lineRule="auto"/>
        <w:tabs>
          <w:tab w:leader="none" w:pos="118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Security Agent, Receiver or Delegate under the Finance Documents or which otherwise relates to any of the Charged Property (otherwise, in each case, than by reason of the relevant Security Agent’s, Receiver’s or Delegate’s gross negligence or wilful misconduct).</w:t>
      </w:r>
    </w:p>
    <w:p>
      <w:pPr>
        <w:spacing w:after="0" w:line="81" w:lineRule="exact"/>
        <w:rPr>
          <w:sz w:val="20"/>
          <w:szCs w:val="20"/>
          <w:color w:val="auto"/>
        </w:rPr>
      </w:pPr>
    </w:p>
    <w:p>
      <w:pPr>
        <w:ind w:left="544" w:right="120" w:hanging="544"/>
        <w:spacing w:after="0" w:line="266" w:lineRule="auto"/>
        <w:tabs>
          <w:tab w:leader="none" w:pos="54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and every Receiver and Delegate may, in priority to any payment to the Secured Parties, indemnify itself out of the Charged Property in respect of, and pay and retain, all sums necessary to give effect to the indemnity in this Clause 16.4 and shall have a lien on the Transaction Security and the proceeds of the enforcement of the Transaction Security for all moneys payable to it.</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7"/>
          <w:szCs w:val="17"/>
          <w:b w:val="1"/>
          <w:bCs w:val="1"/>
          <w:color w:val="auto"/>
        </w:rPr>
        <w:t>Indemnity to the Joint Green Loan Lead Coordinator and the Green Loan Coordinator</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Company shall promptly indemnify each Joint Green Loan Lead Coordinator and the Green Loan Coordinator against:</w:t>
      </w:r>
    </w:p>
    <w:p>
      <w:pPr>
        <w:spacing w:after="0" w:line="131" w:lineRule="exact"/>
        <w:rPr>
          <w:sz w:val="20"/>
          <w:szCs w:val="20"/>
          <w:color w:val="auto"/>
        </w:rPr>
      </w:pPr>
    </w:p>
    <w:p>
      <w:pPr>
        <w:jc w:val="both"/>
        <w:ind w:left="1184" w:right="160" w:hanging="644"/>
        <w:spacing w:after="0" w:line="266" w:lineRule="auto"/>
        <w:tabs>
          <w:tab w:leader="none" w:pos="118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loss or liability incurred by any Joint Green Loan Lead Coordinator and the Green Loan Coordinator (acting reasonably) as a result of acting or relying on any notice, request, instruction or communication which it reasonably believes to be genuine, correct and appropriately authorised; and</w:t>
      </w:r>
    </w:p>
    <w:p>
      <w:pPr>
        <w:spacing w:after="0" w:line="81" w:lineRule="exact"/>
        <w:rPr>
          <w:rFonts w:ascii="Times New Roman" w:cs="Times New Roman" w:eastAsia="Times New Roman" w:hAnsi="Times New Roman"/>
          <w:sz w:val="18"/>
          <w:szCs w:val="18"/>
          <w:color w:val="auto"/>
        </w:rPr>
      </w:pPr>
    </w:p>
    <w:p>
      <w:pPr>
        <w:ind w:left="1184" w:right="200" w:hanging="644"/>
        <w:spacing w:after="0" w:line="266" w:lineRule="auto"/>
        <w:tabs>
          <w:tab w:leader="none" w:pos="118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loss or liability incurred by any Joint Green Loan Lead Coordinator and the Green Loan Coordinator (otherwise than by reason of such Joint Green Loan Lead Coordinator’s or Green Loan Coordinator’s gross negligence or wilful misconduct) in acting as Joint Green Loan Lead Coordinator or Green Loan Coordinator in relation to the Facilities.</w:t>
      </w:r>
    </w:p>
    <w:p>
      <w:pPr>
        <w:spacing w:after="0" w:line="32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MITIGATION BY THE LENDERS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7"/>
          <w:szCs w:val="17"/>
          <w:b w:val="1"/>
          <w:bCs w:val="1"/>
          <w:color w:val="auto"/>
        </w:rPr>
        <w:t>Mitigation</w:t>
      </w:r>
    </w:p>
    <w:p>
      <w:pPr>
        <w:spacing w:after="0" w:line="135" w:lineRule="exact"/>
        <w:rPr>
          <w:sz w:val="20"/>
          <w:szCs w:val="20"/>
          <w:color w:val="auto"/>
        </w:rPr>
      </w:pPr>
    </w:p>
    <w:p>
      <w:pPr>
        <w:ind w:left="544" w:right="180" w:hanging="544"/>
        <w:spacing w:after="0" w:line="261" w:lineRule="auto"/>
        <w:tabs>
          <w:tab w:leader="none" w:pos="54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in consultation with the Company, take all reasonable steps to mitigate any circumstances which arise and which would result in any amount becoming payable under or pursuant to, or cancelled pursuant to, any of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Clause 14 (</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gross-up and indemnities</w:t>
      </w:r>
      <w:r>
        <w:rPr>
          <w:rFonts w:ascii="Times New Roman" w:cs="Times New Roman" w:eastAsia="Times New Roman" w:hAnsi="Times New Roman"/>
          <w:sz w:val="18"/>
          <w:szCs w:val="18"/>
          <w:color w:val="auto"/>
        </w:rPr>
        <w:t>) or Clause 15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including (but not limited to) transferring its rights and obligations under the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to another Affiliate or Facility Office.</w:t>
      </w:r>
    </w:p>
    <w:p>
      <w:pPr>
        <w:spacing w:after="0" w:line="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in any way limit the obligations of any Obligor or the Keepwell Provider under the Finance Documents.</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4"/>
          </w:cols>
          <w:pgMar w:left="436" w:top="270" w:right="439" w:bottom="1440" w:gutter="0" w:footer="0" w:header="0"/>
        </w:sectPr>
      </w:pPr>
    </w:p>
    <w:bookmarkStart w:id="80" w:name="page81"/>
    <w:bookmarkEnd w:id="80"/>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17.2</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135" w:lineRule="exact"/>
        <w:rPr>
          <w:sz w:val="20"/>
          <w:szCs w:val="20"/>
          <w:color w:val="auto"/>
        </w:rPr>
      </w:pPr>
    </w:p>
    <w:p>
      <w:pPr>
        <w:ind w:left="544" w:right="280" w:hanging="544"/>
        <w:spacing w:after="0" w:line="282" w:lineRule="auto"/>
        <w:tabs>
          <w:tab w:leader="none" w:pos="54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indemnify each Finance Party for all costs and expenses reasonably incurred by that Finance Party as a result of steps taken by it under Clause 17.1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544" w:right="100" w:hanging="544"/>
        <w:spacing w:after="0" w:line="284" w:lineRule="auto"/>
        <w:tabs>
          <w:tab w:leader="none" w:pos="54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is not obliged to take any steps under Clause 17.1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 if, in the opinion of that Finance Party (acting reasonably), to do so might be prejudicial to it.</w:t>
      </w:r>
    </w:p>
    <w:p>
      <w:pPr>
        <w:spacing w:after="0" w:line="305" w:lineRule="exact"/>
        <w:rPr>
          <w:sz w:val="20"/>
          <w:szCs w:val="20"/>
          <w:color w:val="auto"/>
        </w:rPr>
      </w:pPr>
    </w:p>
    <w:p>
      <w:pPr>
        <w:ind w:left="4" w:right="8480" w:hanging="4"/>
        <w:spacing w:after="0" w:line="408" w:lineRule="auto"/>
        <w:tabs>
          <w:tab w:leader="none" w:pos="544" w:val="left"/>
        </w:tabs>
        <w:numPr>
          <w:ilvl w:val="0"/>
          <w:numId w:val="2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COSTS AND EXPENSES 18.1 Transaction expenses</w:t>
      </w:r>
    </w:p>
    <w:p>
      <w:pPr>
        <w:spacing w:after="0" w:line="1" w:lineRule="exact"/>
        <w:rPr>
          <w:sz w:val="20"/>
          <w:szCs w:val="20"/>
          <w:color w:val="auto"/>
        </w:rPr>
      </w:pPr>
    </w:p>
    <w:p>
      <w:pPr>
        <w:ind w:left="544" w:right="40"/>
        <w:spacing w:after="0" w:line="261" w:lineRule="auto"/>
        <w:rPr>
          <w:sz w:val="20"/>
          <w:szCs w:val="20"/>
          <w:color w:val="auto"/>
        </w:rPr>
      </w:pPr>
      <w:r>
        <w:rPr>
          <w:rFonts w:ascii="Times New Roman" w:cs="Times New Roman" w:eastAsia="Times New Roman" w:hAnsi="Times New Roman"/>
          <w:sz w:val="18"/>
          <w:szCs w:val="18"/>
          <w:color w:val="auto"/>
        </w:rPr>
        <w:t>The Company shall promptly on demand pay the Agent, the Account Bank, the Security Agent, each Global Coordinator, each MLAB and each MLA the amount of all costs and expenses (including legal fees up to an amount of any agreed cap, to the extent that assumptions forming the basis for that cap were not breached) reasonably incurred by any of them (and, in the case of the Security Agent, by any Receiver or Delegate) in connection with the negotiation, preparation, printing, execution, syndication and perfection of:</w:t>
      </w:r>
    </w:p>
    <w:p>
      <w:pPr>
        <w:spacing w:after="0" w:line="85" w:lineRule="exact"/>
        <w:rPr>
          <w:sz w:val="20"/>
          <w:szCs w:val="20"/>
          <w:color w:val="auto"/>
        </w:rPr>
      </w:pPr>
    </w:p>
    <w:p>
      <w:pPr>
        <w:ind w:left="1184" w:hanging="644"/>
        <w:spacing w:after="0"/>
        <w:tabs>
          <w:tab w:leader="none" w:pos="118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other documents referred to in this Agreement and any Transaction Security;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Finance Documents executed after the Signing Date.</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For the avoidance of doubt, the Company is liable to any such costs and expenses whether any of the Facilities is drawn or not.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7"/>
          <w:szCs w:val="17"/>
          <w:b w:val="1"/>
          <w:bCs w:val="1"/>
          <w:color w:val="auto"/>
        </w:rPr>
        <w:t>Amendment costs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w:t>
      </w:r>
    </w:p>
    <w:p>
      <w:pPr>
        <w:spacing w:after="0" w:line="131" w:lineRule="exact"/>
        <w:rPr>
          <w:sz w:val="20"/>
          <w:szCs w:val="20"/>
          <w:color w:val="auto"/>
        </w:rPr>
      </w:pPr>
    </w:p>
    <w:p>
      <w:pPr>
        <w:ind w:left="1184" w:hanging="644"/>
        <w:spacing w:after="0"/>
        <w:tabs>
          <w:tab w:leader="none" w:pos="118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or the Keepwell Provider requests an amendment, waiver or consent;</w:t>
      </w:r>
    </w:p>
    <w:p>
      <w:pPr>
        <w:spacing w:after="0" w:line="128"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is required pursuant to Clause 32.10 (</w:t>
      </w:r>
      <w:r>
        <w:rPr>
          <w:rFonts w:ascii="Times New Roman" w:cs="Times New Roman" w:eastAsia="Times New Roman" w:hAnsi="Times New Roman"/>
          <w:sz w:val="18"/>
          <w:szCs w:val="18"/>
          <w:i w:val="1"/>
          <w:iCs w:val="1"/>
          <w:color w:val="auto"/>
        </w:rPr>
        <w:t>Change of currency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184" w:right="160" w:hanging="644"/>
        <w:spacing w:after="0" w:line="284" w:lineRule="auto"/>
        <w:tabs>
          <w:tab w:leader="none" w:pos="118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waiver is contemplated or agreed pursuant to Clause 38.4 (</w:t>
      </w:r>
      <w:r>
        <w:rPr>
          <w:rFonts w:ascii="Times New Roman" w:cs="Times New Roman" w:eastAsia="Times New Roman" w:hAnsi="Times New Roman"/>
          <w:sz w:val="18"/>
          <w:szCs w:val="18"/>
          <w:i w:val="1"/>
          <w:iCs w:val="1"/>
          <w:color w:val="auto"/>
        </w:rPr>
        <w:t>Replacement of Screen Rate – Facility A</w:t>
      </w:r>
      <w:r>
        <w:rPr>
          <w:rFonts w:ascii="Times New Roman" w:cs="Times New Roman" w:eastAsia="Times New Roman" w:hAnsi="Times New Roman"/>
          <w:sz w:val="18"/>
          <w:szCs w:val="18"/>
          <w:color w:val="auto"/>
        </w:rPr>
        <w:t>) or Clause 38.5 (</w:t>
      </w:r>
      <w:r>
        <w:rPr>
          <w:rFonts w:ascii="Times New Roman" w:cs="Times New Roman" w:eastAsia="Times New Roman" w:hAnsi="Times New Roman"/>
          <w:sz w:val="18"/>
          <w:szCs w:val="18"/>
          <w:i w:val="1"/>
          <w:iCs w:val="1"/>
          <w:color w:val="auto"/>
        </w:rPr>
        <w:t>Replacement of Reference Rate – Facility B</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544" w:right="80"/>
        <w:spacing w:after="0" w:line="261" w:lineRule="auto"/>
        <w:rPr>
          <w:sz w:val="20"/>
          <w:szCs w:val="20"/>
          <w:color w:val="auto"/>
        </w:rPr>
      </w:pPr>
      <w:r>
        <w:rPr>
          <w:rFonts w:ascii="Times New Roman" w:cs="Times New Roman" w:eastAsia="Times New Roman" w:hAnsi="Times New Roman"/>
          <w:sz w:val="18"/>
          <w:szCs w:val="18"/>
          <w:color w:val="auto"/>
        </w:rPr>
        <w:t>the Company shall, within three Business Days of demand, reimburse the Agent, the Account Bank and the Security Agent for the amount of all costs and expenses (including legal fees) reasonably incurred by the Agent, the Account Bank or the Security Agent (and, in the case of the Security Agent, by any Receiver or Delegate) in responding to, evaluating, negotiating, complying with or implementing that request, requirement or actual or contemplated agreement.</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7"/>
          <w:szCs w:val="17"/>
          <w:b w:val="1"/>
          <w:bCs w:val="1"/>
          <w:color w:val="auto"/>
        </w:rPr>
        <w:t>Enforcement and preservation costs</w:t>
      </w:r>
    </w:p>
    <w:p>
      <w:pPr>
        <w:spacing w:after="0" w:line="121" w:lineRule="exact"/>
        <w:rPr>
          <w:sz w:val="20"/>
          <w:szCs w:val="20"/>
          <w:color w:val="auto"/>
        </w:rPr>
      </w:pPr>
    </w:p>
    <w:p>
      <w:pPr>
        <w:ind w:left="544" w:right="40"/>
        <w:spacing w:after="0" w:line="261" w:lineRule="auto"/>
        <w:rPr>
          <w:sz w:val="20"/>
          <w:szCs w:val="20"/>
          <w:color w:val="auto"/>
        </w:rPr>
      </w:pPr>
      <w:r>
        <w:rPr>
          <w:rFonts w:ascii="Times New Roman" w:cs="Times New Roman" w:eastAsia="Times New Roman" w:hAnsi="Times New Roman"/>
          <w:sz w:val="18"/>
          <w:szCs w:val="18"/>
          <w:color w:val="auto"/>
        </w:rPr>
        <w:t>The Company shall, within three Business Days of demand, pay to each Secured Party the amount of all costs and expenses (including legal fees) incurred by that Secured Party in connection with the enforcement of, or the preservation of any rights under, any Finance Document or the Transaction Security and with any proceedings instituted by or against that Secured Party as a consequence of it entering into a Finance Document or taking or holding the Transaction Security, or enforcing those rights.</w:t>
      </w:r>
    </w:p>
    <w:p>
      <w:pPr>
        <w:spacing w:after="0" w:line="11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4"/>
          </w:cols>
          <w:pgMar w:left="436" w:top="266" w:right="439" w:bottom="1440" w:gutter="0" w:footer="0" w:header="0"/>
        </w:sectPr>
      </w:pPr>
    </w:p>
    <w:bookmarkStart w:id="81" w:name="page82"/>
    <w:bookmarkEnd w:id="8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252" w:lineRule="exact"/>
        <w:rPr>
          <w:sz w:val="20"/>
          <w:szCs w:val="20"/>
          <w:color w:val="auto"/>
        </w:rPr>
      </w:pPr>
    </w:p>
    <w:p>
      <w:pPr>
        <w:ind w:left="4" w:right="7780" w:hanging="4"/>
        <w:spacing w:after="0" w:line="408" w:lineRule="auto"/>
        <w:tabs>
          <w:tab w:leader="none" w:pos="544" w:val="left"/>
        </w:tabs>
        <w:numPr>
          <w:ilvl w:val="0"/>
          <w:numId w:val="2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GUARANTEE AND INDEMNITY 19.1 Guarantee and indemnity</w:t>
      </w:r>
    </w:p>
    <w:p>
      <w:pPr>
        <w:ind w:left="5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Guarantor irrevocably and unconditionally:</w:t>
      </w:r>
    </w:p>
    <w:p>
      <w:pPr>
        <w:spacing w:after="0" w:line="130" w:lineRule="exact"/>
        <w:rPr>
          <w:rFonts w:ascii="Times New Roman" w:cs="Times New Roman" w:eastAsia="Times New Roman" w:hAnsi="Times New Roman"/>
          <w:sz w:val="17"/>
          <w:szCs w:val="17"/>
          <w:b w:val="1"/>
          <w:bCs w:val="1"/>
          <w:color w:val="auto"/>
        </w:rPr>
      </w:pPr>
    </w:p>
    <w:p>
      <w:pPr>
        <w:ind w:left="1184" w:right="860" w:hanging="644"/>
        <w:spacing w:after="0" w:line="282" w:lineRule="auto"/>
        <w:tabs>
          <w:tab w:leader="none" w:pos="1184"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to each Finance Party punctual performance by the Borrower of all that Borrower’s obligations under the Finance Documents;</w:t>
      </w:r>
    </w:p>
    <w:p>
      <w:pPr>
        <w:spacing w:after="0" w:line="67" w:lineRule="exact"/>
        <w:rPr>
          <w:rFonts w:ascii="Times New Roman" w:cs="Times New Roman" w:eastAsia="Times New Roman" w:hAnsi="Times New Roman"/>
          <w:sz w:val="18"/>
          <w:szCs w:val="18"/>
          <w:color w:val="auto"/>
        </w:rPr>
      </w:pPr>
    </w:p>
    <w:p>
      <w:pPr>
        <w:ind w:left="1184" w:right="300" w:hanging="644"/>
        <w:spacing w:after="0" w:line="282" w:lineRule="auto"/>
        <w:tabs>
          <w:tab w:leader="none" w:pos="1184"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with each Finance Party that whenever the Borrower does not pay any amount when due under or in connection with any Finance Document, the Guarantor shall immediately on demand pay that amount as if it was the principal obligor; and</w:t>
      </w:r>
    </w:p>
    <w:p>
      <w:pPr>
        <w:spacing w:after="0" w:line="67" w:lineRule="exact"/>
        <w:rPr>
          <w:rFonts w:ascii="Times New Roman" w:cs="Times New Roman" w:eastAsia="Times New Roman" w:hAnsi="Times New Roman"/>
          <w:sz w:val="18"/>
          <w:szCs w:val="18"/>
          <w:color w:val="auto"/>
        </w:rPr>
      </w:pPr>
    </w:p>
    <w:p>
      <w:pPr>
        <w:ind w:left="1184" w:right="100" w:hanging="644"/>
        <w:spacing w:after="0" w:line="256" w:lineRule="auto"/>
        <w:tabs>
          <w:tab w:leader="none" w:pos="1184"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the Borrower not paying any amount which would, but for such unenforceability, invalidity or illegality, have been payable by it under any Finance Document on the date when it would have been due. The amount payable by the Guarantor under this indemnity will not exceed the amount it would have had to pay under this Clause 19 if the amount claimed had been recoverable on the basis of a guarantee.</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7"/>
          <w:szCs w:val="17"/>
          <w:b w:val="1"/>
          <w:bCs w:val="1"/>
          <w:color w:val="auto"/>
        </w:rPr>
        <w:t>Continuing guarantee</w:t>
      </w:r>
    </w:p>
    <w:p>
      <w:pPr>
        <w:spacing w:after="0" w:line="121"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7"/>
          <w:szCs w:val="17"/>
          <w:b w:val="1"/>
          <w:bCs w:val="1"/>
          <w:color w:val="auto"/>
        </w:rPr>
        <w:t>Reinstatement</w:t>
      </w:r>
    </w:p>
    <w:p>
      <w:pPr>
        <w:spacing w:after="0" w:line="121" w:lineRule="exact"/>
        <w:rPr>
          <w:sz w:val="20"/>
          <w:szCs w:val="20"/>
          <w:color w:val="auto"/>
        </w:rPr>
      </w:pPr>
    </w:p>
    <w:p>
      <w:pPr>
        <w:jc w:val="both"/>
        <w:ind w:left="544" w:right="120"/>
        <w:spacing w:after="0" w:line="261" w:lineRule="auto"/>
        <w:rPr>
          <w:sz w:val="20"/>
          <w:szCs w:val="20"/>
          <w:color w:val="auto"/>
        </w:rPr>
      </w:pPr>
      <w:r>
        <w:rPr>
          <w:rFonts w:ascii="Times New Roman" w:cs="Times New Roman" w:eastAsia="Times New Roman" w:hAnsi="Times New Roman"/>
          <w:sz w:val="18"/>
          <w:szCs w:val="18"/>
          <w:color w:val="auto"/>
        </w:rPr>
        <w:t>If any discharge, release or arrangement (whether in respect of the obligations of any Obligor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the Guarantor under this Clause 19 will continue or be reinstated as if the discharge, release or arrangement had not occurred.</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19.4</w:t>
      </w:r>
      <w:r>
        <w:rPr>
          <w:sz w:val="20"/>
          <w:szCs w:val="20"/>
          <w:color w:val="auto"/>
        </w:rPr>
        <w:tab/>
      </w:r>
      <w:r>
        <w:rPr>
          <w:rFonts w:ascii="Times New Roman" w:cs="Times New Roman" w:eastAsia="Times New Roman" w:hAnsi="Times New Roman"/>
          <w:sz w:val="17"/>
          <w:szCs w:val="17"/>
          <w:b w:val="1"/>
          <w:bCs w:val="1"/>
          <w:color w:val="auto"/>
        </w:rPr>
        <w:t>Waiver of defences</w:t>
      </w:r>
    </w:p>
    <w:p>
      <w:pPr>
        <w:spacing w:after="0" w:line="121" w:lineRule="exact"/>
        <w:rPr>
          <w:sz w:val="20"/>
          <w:szCs w:val="20"/>
          <w:color w:val="auto"/>
        </w:rPr>
      </w:pPr>
    </w:p>
    <w:p>
      <w:pPr>
        <w:jc w:val="both"/>
        <w:ind w:left="544" w:right="120"/>
        <w:spacing w:after="0" w:line="266" w:lineRule="auto"/>
        <w:rPr>
          <w:sz w:val="20"/>
          <w:szCs w:val="20"/>
          <w:color w:val="auto"/>
        </w:rPr>
      </w:pPr>
      <w:r>
        <w:rPr>
          <w:rFonts w:ascii="Times New Roman" w:cs="Times New Roman" w:eastAsia="Times New Roman" w:hAnsi="Times New Roman"/>
          <w:sz w:val="18"/>
          <w:szCs w:val="18"/>
          <w:color w:val="auto"/>
        </w:rPr>
        <w:t>The obligations of the Guarantor under this Clause 19 will not be affected by an act, omission, matter or thing which, but for this Clause, would reduce, release or prejudice any of its obligations under this Clause 19 (without limitation and whether or not known to it or any Finance Party) including:</w:t>
      </w:r>
    </w:p>
    <w:p>
      <w:pPr>
        <w:spacing w:after="0" w:line="81" w:lineRule="exact"/>
        <w:rPr>
          <w:sz w:val="20"/>
          <w:szCs w:val="20"/>
          <w:color w:val="auto"/>
        </w:rPr>
      </w:pPr>
    </w:p>
    <w:p>
      <w:pPr>
        <w:ind w:left="1184" w:hanging="644"/>
        <w:spacing w:after="0"/>
        <w:tabs>
          <w:tab w:leader="none" w:pos="118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time, waiver or consent granted to, or composition with, any Obligor or other person;</w:t>
      </w:r>
    </w:p>
    <w:p>
      <w:pPr>
        <w:spacing w:after="0" w:line="130"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any other Obligor or any other person under the terms of any composition or arrangement with any creditor of any Group Member;</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4"/>
          </w:cols>
          <w:pgMar w:left="436" w:top="266" w:right="439" w:bottom="1440" w:gutter="0" w:footer="0" w:header="0"/>
        </w:sectPr>
      </w:pPr>
    </w:p>
    <w:bookmarkStart w:id="82" w:name="page83"/>
    <w:bookmarkEnd w:id="82"/>
    <w:p>
      <w:pPr>
        <w:ind w:left="1180" w:right="400" w:hanging="644"/>
        <w:spacing w:after="0" w:line="266" w:lineRule="auto"/>
        <w:tabs>
          <w:tab w:leader="none" w:pos="11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81"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incapacity or lack of power, authority or legal personality of or dissolution or change in the members or status of an Obligor or any other person;</w:t>
      </w:r>
    </w:p>
    <w:p>
      <w:pPr>
        <w:spacing w:after="0" w:line="67" w:lineRule="exact"/>
        <w:rPr>
          <w:rFonts w:ascii="Times New Roman" w:cs="Times New Roman" w:eastAsia="Times New Roman" w:hAnsi="Times New Roman"/>
          <w:sz w:val="18"/>
          <w:szCs w:val="18"/>
          <w:color w:val="auto"/>
        </w:rPr>
      </w:pPr>
    </w:p>
    <w:p>
      <w:pPr>
        <w:jc w:val="both"/>
        <w:ind w:left="1180" w:right="40" w:hanging="644"/>
        <w:spacing w:after="0" w:line="266" w:lineRule="auto"/>
        <w:tabs>
          <w:tab w:leader="none" w:pos="11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81"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unenforceability, illegality or invalidity of any obligation of any person under any Finance Document or any other document or security;</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insolvency or similar proceedings;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or any other Finance Document not being executed by or binding upon any other party.</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19.5</w:t>
      </w:r>
      <w:r>
        <w:rPr>
          <w:sz w:val="20"/>
          <w:szCs w:val="20"/>
          <w:color w:val="auto"/>
        </w:rPr>
        <w:tab/>
      </w:r>
      <w:r>
        <w:rPr>
          <w:rFonts w:ascii="Times New Roman" w:cs="Times New Roman" w:eastAsia="Times New Roman" w:hAnsi="Times New Roman"/>
          <w:sz w:val="17"/>
          <w:szCs w:val="17"/>
          <w:b w:val="1"/>
          <w:bCs w:val="1"/>
          <w:color w:val="auto"/>
        </w:rPr>
        <w:t>Guarantor intent</w:t>
      </w:r>
    </w:p>
    <w:p>
      <w:pPr>
        <w:spacing w:after="0" w:line="119" w:lineRule="exact"/>
        <w:rPr>
          <w:sz w:val="20"/>
          <w:szCs w:val="20"/>
          <w:color w:val="auto"/>
        </w:rPr>
      </w:pPr>
    </w:p>
    <w:p>
      <w:pPr>
        <w:ind w:left="540" w:right="80"/>
        <w:spacing w:after="0" w:line="256" w:lineRule="auto"/>
        <w:rPr>
          <w:sz w:val="20"/>
          <w:szCs w:val="20"/>
          <w:color w:val="auto"/>
        </w:rPr>
      </w:pPr>
      <w:r>
        <w:rPr>
          <w:rFonts w:ascii="Times New Roman" w:cs="Times New Roman" w:eastAsia="Times New Roman" w:hAnsi="Times New Roman"/>
          <w:sz w:val="18"/>
          <w:szCs w:val="18"/>
          <w:color w:val="auto"/>
        </w:rPr>
        <w:t>Without prejudice to the generality of Clause 19.4 (</w:t>
      </w:r>
      <w:r>
        <w:rPr>
          <w:rFonts w:ascii="Times New Roman" w:cs="Times New Roman" w:eastAsia="Times New Roman" w:hAnsi="Times New Roman"/>
          <w:sz w:val="18"/>
          <w:szCs w:val="18"/>
          <w:i w:val="1"/>
          <w:iCs w:val="1"/>
          <w:color w:val="auto"/>
        </w:rPr>
        <w:t>Waiver of defences</w:t>
      </w:r>
      <w:r>
        <w:rPr>
          <w:rFonts w:ascii="Times New Roman" w:cs="Times New Roman" w:eastAsia="Times New Roman" w:hAnsi="Times New Roman"/>
          <w:sz w:val="18"/>
          <w:szCs w:val="18"/>
          <w:color w:val="auto"/>
        </w:rPr>
        <w:t>), the Guarantor expressly confirms that it intends that this guarantee shall extend from time to time to any (however fundamental) variation, increase, extension or addition of or to any of the Finance Documents and/or any facility or amount made available under any of the Finance Documents for the purposes of or in connection with any of the following: business acquisitions of any nature; increasing working capital; enabling investor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and/or expenses associated with any of the foregoing.</w:t>
      </w:r>
    </w:p>
    <w:p>
      <w:pPr>
        <w:spacing w:after="0" w:line="8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19.6</w:t>
      </w:r>
      <w:r>
        <w:rPr>
          <w:sz w:val="20"/>
          <w:szCs w:val="20"/>
          <w:color w:val="auto"/>
        </w:rPr>
        <w:tab/>
      </w:r>
      <w:r>
        <w:rPr>
          <w:rFonts w:ascii="Times New Roman" w:cs="Times New Roman" w:eastAsia="Times New Roman" w:hAnsi="Times New Roman"/>
          <w:sz w:val="17"/>
          <w:szCs w:val="17"/>
          <w:b w:val="1"/>
          <w:bCs w:val="1"/>
          <w:color w:val="auto"/>
        </w:rPr>
        <w:t>Immediate recourse</w:t>
      </w:r>
    </w:p>
    <w:p>
      <w:pPr>
        <w:spacing w:after="0" w:line="121" w:lineRule="exact"/>
        <w:rPr>
          <w:sz w:val="20"/>
          <w:szCs w:val="20"/>
          <w:color w:val="auto"/>
        </w:rPr>
      </w:pPr>
    </w:p>
    <w:p>
      <w:pPr>
        <w:ind w:left="540" w:right="340"/>
        <w:spacing w:after="0" w:line="266" w:lineRule="auto"/>
        <w:rPr>
          <w:sz w:val="20"/>
          <w:szCs w:val="20"/>
          <w:color w:val="auto"/>
        </w:rPr>
      </w:pPr>
      <w:r>
        <w:rPr>
          <w:rFonts w:ascii="Times New Roman" w:cs="Times New Roman" w:eastAsia="Times New Roman" w:hAnsi="Times New Roman"/>
          <w:sz w:val="18"/>
          <w:szCs w:val="18"/>
          <w:color w:val="auto"/>
        </w:rPr>
        <w:t>The Guarantor waives any right it may have of first requiring any Finance Party (or any trustee or agent on its behalf) to proceed against or enforce any other rights or security or claim payment from any person before claiming from the Guarantor under this Clause 19. This waiver applies irrespective of any law or any provision of a Finance Document to the contrary.</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19.7</w:t>
      </w:r>
      <w:r>
        <w:rPr>
          <w:sz w:val="20"/>
          <w:szCs w:val="20"/>
          <w:color w:val="auto"/>
        </w:rPr>
        <w:tab/>
      </w:r>
      <w:r>
        <w:rPr>
          <w:rFonts w:ascii="Times New Roman" w:cs="Times New Roman" w:eastAsia="Times New Roman" w:hAnsi="Times New Roman"/>
          <w:sz w:val="17"/>
          <w:szCs w:val="17"/>
          <w:b w:val="1"/>
          <w:bCs w:val="1"/>
          <w:color w:val="auto"/>
        </w:rPr>
        <w:t>Appropriations</w:t>
      </w:r>
    </w:p>
    <w:p>
      <w:pPr>
        <w:spacing w:after="0" w:line="121" w:lineRule="exact"/>
        <w:rPr>
          <w:sz w:val="20"/>
          <w:szCs w:val="20"/>
          <w:color w:val="auto"/>
        </w:rPr>
      </w:pPr>
    </w:p>
    <w:p>
      <w:pPr>
        <w:ind w:left="540" w:right="200"/>
        <w:spacing w:after="0" w:line="282" w:lineRule="auto"/>
        <w:rPr>
          <w:sz w:val="20"/>
          <w:szCs w:val="20"/>
          <w:color w:val="auto"/>
        </w:rPr>
      </w:pPr>
      <w:r>
        <w:rPr>
          <w:rFonts w:ascii="Times New Roman" w:cs="Times New Roman" w:eastAsia="Times New Roman" w:hAnsi="Times New Roman"/>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67" w:lineRule="exact"/>
        <w:rPr>
          <w:sz w:val="20"/>
          <w:szCs w:val="20"/>
          <w:color w:val="auto"/>
        </w:rPr>
      </w:pPr>
    </w:p>
    <w:p>
      <w:pPr>
        <w:jc w:val="both"/>
        <w:ind w:left="1180" w:right="200" w:hanging="644"/>
        <w:spacing w:after="0" w:line="266" w:lineRule="auto"/>
        <w:tabs>
          <w:tab w:leader="none" w:pos="11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the Guarantor shall not be entitled to the benefit of the same; and</w:t>
      </w:r>
    </w:p>
    <w:p>
      <w:pPr>
        <w:spacing w:after="0" w:line="10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440" w:top="270" w:right="439" w:bottom="1440" w:gutter="0" w:footer="0" w:header="0"/>
        </w:sectPr>
      </w:pPr>
    </w:p>
    <w:bookmarkStart w:id="83" w:name="page84"/>
    <w:bookmarkEnd w:id="83"/>
    <w:p>
      <w:pPr>
        <w:ind w:left="1180" w:right="220" w:hanging="644"/>
        <w:spacing w:after="0" w:line="282" w:lineRule="auto"/>
        <w:tabs>
          <w:tab w:leader="none" w:pos="1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 in an interest-bearing suspense account any moneys received from the Guarantor or on account of the Guarantor’s liability under this Clause 19.</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19.8</w:t>
      </w:r>
      <w:r>
        <w:rPr>
          <w:sz w:val="20"/>
          <w:szCs w:val="20"/>
          <w:color w:val="auto"/>
        </w:rPr>
        <w:tab/>
      </w:r>
      <w:r>
        <w:rPr>
          <w:rFonts w:ascii="Times New Roman" w:cs="Times New Roman" w:eastAsia="Times New Roman" w:hAnsi="Times New Roman"/>
          <w:sz w:val="17"/>
          <w:szCs w:val="17"/>
          <w:b w:val="1"/>
          <w:bCs w:val="1"/>
          <w:color w:val="auto"/>
        </w:rPr>
        <w:t>Deferral of Guarantor’s rights</w:t>
      </w:r>
    </w:p>
    <w:p>
      <w:pPr>
        <w:spacing w:after="0" w:line="121" w:lineRule="exact"/>
        <w:rPr>
          <w:sz w:val="20"/>
          <w:szCs w:val="20"/>
          <w:color w:val="auto"/>
        </w:rPr>
      </w:pPr>
    </w:p>
    <w:p>
      <w:pPr>
        <w:jc w:val="both"/>
        <w:ind w:left="540" w:right="160"/>
        <w:spacing w:after="0" w:line="266" w:lineRule="auto"/>
        <w:rPr>
          <w:sz w:val="20"/>
          <w:szCs w:val="20"/>
          <w:color w:val="auto"/>
        </w:rPr>
      </w:pPr>
      <w:r>
        <w:rPr>
          <w:rFonts w:ascii="Times New Roman" w:cs="Times New Roman" w:eastAsia="Times New Roman" w:hAnsi="Times New Roman"/>
          <w:sz w:val="18"/>
          <w:szCs w:val="18"/>
          <w:color w:val="auto"/>
        </w:rPr>
        <w:t>Until all amounts which may be or become payable by the Obligors under or in connection with the Finance Documents have been irrevocably paid in full and unless the Agent otherwise directs, the Guarantor will not exercise any rights which it may have by reason of performance by it of its obligations under the Finance Documents or by reason of any amount being payable, or liability arising, under this Clause 19:</w:t>
      </w:r>
    </w:p>
    <w:p>
      <w:pPr>
        <w:spacing w:after="0" w:line="81" w:lineRule="exact"/>
        <w:rPr>
          <w:sz w:val="20"/>
          <w:szCs w:val="20"/>
          <w:color w:val="auto"/>
        </w:rPr>
      </w:pPr>
    </w:p>
    <w:p>
      <w:pPr>
        <w:ind w:left="1180" w:hanging="644"/>
        <w:spacing w:after="0"/>
        <w:tabs>
          <w:tab w:leader="none" w:pos="11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indemnified by an Obligor;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claim any contribution from any other guarantor of any Obligor’s obligations under the Finance Documents;</w:t>
      </w:r>
    </w:p>
    <w:p>
      <w:pPr>
        <w:spacing w:after="0" w:line="130" w:lineRule="exact"/>
        <w:rPr>
          <w:rFonts w:ascii="Times New Roman" w:cs="Times New Roman" w:eastAsia="Times New Roman" w:hAnsi="Times New Roman"/>
          <w:sz w:val="18"/>
          <w:szCs w:val="18"/>
          <w:color w:val="auto"/>
        </w:rPr>
      </w:pPr>
    </w:p>
    <w:p>
      <w:pPr>
        <w:ind w:left="1180" w:right="240" w:hanging="644"/>
        <w:spacing w:after="0" w:line="266" w:lineRule="auto"/>
        <w:tabs>
          <w:tab w:leader="none" w:pos="11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81" w:lineRule="exact"/>
        <w:rPr>
          <w:rFonts w:ascii="Times New Roman" w:cs="Times New Roman" w:eastAsia="Times New Roman" w:hAnsi="Times New Roman"/>
          <w:sz w:val="18"/>
          <w:szCs w:val="18"/>
          <w:color w:val="auto"/>
        </w:rPr>
      </w:pPr>
    </w:p>
    <w:p>
      <w:pPr>
        <w:ind w:left="1180" w:right="340" w:hanging="644"/>
        <w:spacing w:after="0" w:line="282" w:lineRule="auto"/>
        <w:tabs>
          <w:tab w:leader="none" w:pos="11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bring legal or other proceedings for an order requiring any Obligor to make any payment, or perform any obligation, in respect of which the Guarantor has given a guarantee, undertaking or indemnity under Clause 19.1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any right of set-off against any Obligor; and/or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claim or prove as a creditor of any Obligor in competition with any Finance Party.</w:t>
      </w:r>
    </w:p>
    <w:p>
      <w:pPr>
        <w:spacing w:after="0" w:line="117" w:lineRule="exact"/>
        <w:rPr>
          <w:sz w:val="20"/>
          <w:szCs w:val="20"/>
          <w:color w:val="auto"/>
        </w:rPr>
      </w:pPr>
    </w:p>
    <w:p>
      <w:pPr>
        <w:jc w:val="both"/>
        <w:ind w:left="540" w:right="160"/>
        <w:spacing w:after="0" w:line="261" w:lineRule="auto"/>
        <w:rPr>
          <w:sz w:val="20"/>
          <w:szCs w:val="20"/>
          <w:color w:val="auto"/>
        </w:rPr>
      </w:pPr>
      <w:r>
        <w:rPr>
          <w:rFonts w:ascii="Times New Roman" w:cs="Times New Roman" w:eastAsia="Times New Roman" w:hAnsi="Times New Roman"/>
          <w:sz w:val="18"/>
          <w:szCs w:val="18"/>
          <w:color w:val="auto"/>
        </w:rPr>
        <w:t>If the Guarantor receives any benefit, payment or distribution in relation to such rights it shall hold that benefit, payment or distribution to the extent necessary to enable all amounts which may be or become payable to the Finance Parties by the Obligors under or in connection with the Finance Documents to be repaid in full on trust for the Finance Parties and shall promptly pay or transfer the same to the Agent or as the Agent may direct for application in accordance with Clause 32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19.9</w:t>
        <w:tab/>
        <w:t>Additional security</w:t>
      </w:r>
    </w:p>
    <w:p>
      <w:pPr>
        <w:spacing w:after="0" w:line="121" w:lineRule="exact"/>
        <w:rPr>
          <w:sz w:val="20"/>
          <w:szCs w:val="20"/>
          <w:color w:val="auto"/>
        </w:rPr>
      </w:pPr>
    </w:p>
    <w:p>
      <w:pPr>
        <w:ind w:left="540" w:right="320"/>
        <w:spacing w:after="0" w:line="282" w:lineRule="auto"/>
        <w:rPr>
          <w:sz w:val="20"/>
          <w:szCs w:val="20"/>
          <w:color w:val="auto"/>
        </w:rPr>
      </w:pPr>
      <w:r>
        <w:rPr>
          <w:rFonts w:ascii="Times New Roman" w:cs="Times New Roman" w:eastAsia="Times New Roman" w:hAnsi="Times New Roman"/>
          <w:sz w:val="18"/>
          <w:szCs w:val="18"/>
          <w:color w:val="auto"/>
        </w:rPr>
        <w:t>This guarantee is in addition to and is not in any way prejudiced by any other guarantee or security now or subsequently held by any Finance Party.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19.10  Guarantee Limitations – Sweden</w:t>
      </w:r>
    </w:p>
    <w:p>
      <w:pPr>
        <w:spacing w:after="0" w:line="117" w:lineRule="exact"/>
        <w:rPr>
          <w:sz w:val="20"/>
          <w:szCs w:val="20"/>
          <w:color w:val="auto"/>
        </w:rPr>
      </w:pPr>
    </w:p>
    <w:p>
      <w:pPr>
        <w:ind w:left="540" w:right="80"/>
        <w:spacing w:after="0" w:line="257" w:lineRule="auto"/>
        <w:rPr>
          <w:sz w:val="20"/>
          <w:szCs w:val="20"/>
          <w:color w:val="auto"/>
        </w:rPr>
      </w:pPr>
      <w:r>
        <w:rPr>
          <w:rFonts w:ascii="Times New Roman" w:cs="Times New Roman" w:eastAsia="Times New Roman" w:hAnsi="Times New Roman"/>
          <w:sz w:val="18"/>
          <w:szCs w:val="18"/>
          <w:color w:val="auto"/>
        </w:rPr>
        <w:t>The obligations and liabilities of the Guarantor and any other obligor incorporated in Sweden in its capacity as guarantor (each a “</w:t>
      </w:r>
      <w:r>
        <w:rPr>
          <w:rFonts w:ascii="Times New Roman" w:cs="Times New Roman" w:eastAsia="Times New Roman" w:hAnsi="Times New Roman"/>
          <w:sz w:val="18"/>
          <w:szCs w:val="18"/>
          <w:b w:val="1"/>
          <w:bCs w:val="1"/>
          <w:color w:val="auto"/>
        </w:rPr>
        <w:t>Swedish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under this Agreement and the other Finance Documents in respect of obligations of any Obligor other than such Swedish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Guarantor or its wholly-owned Subsidiaries shall be limited if (and only if) required by the provisions of the Swedish Companies Act (Sw. </w:t>
      </w:r>
      <w:r>
        <w:rPr>
          <w:rFonts w:ascii="Times New Roman" w:cs="Times New Roman" w:eastAsia="Times New Roman" w:hAnsi="Times New Roman"/>
          <w:sz w:val="18"/>
          <w:szCs w:val="18"/>
          <w:i w:val="1"/>
          <w:iCs w:val="1"/>
          <w:color w:val="auto"/>
        </w:rPr>
        <w:t>Aktiebolagslagen (2005:551</w:t>
      </w:r>
      <w:r>
        <w:rPr>
          <w:rFonts w:ascii="Times New Roman" w:cs="Times New Roman" w:eastAsia="Times New Roman" w:hAnsi="Times New Roman"/>
          <w:sz w:val="18"/>
          <w:szCs w:val="18"/>
          <w:color w:val="auto"/>
        </w:rPr>
        <w:t>)) regulating distribution of assets within the meaning of Chapter 17, Section 3 (or its equivalent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Swedish Companies Act, and it is understood that the liabilities of each Swedish Guarantor under this Clause 19 only applies to the extent permitted by the above mentioned provisions of the Swedish Companies Act.</w:t>
      </w:r>
    </w:p>
    <w:p>
      <w:pPr>
        <w:spacing w:after="0" w:line="119"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0"/>
          </w:cols>
          <w:pgMar w:left="440" w:top="270" w:right="439" w:bottom="1440" w:gutter="0" w:footer="0" w:header="0"/>
        </w:sectPr>
      </w:pPr>
    </w:p>
    <w:bookmarkStart w:id="84" w:name="page85"/>
    <w:bookmarkEnd w:id="8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REPRESENTATIONS, UNDERTAKINGS AND EVENTS OF DEFAULT</w:t>
      </w:r>
    </w:p>
    <w:p>
      <w:pPr>
        <w:spacing w:after="0" w:line="252" w:lineRule="exact"/>
        <w:rPr>
          <w:sz w:val="20"/>
          <w:szCs w:val="20"/>
          <w:color w:val="auto"/>
        </w:rPr>
      </w:pPr>
    </w:p>
    <w:p>
      <w:pPr>
        <w:ind w:left="544" w:hanging="544"/>
        <w:spacing w:after="0"/>
        <w:tabs>
          <w:tab w:leader="none" w:pos="544"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p>
    <w:p>
      <w:pPr>
        <w:spacing w:after="0" w:line="121" w:lineRule="exact"/>
        <w:rPr>
          <w:rFonts w:ascii="Times New Roman" w:cs="Times New Roman" w:eastAsia="Times New Roman" w:hAnsi="Times New Roman"/>
          <w:sz w:val="18"/>
          <w:szCs w:val="18"/>
          <w:b w:val="1"/>
          <w:bCs w:val="1"/>
          <w:color w:val="auto"/>
        </w:rPr>
      </w:pPr>
    </w:p>
    <w:p>
      <w:pPr>
        <w:ind w:left="544"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Borrower and the Guarantor makes the representations and warranties set out in this Clause 20 to each Finance Party on the Signing Date.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20.1</w:t>
      </w:r>
      <w:r>
        <w:rPr>
          <w:sz w:val="20"/>
          <w:szCs w:val="20"/>
          <w:color w:val="auto"/>
        </w:rPr>
        <w:tab/>
      </w:r>
      <w:r>
        <w:rPr>
          <w:rFonts w:ascii="Times New Roman" w:cs="Times New Roman" w:eastAsia="Times New Roman" w:hAnsi="Times New Roman"/>
          <w:sz w:val="17"/>
          <w:szCs w:val="17"/>
          <w:b w:val="1"/>
          <w:bCs w:val="1"/>
          <w:color w:val="auto"/>
        </w:rPr>
        <w:t>Status</w:t>
      </w:r>
    </w:p>
    <w:p>
      <w:pPr>
        <w:spacing w:after="0" w:line="135" w:lineRule="exact"/>
        <w:rPr>
          <w:sz w:val="20"/>
          <w:szCs w:val="20"/>
          <w:color w:val="auto"/>
        </w:rPr>
      </w:pPr>
    </w:p>
    <w:p>
      <w:pPr>
        <w:ind w:left="544" w:hanging="544"/>
        <w:spacing w:after="0"/>
        <w:tabs>
          <w:tab w:leader="none" w:pos="54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party hereto is a limited liability corporation, duly incorporated and validly existing under the law of its Original Jurisdiction.</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Member is a limited liability corporation, duly incorporated and validly existing under the law of its jurisdiction of incorporation.</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party hereto and each Group Member has the power to own its assets and carry on its business as it is being conducted.</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party hereto is a FATCA FFI or a U.S. Tax Obligor.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20.2</w:t>
        <w:tab/>
        <w:t>Binding obligations</w:t>
      </w:r>
    </w:p>
    <w:p>
      <w:pPr>
        <w:spacing w:after="0" w:line="119" w:lineRule="exact"/>
        <w:rPr>
          <w:sz w:val="20"/>
          <w:szCs w:val="20"/>
          <w:color w:val="auto"/>
        </w:rPr>
      </w:pPr>
    </w:p>
    <w:p>
      <w:pPr>
        <w:ind w:left="544" w:right="900"/>
        <w:spacing w:after="0" w:line="284" w:lineRule="auto"/>
        <w:rPr>
          <w:sz w:val="20"/>
          <w:szCs w:val="20"/>
          <w:color w:val="auto"/>
        </w:rPr>
      </w:pPr>
      <w:r>
        <w:rPr>
          <w:rFonts w:ascii="Times New Roman" w:cs="Times New Roman" w:eastAsia="Times New Roman" w:hAnsi="Times New Roman"/>
          <w:sz w:val="18"/>
          <w:szCs w:val="18"/>
          <w:color w:val="auto"/>
        </w:rPr>
        <w:t>Subject to the Legal Reservations and, in the case of the Security Documents, the requirements specified in Clause 20.5 (</w:t>
      </w:r>
      <w:r>
        <w:rPr>
          <w:rFonts w:ascii="Times New Roman" w:cs="Times New Roman" w:eastAsia="Times New Roman" w:hAnsi="Times New Roman"/>
          <w:sz w:val="18"/>
          <w:szCs w:val="18"/>
          <w:i w:val="1"/>
          <w:iCs w:val="1"/>
          <w:color w:val="auto"/>
        </w:rPr>
        <w:t>Validity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admissibility in evidence</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ind w:left="1184" w:right="200" w:hanging="644"/>
        <w:spacing w:after="0" w:line="282" w:lineRule="auto"/>
        <w:tabs>
          <w:tab w:leader="none" w:pos="118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expressed to be assumed by each Obligor in each Finance Document to which it is a party are legal, valid, binding and enforceable obligations; and</w:t>
      </w:r>
    </w:p>
    <w:p>
      <w:pPr>
        <w:spacing w:after="0" w:line="67"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paragraph (a), each Security Document to which each Obligor is a party creates the security interests which that Security Document purports to create and those security interests are valid and effective.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Non-conflict with other obligations</w:t>
      </w:r>
    </w:p>
    <w:p>
      <w:pPr>
        <w:spacing w:after="0" w:line="121" w:lineRule="exact"/>
        <w:rPr>
          <w:sz w:val="20"/>
          <w:szCs w:val="20"/>
          <w:color w:val="auto"/>
        </w:rPr>
      </w:pPr>
    </w:p>
    <w:p>
      <w:pPr>
        <w:ind w:left="544" w:right="100"/>
        <w:spacing w:after="0" w:line="282" w:lineRule="auto"/>
        <w:rPr>
          <w:sz w:val="20"/>
          <w:szCs w:val="20"/>
          <w:color w:val="auto"/>
        </w:rPr>
      </w:pPr>
      <w:r>
        <w:rPr>
          <w:rFonts w:ascii="Times New Roman" w:cs="Times New Roman" w:eastAsia="Times New Roman" w:hAnsi="Times New Roman"/>
          <w:sz w:val="18"/>
          <w:szCs w:val="18"/>
          <w:color w:val="auto"/>
        </w:rPr>
        <w:t>The entry into and performance by an Obligor party hereto of, and the transactions contemplated by, the Finance Documents and the granting of the Transaction Security do not and will not conflict with:</w:t>
      </w:r>
    </w:p>
    <w:p>
      <w:pPr>
        <w:spacing w:after="0" w:line="67" w:lineRule="exact"/>
        <w:rPr>
          <w:sz w:val="20"/>
          <w:szCs w:val="20"/>
          <w:color w:val="auto"/>
        </w:rPr>
      </w:pPr>
    </w:p>
    <w:p>
      <w:pPr>
        <w:ind w:left="1184" w:hanging="644"/>
        <w:spacing w:after="0"/>
        <w:tabs>
          <w:tab w:leader="none" w:pos="118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applicable to that Obligor;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Obligor’s or any of that Obligor’s Subsidiaries’ constitutional documents; or</w:t>
      </w:r>
    </w:p>
    <w:p>
      <w:pPr>
        <w:spacing w:after="0" w:line="130"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instrument binding upon that Obligor or any of that Obligor’s Subsidiaries or any of that Obligor’s or any of that Obligor’s Subsidiaries’ assets or constitute a default or termination event (however described) under any such agreement or instrument.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color w:val="auto"/>
        </w:rPr>
        <w:t>Power and authority</w:t>
      </w:r>
    </w:p>
    <w:p>
      <w:pPr>
        <w:spacing w:after="0" w:line="135" w:lineRule="exact"/>
        <w:rPr>
          <w:sz w:val="20"/>
          <w:szCs w:val="20"/>
          <w:color w:val="auto"/>
        </w:rPr>
      </w:pPr>
    </w:p>
    <w:p>
      <w:pPr>
        <w:ind w:left="544" w:right="480" w:hanging="544"/>
        <w:spacing w:after="0" w:line="312" w:lineRule="auto"/>
        <w:tabs>
          <w:tab w:leader="none" w:pos="544"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Obligor party hereto has the power to enter into, perform and deliver, and has taken all necessary action to authorise its entry into, performance and delivery of, the Finance Documents to which it is a party and the transactions contemplated by those Finance Documents.</w:t>
      </w:r>
    </w:p>
    <w:p>
      <w:pPr>
        <w:spacing w:after="0" w:line="7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4"/>
          </w:cols>
          <w:pgMar w:left="436" w:top="266" w:right="439" w:bottom="1440" w:gutter="0" w:footer="0" w:header="0"/>
        </w:sectPr>
      </w:pPr>
    </w:p>
    <w:bookmarkStart w:id="85" w:name="page86"/>
    <w:bookmarkEnd w:id="85"/>
    <w:p>
      <w:pPr>
        <w:ind w:left="544" w:right="420" w:hanging="544"/>
        <w:spacing w:after="0" w:line="282" w:lineRule="auto"/>
        <w:tabs>
          <w:tab w:leader="none" w:pos="5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limit on any powers of an Obligor party hereto will be exceeded as a result of the borrowing, grant of security or giving of guarantees or indemnities contemplated by the Finance Documents to which it is a party.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7"/>
          <w:szCs w:val="17"/>
          <w:b w:val="1"/>
          <w:bCs w:val="1"/>
          <w:color w:val="auto"/>
        </w:rPr>
        <w:t>Validity and admissibility in evidence</w:t>
      </w:r>
    </w:p>
    <w:p>
      <w:pPr>
        <w:spacing w:after="0" w:line="135" w:lineRule="exact"/>
        <w:rPr>
          <w:sz w:val="20"/>
          <w:szCs w:val="20"/>
          <w:color w:val="auto"/>
        </w:rPr>
      </w:pPr>
    </w:p>
    <w:p>
      <w:pPr>
        <w:ind w:left="544" w:hanging="544"/>
        <w:spacing w:after="0"/>
        <w:tabs>
          <w:tab w:leader="none" w:pos="54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all Authorisations required or desirable:</w:t>
      </w:r>
    </w:p>
    <w:p>
      <w:pPr>
        <w:spacing w:after="0" w:line="130"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each Obligor party hereto lawfully to enter into, exercise its rights and comply with its obligations in the Finance Documents to which it is a party;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Finance Documents to which each Obligor hereto is a party admissible in evidence in its Relevant Jurisdictions;</w:t>
      </w:r>
    </w:p>
    <w:p>
      <w:pPr>
        <w:spacing w:after="0" w:line="130" w:lineRule="exact"/>
        <w:rPr>
          <w:rFonts w:ascii="Times New Roman" w:cs="Times New Roman" w:eastAsia="Times New Roman" w:hAnsi="Times New Roman"/>
          <w:sz w:val="18"/>
          <w:szCs w:val="18"/>
          <w:color w:val="auto"/>
        </w:rPr>
      </w:pPr>
    </w:p>
    <w:p>
      <w:pPr>
        <w:ind w:left="1184" w:right="320" w:hanging="644"/>
        <w:spacing w:after="0" w:line="282" w:lineRule="auto"/>
        <w:tabs>
          <w:tab w:leader="none" w:pos="1184"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each Obligor hereto to create the Security expressed to be created by it pursuant to any Security Document and ensure that such Security has the priority and ranking it is expressed to have,</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have been obtained, effected, done, fulfilled or performed and are in full force and effect.</w:t>
      </w:r>
    </w:p>
    <w:p>
      <w:pPr>
        <w:spacing w:after="0" w:line="131" w:lineRule="exact"/>
        <w:rPr>
          <w:sz w:val="20"/>
          <w:szCs w:val="20"/>
          <w:color w:val="auto"/>
        </w:rPr>
      </w:pPr>
    </w:p>
    <w:p>
      <w:pPr>
        <w:ind w:left="544" w:right="40" w:hanging="544"/>
        <w:spacing w:after="0" w:line="282" w:lineRule="auto"/>
        <w:tabs>
          <w:tab w:leader="none" w:pos="54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Authorisations necessary for the conduct of the business, trade and ordinary activities of the Group as a whole have been obtained or effected and are in full force and effect, if, in each case failure to do so is reasonably likely to have a Material Adverse Effect.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Material Licences have been obtained or effected and are in full force and effect.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20.6</w:t>
      </w:r>
      <w:r>
        <w:rPr>
          <w:sz w:val="20"/>
          <w:szCs w:val="20"/>
          <w:color w:val="auto"/>
        </w:rPr>
        <w:tab/>
      </w:r>
      <w:r>
        <w:rPr>
          <w:rFonts w:ascii="Times New Roman" w:cs="Times New Roman" w:eastAsia="Times New Roman" w:hAnsi="Times New Roman"/>
          <w:sz w:val="17"/>
          <w:szCs w:val="17"/>
          <w:b w:val="1"/>
          <w:bCs w:val="1"/>
          <w:color w:val="auto"/>
        </w:rPr>
        <w:t>Governing law and enforcement</w:t>
      </w:r>
    </w:p>
    <w:p>
      <w:pPr>
        <w:spacing w:after="0" w:line="135" w:lineRule="exact"/>
        <w:rPr>
          <w:sz w:val="20"/>
          <w:szCs w:val="20"/>
          <w:color w:val="auto"/>
        </w:rPr>
      </w:pPr>
    </w:p>
    <w:p>
      <w:pPr>
        <w:ind w:left="544" w:right="620" w:hanging="544"/>
        <w:spacing w:after="0" w:line="282" w:lineRule="auto"/>
        <w:tabs>
          <w:tab w:leader="none" w:pos="54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the choice of the law stated to be the governing law of each Finance Document will be recognised and enforced in each of the Borrower’s and the Guarantor’s Relevant Jurisdictions.</w:t>
      </w:r>
    </w:p>
    <w:p>
      <w:pPr>
        <w:spacing w:after="0" w:line="67" w:lineRule="exact"/>
        <w:rPr>
          <w:rFonts w:ascii="Times New Roman" w:cs="Times New Roman" w:eastAsia="Times New Roman" w:hAnsi="Times New Roman"/>
          <w:sz w:val="18"/>
          <w:szCs w:val="18"/>
          <w:color w:val="auto"/>
        </w:rPr>
      </w:pPr>
    </w:p>
    <w:p>
      <w:pPr>
        <w:ind w:left="544" w:right="320" w:hanging="544"/>
        <w:spacing w:after="0" w:line="282" w:lineRule="auto"/>
        <w:tabs>
          <w:tab w:leader="none" w:pos="54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any judgment obtained in relation to a Finance Document in the jurisdiction of the stated governing law of that Finance Document will be recognised and enforced in each of the Borrower’s and the Guarantor’s Relevant Jurisdictions.</w:t>
      </w:r>
    </w:p>
    <w:p>
      <w:pPr>
        <w:spacing w:after="0" w:line="63" w:lineRule="exact"/>
        <w:rPr>
          <w:sz w:val="20"/>
          <w:szCs w:val="20"/>
          <w:color w:val="auto"/>
        </w:rPr>
      </w:pPr>
    </w:p>
    <w:p>
      <w:pPr>
        <w:jc w:val="center"/>
        <w:ind w:right="9656"/>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20.7</w:t>
      </w:r>
      <w:r>
        <w:rPr>
          <w:sz w:val="20"/>
          <w:szCs w:val="20"/>
          <w:color w:val="auto"/>
        </w:rPr>
        <w:tab/>
      </w:r>
      <w:r>
        <w:rPr>
          <w:rFonts w:ascii="Times New Roman" w:cs="Times New Roman" w:eastAsia="Times New Roman" w:hAnsi="Times New Roman"/>
          <w:sz w:val="17"/>
          <w:szCs w:val="17"/>
          <w:b w:val="1"/>
          <w:bCs w:val="1"/>
          <w:color w:val="auto"/>
        </w:rPr>
        <w:t>Insolvency</w:t>
      </w:r>
    </w:p>
    <w:p>
      <w:pPr>
        <w:spacing w:after="0" w:line="121" w:lineRule="exact"/>
        <w:rPr>
          <w:sz w:val="20"/>
          <w:szCs w:val="20"/>
          <w:color w:val="auto"/>
        </w:rPr>
      </w:pPr>
    </w:p>
    <w:p>
      <w:pPr>
        <w:jc w:val="center"/>
        <w:ind w:right="9656"/>
        <w:spacing w:after="0"/>
        <w:rPr>
          <w:sz w:val="20"/>
          <w:szCs w:val="20"/>
          <w:color w:val="auto"/>
        </w:rPr>
      </w:pPr>
      <w:r>
        <w:rPr>
          <w:rFonts w:ascii="Times New Roman" w:cs="Times New Roman" w:eastAsia="Times New Roman" w:hAnsi="Times New Roman"/>
          <w:sz w:val="18"/>
          <w:szCs w:val="18"/>
          <w:color w:val="auto"/>
        </w:rPr>
        <w:t>No:</w:t>
      </w:r>
    </w:p>
    <w:p>
      <w:pPr>
        <w:spacing w:after="0" w:line="129" w:lineRule="exact"/>
        <w:rPr>
          <w:sz w:val="20"/>
          <w:szCs w:val="20"/>
          <w:color w:val="auto"/>
        </w:rPr>
      </w:pPr>
    </w:p>
    <w:p>
      <w:pPr>
        <w:ind w:left="1184" w:hanging="644"/>
        <w:spacing w:after="0"/>
        <w:tabs>
          <w:tab w:leader="none" w:pos="118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action, legal proceeding or other procedure or step described in Clause 24.7 (</w:t>
      </w:r>
      <w:r>
        <w:rPr>
          <w:rFonts w:ascii="Times New Roman" w:cs="Times New Roman" w:eastAsia="Times New Roman" w:hAnsi="Times New Roman"/>
          <w:sz w:val="18"/>
          <w:szCs w:val="18"/>
          <w:i w:val="1"/>
          <w:iCs w:val="1"/>
          <w:color w:val="auto"/>
        </w:rPr>
        <w:t>Insolvency proceedings</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creditors’ process described in Clause 24.8 (</w:t>
      </w:r>
      <w:r>
        <w:rPr>
          <w:rFonts w:ascii="Times New Roman" w:cs="Times New Roman" w:eastAsia="Times New Roman" w:hAnsi="Times New Roman"/>
          <w:sz w:val="18"/>
          <w:szCs w:val="18"/>
          <w:i w:val="1"/>
          <w:iCs w:val="1"/>
          <w:color w:val="auto"/>
        </w:rPr>
        <w:t>Creditors’ process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44" w:right="380"/>
        <w:spacing w:after="0" w:line="282" w:lineRule="auto"/>
        <w:rPr>
          <w:sz w:val="20"/>
          <w:szCs w:val="20"/>
          <w:color w:val="auto"/>
        </w:rPr>
      </w:pPr>
      <w:r>
        <w:rPr>
          <w:rFonts w:ascii="Times New Roman" w:cs="Times New Roman" w:eastAsia="Times New Roman" w:hAnsi="Times New Roman"/>
          <w:sz w:val="18"/>
          <w:szCs w:val="18"/>
          <w:color w:val="auto"/>
        </w:rPr>
        <w:t>has been taken or, to the knowledge of any Obligor, threatened in relation to any Obligor or a Group Member and none of the circumstances described in Clause 24.6 (</w:t>
      </w:r>
      <w:r>
        <w:rPr>
          <w:rFonts w:ascii="Times New Roman" w:cs="Times New Roman" w:eastAsia="Times New Roman" w:hAnsi="Times New Roman"/>
          <w:sz w:val="18"/>
          <w:szCs w:val="18"/>
          <w:i w:val="1"/>
          <w:iCs w:val="1"/>
          <w:color w:val="auto"/>
        </w:rPr>
        <w:t>Insolvency</w:t>
      </w:r>
      <w:r>
        <w:rPr>
          <w:rFonts w:ascii="Times New Roman" w:cs="Times New Roman" w:eastAsia="Times New Roman" w:hAnsi="Times New Roman"/>
          <w:sz w:val="18"/>
          <w:szCs w:val="18"/>
          <w:color w:val="auto"/>
        </w:rPr>
        <w:t>) applies to any Obligor or any Group Member.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20.8</w:t>
      </w:r>
      <w:r>
        <w:rPr>
          <w:sz w:val="20"/>
          <w:szCs w:val="20"/>
          <w:color w:val="auto"/>
        </w:rPr>
        <w:tab/>
      </w:r>
      <w:r>
        <w:rPr>
          <w:rFonts w:ascii="Times New Roman" w:cs="Times New Roman" w:eastAsia="Times New Roman" w:hAnsi="Times New Roman"/>
          <w:sz w:val="17"/>
          <w:szCs w:val="17"/>
          <w:b w:val="1"/>
          <w:bCs w:val="1"/>
          <w:color w:val="auto"/>
        </w:rPr>
        <w:t>Deduction of Tax</w:t>
      </w:r>
    </w:p>
    <w:p>
      <w:pPr>
        <w:spacing w:after="0" w:line="119" w:lineRule="exact"/>
        <w:rPr>
          <w:sz w:val="20"/>
          <w:szCs w:val="20"/>
          <w:color w:val="auto"/>
        </w:rPr>
      </w:pPr>
    </w:p>
    <w:p>
      <w:pPr>
        <w:ind w:left="544" w:right="200"/>
        <w:spacing w:after="0" w:line="284" w:lineRule="auto"/>
        <w:rPr>
          <w:sz w:val="20"/>
          <w:szCs w:val="20"/>
          <w:color w:val="auto"/>
        </w:rPr>
      </w:pPr>
      <w:r>
        <w:rPr>
          <w:rFonts w:ascii="Times New Roman" w:cs="Times New Roman" w:eastAsia="Times New Roman" w:hAnsi="Times New Roman"/>
          <w:sz w:val="18"/>
          <w:szCs w:val="18"/>
          <w:color w:val="auto"/>
        </w:rPr>
        <w:t>No Obligor is required to make any Tax Deduction (as defined in Clause 14.1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from any payment it may make under any Finance Document to a Lender which is:</w:t>
      </w:r>
    </w:p>
    <w:p>
      <w:pPr>
        <w:spacing w:after="0" w:line="66" w:lineRule="exact"/>
        <w:rPr>
          <w:sz w:val="20"/>
          <w:szCs w:val="20"/>
          <w:color w:val="auto"/>
        </w:rPr>
      </w:pPr>
    </w:p>
    <w:p>
      <w:pPr>
        <w:ind w:left="1184" w:hanging="644"/>
        <w:spacing w:after="0"/>
        <w:tabs>
          <w:tab w:leader="none" w:pos="118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Lender:</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4"/>
          </w:cols>
          <w:pgMar w:left="436" w:top="270" w:right="439" w:bottom="1440" w:gutter="0" w:footer="0" w:header="0"/>
        </w:sectPr>
      </w:pPr>
    </w:p>
    <w:bookmarkStart w:id="86" w:name="page87"/>
    <w:bookmarkEnd w:id="86"/>
    <w:p>
      <w:pPr>
        <w:ind w:left="1744" w:hanging="543"/>
        <w:spacing w:after="0"/>
        <w:tabs>
          <w:tab w:leader="none" w:pos="174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falling within paragraph (a)(i) of the definition of Qualifying Lender; or</w:t>
      </w:r>
    </w:p>
    <w:p>
      <w:pPr>
        <w:spacing w:after="0" w:line="130" w:lineRule="exact"/>
        <w:rPr>
          <w:rFonts w:ascii="Times New Roman" w:cs="Times New Roman" w:eastAsia="Times New Roman" w:hAnsi="Times New Roman"/>
          <w:sz w:val="18"/>
          <w:szCs w:val="18"/>
          <w:color w:val="auto"/>
        </w:rPr>
      </w:pPr>
    </w:p>
    <w:p>
      <w:pPr>
        <w:ind w:left="1744" w:right="500" w:hanging="543"/>
        <w:spacing w:after="0" w:line="282" w:lineRule="auto"/>
        <w:tabs>
          <w:tab w:leader="none" w:pos="174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 Direction has been given under section 931 of the ITA in relation to the payment concerned, falling within paragraph (a)(ii) of the definition of Qualifying Lender;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QPP Lender;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falling within paragraph (b) of the definition of Qualifying Lender; or;</w:t>
      </w:r>
    </w:p>
    <w:p>
      <w:pPr>
        <w:spacing w:after="0" w:line="131" w:lineRule="exact"/>
        <w:rPr>
          <w:sz w:val="20"/>
          <w:szCs w:val="20"/>
          <w:color w:val="auto"/>
        </w:rPr>
      </w:pPr>
    </w:p>
    <w:p>
      <w:pPr>
        <w:ind w:left="1184" w:right="40" w:hanging="644"/>
        <w:spacing w:after="0" w:line="282" w:lineRule="auto"/>
        <w:tabs>
          <w:tab w:leader="none" w:pos="118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Treaty Lender and the payment is one specified in a direction given by the Commissioners of Revenue &amp; Customs under Regulation 2 of the Double Taxation Relief (Taxes on Income) (General) Regulations 1970 (SI 1970/488).</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20.9</w:t>
      </w:r>
      <w:r>
        <w:rPr>
          <w:sz w:val="20"/>
          <w:szCs w:val="20"/>
          <w:color w:val="auto"/>
        </w:rPr>
        <w:tab/>
      </w:r>
      <w:r>
        <w:rPr>
          <w:rFonts w:ascii="Times New Roman" w:cs="Times New Roman" w:eastAsia="Times New Roman" w:hAnsi="Times New Roman"/>
          <w:sz w:val="17"/>
          <w:szCs w:val="17"/>
          <w:b w:val="1"/>
          <w:bCs w:val="1"/>
          <w:color w:val="auto"/>
        </w:rPr>
        <w:t>No filing or stamp taxes</w:t>
      </w:r>
    </w:p>
    <w:p>
      <w:pPr>
        <w:spacing w:after="0" w:line="121" w:lineRule="exact"/>
        <w:rPr>
          <w:sz w:val="20"/>
          <w:szCs w:val="20"/>
          <w:color w:val="auto"/>
        </w:rPr>
      </w:pPr>
    </w:p>
    <w:p>
      <w:pPr>
        <w:ind w:left="544" w:right="160"/>
        <w:spacing w:after="0" w:line="261" w:lineRule="auto"/>
        <w:rPr>
          <w:sz w:val="20"/>
          <w:szCs w:val="20"/>
          <w:color w:val="auto"/>
        </w:rPr>
      </w:pPr>
      <w:r>
        <w:rPr>
          <w:rFonts w:ascii="Times New Roman" w:cs="Times New Roman" w:eastAsia="Times New Roman" w:hAnsi="Times New Roman"/>
          <w:sz w:val="18"/>
          <w:szCs w:val="18"/>
          <w:color w:val="auto"/>
        </w:rPr>
        <w:t>Except for any filing with NDRC in accordance with the NDRC Order No. 56, under the law of each Obligor’s Relevant Jurisdiction it is not necessary that the Finance Documents be filed, recorded or enrolled with any court or other authority in that jurisdiction or that any stamp, registration, notarial or similar taxes or fees be paid on or in relation to the Finance Documents or the transactions contemplated by the Finance Documents.</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20.10  No default</w:t>
      </w:r>
    </w:p>
    <w:p>
      <w:pPr>
        <w:spacing w:after="0" w:line="135" w:lineRule="exact"/>
        <w:rPr>
          <w:sz w:val="20"/>
          <w:szCs w:val="20"/>
          <w:color w:val="auto"/>
        </w:rPr>
      </w:pPr>
    </w:p>
    <w:p>
      <w:pPr>
        <w:ind w:left="544" w:right="20" w:hanging="544"/>
        <w:spacing w:after="0" w:line="282" w:lineRule="auto"/>
        <w:tabs>
          <w:tab w:leader="none" w:pos="54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is continuing or might reasonably be expected to result from the making of any Utilisation or the entry into, the performance of, or any transaction contemplated by, any Finance Document.</w:t>
      </w:r>
    </w:p>
    <w:p>
      <w:pPr>
        <w:spacing w:after="0" w:line="67" w:lineRule="exact"/>
        <w:rPr>
          <w:rFonts w:ascii="Times New Roman" w:cs="Times New Roman" w:eastAsia="Times New Roman" w:hAnsi="Times New Roman"/>
          <w:sz w:val="18"/>
          <w:szCs w:val="18"/>
          <w:color w:val="auto"/>
        </w:rPr>
      </w:pPr>
    </w:p>
    <w:p>
      <w:pPr>
        <w:ind w:left="544" w:right="120" w:hanging="544"/>
        <w:spacing w:after="0" w:line="261" w:lineRule="auto"/>
        <w:tabs>
          <w:tab w:leader="none" w:pos="54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any of its Subsidiaries or to which any Obligor’s (or any of its Subsidiaries’) assets are subject which might have a Material Adverse Effect.</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20.11</w:t>
      </w:r>
      <w:r>
        <w:rPr>
          <w:sz w:val="20"/>
          <w:szCs w:val="20"/>
          <w:color w:val="auto"/>
        </w:rPr>
        <w:tab/>
      </w:r>
      <w:r>
        <w:rPr>
          <w:rFonts w:ascii="Times New Roman" w:cs="Times New Roman" w:eastAsia="Times New Roman" w:hAnsi="Times New Roman"/>
          <w:sz w:val="17"/>
          <w:szCs w:val="17"/>
          <w:b w:val="1"/>
          <w:bCs w:val="1"/>
          <w:color w:val="auto"/>
        </w:rPr>
        <w:t>No misleading information</w:t>
      </w:r>
    </w:p>
    <w:p>
      <w:pPr>
        <w:spacing w:after="0" w:line="135" w:lineRule="exact"/>
        <w:rPr>
          <w:sz w:val="20"/>
          <w:szCs w:val="20"/>
          <w:color w:val="auto"/>
        </w:rPr>
      </w:pPr>
    </w:p>
    <w:p>
      <w:pPr>
        <w:jc w:val="both"/>
        <w:ind w:left="544" w:right="80" w:hanging="544"/>
        <w:spacing w:after="0" w:line="266" w:lineRule="auto"/>
        <w:tabs>
          <w:tab w:leader="none" w:pos="54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factual written information provided by any Group Member in relation to the transactions contemplated by any Finance Document was true and accurate in all material respects and was not misleading in any material aspect, in each case as at the date it was provided or as at the date (if any) at which it is stated (being, in the case of the Business Plan, the date of the Business Plan, 17 October 2023).</w:t>
      </w:r>
    </w:p>
    <w:p>
      <w:pPr>
        <w:spacing w:after="0" w:line="81" w:lineRule="exact"/>
        <w:rPr>
          <w:rFonts w:ascii="Times New Roman" w:cs="Times New Roman" w:eastAsia="Times New Roman" w:hAnsi="Times New Roman"/>
          <w:sz w:val="18"/>
          <w:szCs w:val="18"/>
          <w:color w:val="auto"/>
        </w:rPr>
      </w:pPr>
    </w:p>
    <w:p>
      <w:pPr>
        <w:jc w:val="both"/>
        <w:ind w:left="544" w:right="20" w:hanging="544"/>
        <w:spacing w:after="0" w:line="266" w:lineRule="auto"/>
        <w:tabs>
          <w:tab w:leader="none" w:pos="54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projections or forecasts made by a Group Member and contained in the Business Plan have been prepared on the basis of historical information that was recent as at the date of the Business Plan (being 17 October 2023), on the basis of assumptions that were reasonable and fair as at the date of the Business Plan (being 17 October 2023), and arrived at after careful consideration.</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respect of the Business Plan:</w:t>
      </w:r>
    </w:p>
    <w:p>
      <w:pPr>
        <w:spacing w:after="0" w:line="130"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circumstance has occurred or arisen and no information has been omitted from any information provided in respect of any of the paragraphs (a) and (b) above; and</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4"/>
          </w:cols>
          <w:pgMar w:left="436" w:top="270" w:right="439" w:bottom="1440" w:gutter="0" w:footer="0" w:header="0"/>
        </w:sectPr>
      </w:pPr>
    </w:p>
    <w:bookmarkStart w:id="87" w:name="page88"/>
    <w:bookmarkEnd w:id="87"/>
    <w:p>
      <w:pPr>
        <w:ind w:left="1184" w:hanging="644"/>
        <w:spacing w:after="0"/>
        <w:tabs>
          <w:tab w:leader="none" w:pos="1184"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information has been given or withheld that results in the foregoing being untrue or misleading in any material respect.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Business Plan: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circumstance had occurred or arisen and no information had been omitted from any information provided; and</w:t>
      </w:r>
    </w:p>
    <w:p>
      <w:pPr>
        <w:spacing w:after="0" w:line="131" w:lineRule="exact"/>
        <w:rPr>
          <w:sz w:val="20"/>
          <w:szCs w:val="20"/>
          <w:color w:val="auto"/>
        </w:rPr>
      </w:pPr>
    </w:p>
    <w:p>
      <w:pPr>
        <w:ind w:left="544" w:right="620" w:hanging="4"/>
        <w:spacing w:after="0" w:line="381" w:lineRule="auto"/>
        <w:tabs>
          <w:tab w:leader="none" w:pos="118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had been given or withheld that resulted in the Business Plan being untrue or misleading in any material respect, in each case as at the date of the Business Plan, being 17 October 2023.</w:t>
      </w:r>
    </w:p>
    <w:p>
      <w:pPr>
        <w:ind w:left="4"/>
        <w:spacing w:after="0"/>
        <w:rPr>
          <w:sz w:val="20"/>
          <w:szCs w:val="20"/>
          <w:color w:val="auto"/>
        </w:rPr>
      </w:pPr>
      <w:r>
        <w:rPr>
          <w:rFonts w:ascii="Times New Roman" w:cs="Times New Roman" w:eastAsia="Times New Roman" w:hAnsi="Times New Roman"/>
          <w:sz w:val="18"/>
          <w:szCs w:val="18"/>
          <w:b w:val="1"/>
          <w:bCs w:val="1"/>
          <w:color w:val="auto"/>
        </w:rPr>
        <w:t>20.12  Financial statements</w:t>
      </w:r>
    </w:p>
    <w:p>
      <w:pPr>
        <w:spacing w:after="0" w:line="135" w:lineRule="exact"/>
        <w:rPr>
          <w:sz w:val="20"/>
          <w:szCs w:val="20"/>
          <w:color w:val="auto"/>
        </w:rPr>
      </w:pPr>
    </w:p>
    <w:p>
      <w:pPr>
        <w:ind w:left="544" w:right="40" w:hanging="544"/>
        <w:spacing w:after="0" w:line="266" w:lineRule="auto"/>
        <w:tabs>
          <w:tab w:leader="none" w:pos="5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financial statements most recently supplied to the Agent (which, at the date of this Agreement, are the Original Financial Statements) were prepared in accordance with the Accounting Principles consistently applied save to the extent expressly disclosed in such financial statements.</w:t>
      </w:r>
    </w:p>
    <w:p>
      <w:pPr>
        <w:spacing w:after="0" w:line="81" w:lineRule="exact"/>
        <w:rPr>
          <w:rFonts w:ascii="Times New Roman" w:cs="Times New Roman" w:eastAsia="Times New Roman" w:hAnsi="Times New Roman"/>
          <w:sz w:val="18"/>
          <w:szCs w:val="18"/>
          <w:color w:val="auto"/>
        </w:rPr>
      </w:pPr>
    </w:p>
    <w:p>
      <w:pPr>
        <w:ind w:left="544" w:right="40" w:hanging="544"/>
        <w:spacing w:after="0" w:line="266" w:lineRule="auto"/>
        <w:tabs>
          <w:tab w:leader="none" w:pos="5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financial statements most recently supplied to the Agent (which, at the date of this Agreement, are the Original Financial Statements) give a true and fair view of (if audited) or fairly present (if unaudited) the relevant person’s financial condition as at the end of the relevant financial year and its results of operations as at the end of and for the relevant financial year (consolidated in each case).</w:t>
      </w:r>
    </w:p>
    <w:p>
      <w:pPr>
        <w:spacing w:after="0" w:line="81" w:lineRule="exact"/>
        <w:rPr>
          <w:rFonts w:ascii="Times New Roman" w:cs="Times New Roman" w:eastAsia="Times New Roman" w:hAnsi="Times New Roman"/>
          <w:sz w:val="18"/>
          <w:szCs w:val="18"/>
          <w:color w:val="auto"/>
        </w:rPr>
      </w:pPr>
    </w:p>
    <w:p>
      <w:pPr>
        <w:ind w:left="544" w:right="100" w:hanging="544"/>
        <w:spacing w:after="0" w:line="282" w:lineRule="auto"/>
        <w:tabs>
          <w:tab w:leader="none" w:pos="5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budgets and forecasts supplied under this Agreement were arrived at after careful consideration and have been prepared in good faith on the basis of recent historical information and on the basis of assumptions which were reasonable as at the date they were prepared and supplied.</w:t>
      </w:r>
    </w:p>
    <w:p>
      <w:pPr>
        <w:spacing w:after="0" w:line="67" w:lineRule="exact"/>
        <w:rPr>
          <w:rFonts w:ascii="Times New Roman" w:cs="Times New Roman" w:eastAsia="Times New Roman" w:hAnsi="Times New Roman"/>
          <w:sz w:val="18"/>
          <w:szCs w:val="18"/>
          <w:color w:val="auto"/>
        </w:rPr>
      </w:pPr>
    </w:p>
    <w:p>
      <w:pPr>
        <w:ind w:left="544" w:right="380" w:hanging="544"/>
        <w:spacing w:after="0" w:line="282" w:lineRule="auto"/>
        <w:tabs>
          <w:tab w:leader="none" w:pos="5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in the business, or financial condition of the Group, in each case, as a whole since the date of the Original Financial Statements.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20.13  Pari passu ranking</w:t>
      </w:r>
    </w:p>
    <w:p>
      <w:pPr>
        <w:spacing w:after="0" w:line="133" w:lineRule="exact"/>
        <w:rPr>
          <w:sz w:val="20"/>
          <w:szCs w:val="20"/>
          <w:color w:val="auto"/>
        </w:rPr>
      </w:pPr>
    </w:p>
    <w:p>
      <w:pPr>
        <w:ind w:left="544" w:right="200" w:hanging="544"/>
        <w:spacing w:after="0" w:line="267" w:lineRule="auto"/>
        <w:tabs>
          <w:tab w:leader="none" w:pos="54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specified in Clause 20.5 (</w:t>
      </w:r>
      <w:r>
        <w:rPr>
          <w:rFonts w:ascii="Times New Roman" w:cs="Times New Roman" w:eastAsia="Times New Roman" w:hAnsi="Times New Roman"/>
          <w:sz w:val="18"/>
          <w:szCs w:val="18"/>
          <w:i w:val="1"/>
          <w:iCs w:val="1"/>
          <w:color w:val="auto"/>
        </w:rPr>
        <w:t>Validity and admissibility in evidence</w:t>
      </w:r>
      <w:r>
        <w:rPr>
          <w:rFonts w:ascii="Times New Roman" w:cs="Times New Roman" w:eastAsia="Times New Roman" w:hAnsi="Times New Roman"/>
          <w:sz w:val="18"/>
          <w:szCs w:val="18"/>
          <w:color w:val="auto"/>
        </w:rPr>
        <w:t xml:space="preserve">) and to the Legal Reservations, the Security has or will have the ranking in priority which it is expressed to have in the Security Documents and it is not subject to any prior ranking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ranking Security.</w:t>
      </w:r>
    </w:p>
    <w:p>
      <w:pPr>
        <w:spacing w:after="0" w:line="78" w:lineRule="exact"/>
        <w:rPr>
          <w:rFonts w:ascii="Times New Roman" w:cs="Times New Roman" w:eastAsia="Times New Roman" w:hAnsi="Times New Roman"/>
          <w:sz w:val="18"/>
          <w:szCs w:val="18"/>
          <w:color w:val="auto"/>
        </w:rPr>
      </w:pPr>
    </w:p>
    <w:p>
      <w:pPr>
        <w:ind w:left="544" w:right="80" w:hanging="544"/>
        <w:spacing w:after="0" w:line="315" w:lineRule="auto"/>
        <w:tabs>
          <w:tab w:leader="none" w:pos="544"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paragraph (a) above, each Obligor’s payment obligations under the Finance Documents rank at least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claims of all its other unsecured and unsubordinated creditors, except for obligations mandatorily preferred by law applying to companies generally.</w:t>
      </w:r>
    </w:p>
    <w:p>
      <w:pPr>
        <w:spacing w:after="0" w:line="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20.14  No proceedings</w:t>
      </w:r>
    </w:p>
    <w:p>
      <w:pPr>
        <w:spacing w:after="0" w:line="135" w:lineRule="exact"/>
        <w:rPr>
          <w:sz w:val="20"/>
          <w:szCs w:val="20"/>
          <w:color w:val="auto"/>
        </w:rPr>
      </w:pPr>
    </w:p>
    <w:p>
      <w:pPr>
        <w:jc w:val="both"/>
        <w:ind w:left="544" w:right="280" w:hanging="544"/>
        <w:spacing w:after="0" w:line="266" w:lineRule="auto"/>
        <w:tabs>
          <w:tab w:leader="none" w:pos="54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litigation, arbitration, administrative, governmental, criminal, regulatory or other investigative proceedings of or before any court, arbitral body or agency which, if adversely determined, might reasonably be expected to have a Material Adverse Effect has or have (to the best of its knowledge and belief (having made due and careful enquiry)) been started or threatened against any Obligor or any Group Member.</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24"/>
          </w:cols>
          <w:pgMar w:left="436" w:top="270" w:right="439" w:bottom="1440" w:gutter="0" w:footer="0" w:header="0"/>
        </w:sectPr>
      </w:pPr>
    </w:p>
    <w:bookmarkStart w:id="88" w:name="page89"/>
    <w:bookmarkEnd w:id="88"/>
    <w:p>
      <w:pPr>
        <w:ind w:left="544" w:right="160" w:hanging="544"/>
        <w:spacing w:after="0" w:line="282" w:lineRule="auto"/>
        <w:tabs>
          <w:tab w:leader="none" w:pos="54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judgment or order of a court, arbitral body or agency which might reasonably be expected to have a Material Adverse Effect has (to the best of its knowledge and belief) been made against any Obligor or any Group Member.</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20.15  No breach of laws</w:t>
      </w:r>
    </w:p>
    <w:p>
      <w:pPr>
        <w:spacing w:after="0" w:line="135" w:lineRule="exact"/>
        <w:rPr>
          <w:sz w:val="20"/>
          <w:szCs w:val="20"/>
          <w:color w:val="auto"/>
        </w:rPr>
      </w:pPr>
    </w:p>
    <w:p>
      <w:pPr>
        <w:ind w:left="544" w:right="380" w:hanging="544"/>
        <w:spacing w:after="0" w:line="282" w:lineRule="auto"/>
        <w:tabs>
          <w:tab w:leader="none" w:pos="54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has (and none of its Subsidiaries has) breached any law or regulation which breach has or is reasonably likely to have a Material Adverse Effect.</w:t>
      </w:r>
    </w:p>
    <w:p>
      <w:pPr>
        <w:spacing w:after="0" w:line="67" w:lineRule="exact"/>
        <w:rPr>
          <w:rFonts w:ascii="Times New Roman" w:cs="Times New Roman" w:eastAsia="Times New Roman" w:hAnsi="Times New Roman"/>
          <w:sz w:val="18"/>
          <w:szCs w:val="18"/>
          <w:color w:val="auto"/>
        </w:rPr>
      </w:pPr>
    </w:p>
    <w:p>
      <w:pPr>
        <w:ind w:left="544" w:right="240" w:hanging="544"/>
        <w:spacing w:after="0" w:line="282" w:lineRule="auto"/>
        <w:tabs>
          <w:tab w:leader="none" w:pos="54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labour disputes are current or, to the best of its knowledge and belief (having made due and careful enquiry), threatened against any Group Member which have or are reasonably likely to have a Material Adverse Effect.</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20.16  Environmental laws</w:t>
      </w:r>
    </w:p>
    <w:p>
      <w:pPr>
        <w:spacing w:after="0" w:line="133" w:lineRule="exact"/>
        <w:rPr>
          <w:sz w:val="20"/>
          <w:szCs w:val="20"/>
          <w:color w:val="auto"/>
        </w:rPr>
      </w:pPr>
    </w:p>
    <w:p>
      <w:pPr>
        <w:ind w:left="544" w:right="140" w:hanging="544"/>
        <w:spacing w:after="0" w:line="267" w:lineRule="auto"/>
        <w:tabs>
          <w:tab w:leader="none" w:pos="54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Member is in compliance with Clause 23.15 (</w:t>
      </w:r>
      <w:r>
        <w:rPr>
          <w:rFonts w:ascii="Times New Roman" w:cs="Times New Roman" w:eastAsia="Times New Roman" w:hAnsi="Times New Roman"/>
          <w:sz w:val="18"/>
          <w:szCs w:val="18"/>
          <w:i w:val="1"/>
          <w:iCs w:val="1"/>
          <w:color w:val="auto"/>
        </w:rPr>
        <w:t>Environmental compliance</w:t>
      </w:r>
      <w:r>
        <w:rPr>
          <w:rFonts w:ascii="Times New Roman" w:cs="Times New Roman" w:eastAsia="Times New Roman" w:hAnsi="Times New Roman"/>
          <w:sz w:val="18"/>
          <w:szCs w:val="18"/>
          <w:color w:val="auto"/>
        </w:rPr>
        <w:t>) and to the best of the knowledge and belief of any Group Member (having made due and careful enquiry) no circumstances have occurred which would prevent such compliance in a manner or to an extent which has or is reasonably likely to have a Material Adverse Effect.</w:t>
      </w:r>
    </w:p>
    <w:p>
      <w:pPr>
        <w:spacing w:after="0" w:line="80" w:lineRule="exact"/>
        <w:rPr>
          <w:rFonts w:ascii="Times New Roman" w:cs="Times New Roman" w:eastAsia="Times New Roman" w:hAnsi="Times New Roman"/>
          <w:sz w:val="18"/>
          <w:szCs w:val="18"/>
          <w:color w:val="auto"/>
        </w:rPr>
      </w:pPr>
    </w:p>
    <w:p>
      <w:pPr>
        <w:ind w:left="544" w:right="20" w:hanging="544"/>
        <w:spacing w:after="0" w:line="266" w:lineRule="auto"/>
        <w:tabs>
          <w:tab w:leader="none" w:pos="54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Environmental Claim has been commenced or (to the best of the knowledge and belief of any Group Member (having made due and careful enquiry)) is threatened against any Group Member where that claim has or is reasonably likely if determined against that Group Member, to have a Material Adverse Effect.</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20.17  Taxation</w:t>
      </w:r>
    </w:p>
    <w:p>
      <w:pPr>
        <w:spacing w:after="0" w:line="135" w:lineRule="exact"/>
        <w:rPr>
          <w:sz w:val="20"/>
          <w:szCs w:val="20"/>
          <w:color w:val="auto"/>
        </w:rPr>
      </w:pPr>
    </w:p>
    <w:p>
      <w:pPr>
        <w:ind w:left="544" w:hanging="544"/>
        <w:spacing w:after="0"/>
        <w:tabs>
          <w:tab w:leader="none" w:pos="54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Member or Obligor is overdue in the payment of any Taxes required to be paid by it other than any Taxes: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contested by it in good faith and in accordance with the relevant procedures;</w:t>
      </w:r>
    </w:p>
    <w:p>
      <w:pPr>
        <w:spacing w:after="0" w:line="130"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have been disclosed to the MLABs and the MLAs and for which adequate reserves are being maintained in accordance with the Accounting Principles; and</w:t>
      </w:r>
    </w:p>
    <w:p>
      <w:pPr>
        <w:spacing w:after="0" w:line="67"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payment can be lawfully withheld and will not result in the imposition of any penalty nor in any Security ranking in priority to the claims of any Finance Party under any Finance Document or to any Security created under any Security Document.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is resident for Tax purposes only in its Original Jurisdiction.</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20.18  Anti-corruption and anti-money laundering</w:t>
      </w:r>
    </w:p>
    <w:p>
      <w:pPr>
        <w:spacing w:after="0" w:line="135" w:lineRule="exact"/>
        <w:rPr>
          <w:sz w:val="20"/>
          <w:szCs w:val="20"/>
          <w:color w:val="auto"/>
        </w:rPr>
      </w:pPr>
    </w:p>
    <w:p>
      <w:pPr>
        <w:ind w:left="544" w:right="80" w:hanging="544"/>
        <w:spacing w:after="0" w:line="261" w:lineRule="auto"/>
        <w:tabs>
          <w:tab w:leader="none" w:pos="54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their respective Subsidiaries and (to the best of their knowledge and belief) their Affiliates, each of their respective directors, officers, employees, agents and any other person acting on their behalf, have conducted their businesses in compliance with applicable Anti-Corruption Laws and AML/CTF Laws and have instituted and maintained policies and procedures designed to promote, achieve and are reasonably expected to ensure continued compliance with applicable Anti-Corruption Laws and AML/CTF Laws</w:t>
      </w:r>
      <w:r>
        <w:rPr>
          <w:rFonts w:ascii="Times New Roman" w:cs="Times New Roman" w:eastAsia="Times New Roman" w:hAnsi="Times New Roman"/>
          <w:sz w:val="18"/>
          <w:szCs w:val="18"/>
          <w:i w:val="1"/>
          <w:iCs w:val="1"/>
          <w:color w:val="auto"/>
        </w:rPr>
        <w:t>.</w:t>
      </w:r>
    </w:p>
    <w:p>
      <w:pPr>
        <w:spacing w:after="0" w:line="11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4"/>
          </w:cols>
          <w:pgMar w:left="436" w:top="270" w:right="439" w:bottom="1440" w:gutter="0" w:footer="0" w:header="0"/>
        </w:sectPr>
      </w:pPr>
    </w:p>
    <w:bookmarkStart w:id="89" w:name="page90"/>
    <w:bookmarkEnd w:id="89"/>
    <w:p>
      <w:pPr>
        <w:ind w:left="544" w:right="20" w:hanging="544"/>
        <w:spacing w:after="0" w:line="266" w:lineRule="auto"/>
        <w:tabs>
          <w:tab w:leader="none" w:pos="54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Obligors or their respective Subsidiaries, nor, to their knowledge, any director, officer, agent, employee, Affiliate or other person acting on behalf of any of the Obligors or their respective Subsidiaries is aware of or has taken any action, directly or indirectly, that would result in a violation by such persons of any applicable Anti-Corruption Laws and AML/CTF Laws.</w:t>
      </w:r>
    </w:p>
    <w:p>
      <w:pPr>
        <w:spacing w:after="0" w:line="81" w:lineRule="exact"/>
        <w:rPr>
          <w:rFonts w:ascii="Times New Roman" w:cs="Times New Roman" w:eastAsia="Times New Roman" w:hAnsi="Times New Roman"/>
          <w:sz w:val="18"/>
          <w:szCs w:val="18"/>
          <w:color w:val="auto"/>
        </w:rPr>
      </w:pPr>
    </w:p>
    <w:p>
      <w:pPr>
        <w:jc w:val="both"/>
        <w:ind w:left="544" w:right="80" w:hanging="544"/>
        <w:spacing w:after="0" w:line="266" w:lineRule="auto"/>
        <w:tabs>
          <w:tab w:leader="none" w:pos="54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by or before any court or governmental agency, authority or body or any arbitrator involving any Obligor or any of its Subsidiaries, any of their Affiliates or any of their respective directors, officers, agents or employees, in each case, with respect to applicable Anti-Corruption Laws and AML/CTF Laws is pending or, to the best of its knowledge, threatened.</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20.19  Sanctions</w:t>
      </w:r>
    </w:p>
    <w:p>
      <w:pPr>
        <w:spacing w:after="0" w:line="121" w:lineRule="exact"/>
        <w:rPr>
          <w:sz w:val="20"/>
          <w:szCs w:val="20"/>
          <w:color w:val="auto"/>
        </w:rPr>
      </w:pPr>
    </w:p>
    <w:p>
      <w:pPr>
        <w:ind w:left="544" w:right="360"/>
        <w:spacing w:after="0" w:line="282" w:lineRule="auto"/>
        <w:rPr>
          <w:sz w:val="20"/>
          <w:szCs w:val="20"/>
          <w:color w:val="auto"/>
        </w:rPr>
      </w:pPr>
      <w:r>
        <w:rPr>
          <w:rFonts w:ascii="Times New Roman" w:cs="Times New Roman" w:eastAsia="Times New Roman" w:hAnsi="Times New Roman"/>
          <w:sz w:val="18"/>
          <w:szCs w:val="18"/>
          <w:color w:val="auto"/>
        </w:rPr>
        <w:t>None of the Obligors or their respective Subsidiaries, or any of their respective directors, Affiliates, officers, employees, beneficial owner or agents:</w:t>
      </w:r>
    </w:p>
    <w:p>
      <w:pPr>
        <w:spacing w:after="0" w:line="67" w:lineRule="exact"/>
        <w:rPr>
          <w:sz w:val="20"/>
          <w:szCs w:val="20"/>
          <w:color w:val="auto"/>
        </w:rPr>
      </w:pPr>
    </w:p>
    <w:p>
      <w:pPr>
        <w:ind w:left="1184" w:hanging="644"/>
        <w:spacing w:after="0"/>
        <w:tabs>
          <w:tab w:leader="none" w:pos="118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Sanctioned Person;</w:t>
      </w:r>
    </w:p>
    <w:p>
      <w:pPr>
        <w:spacing w:after="0" w:line="130" w:lineRule="exact"/>
        <w:rPr>
          <w:rFonts w:ascii="Times New Roman" w:cs="Times New Roman" w:eastAsia="Times New Roman" w:hAnsi="Times New Roman"/>
          <w:sz w:val="18"/>
          <w:szCs w:val="18"/>
          <w:color w:val="auto"/>
        </w:rPr>
      </w:pPr>
    </w:p>
    <w:p>
      <w:pPr>
        <w:ind w:left="1184" w:right="140" w:hanging="644"/>
        <w:spacing w:after="0" w:line="266" w:lineRule="auto"/>
        <w:tabs>
          <w:tab w:leader="none" w:pos="118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engaged in any transaction, activity or conduct (i) that might result in it or any of them being designated as a Sanctioned Person or (ii) with any Asset Freeze Target or (iii) with any other Sanctioned Person in violation of Sanctions or (iv) in any Sanctioned Country; or</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in breach of or is the subject of any action or investigation under any applicable Sanctions.</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20.20  Good title to assets</w:t>
      </w:r>
    </w:p>
    <w:p>
      <w:pPr>
        <w:spacing w:after="0" w:line="121" w:lineRule="exact"/>
        <w:rPr>
          <w:sz w:val="20"/>
          <w:szCs w:val="20"/>
          <w:color w:val="auto"/>
        </w:rPr>
      </w:pPr>
    </w:p>
    <w:p>
      <w:pPr>
        <w:ind w:left="544" w:right="160"/>
        <w:spacing w:after="0" w:line="266" w:lineRule="auto"/>
        <w:rPr>
          <w:sz w:val="20"/>
          <w:szCs w:val="20"/>
          <w:color w:val="auto"/>
        </w:rPr>
      </w:pPr>
      <w:r>
        <w:rPr>
          <w:rFonts w:ascii="Times New Roman" w:cs="Times New Roman" w:eastAsia="Times New Roman" w:hAnsi="Times New Roman"/>
          <w:sz w:val="18"/>
          <w:szCs w:val="18"/>
          <w:color w:val="auto"/>
        </w:rPr>
        <w:t>Each Obligor and each of its Subsidiaries has a good, valid and marketable title to, or valid leases or licences of, and all appropriate Authorisations to use, the assets necessary to carry on its business as presently conducted (including but not limited to the vehicle inventories it may own).</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20.21  Legal and beneficial ownership</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relevant Obligor is the sole legal and beneficial owner of the respective assets over which it purports to grant Transaction Security.</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20.22  Group Structure Chart</w:t>
      </w:r>
    </w:p>
    <w:p>
      <w:pPr>
        <w:spacing w:after="0" w:line="119" w:lineRule="exact"/>
        <w:rPr>
          <w:sz w:val="20"/>
          <w:szCs w:val="20"/>
          <w:color w:val="auto"/>
        </w:rPr>
      </w:pPr>
    </w:p>
    <w:p>
      <w:pPr>
        <w:ind w:left="544" w:right="320"/>
        <w:spacing w:after="0" w:line="267" w:lineRule="auto"/>
        <w:rPr>
          <w:sz w:val="20"/>
          <w:szCs w:val="20"/>
          <w:color w:val="auto"/>
        </w:rPr>
      </w:pPr>
      <w:r>
        <w:rPr>
          <w:rFonts w:ascii="Times New Roman" w:cs="Times New Roman" w:eastAsia="Times New Roman" w:hAnsi="Times New Roman"/>
          <w:sz w:val="18"/>
          <w:szCs w:val="18"/>
          <w:color w:val="auto"/>
        </w:rPr>
        <w:t>The Group Structure Chart delivered to the Agent pursuant to Clause 4.1 (</w:t>
      </w:r>
      <w:r>
        <w:rPr>
          <w:rFonts w:ascii="Times New Roman" w:cs="Times New Roman" w:eastAsia="Times New Roman" w:hAnsi="Times New Roman"/>
          <w:sz w:val="18"/>
          <w:szCs w:val="18"/>
          <w:i w:val="1"/>
          <w:iCs w:val="1"/>
          <w:color w:val="auto"/>
        </w:rPr>
        <w:t>Initial conditions precedent</w:t>
      </w:r>
      <w:r>
        <w:rPr>
          <w:rFonts w:ascii="Times New Roman" w:cs="Times New Roman" w:eastAsia="Times New Roman" w:hAnsi="Times New Roman"/>
          <w:sz w:val="18"/>
          <w:szCs w:val="18"/>
          <w:color w:val="auto"/>
        </w:rPr>
        <w:t>) or most recently delivered pursuant to paragraph (d) of Clause 21.4 (</w:t>
      </w:r>
      <w:r>
        <w:rPr>
          <w:rFonts w:ascii="Times New Roman" w:cs="Times New Roman" w:eastAsia="Times New Roman" w:hAnsi="Times New Roman"/>
          <w:sz w:val="18"/>
          <w:szCs w:val="18"/>
          <w:i w:val="1"/>
          <w:iCs w:val="1"/>
          <w:color w:val="auto"/>
        </w:rPr>
        <w:t>Information: miscellaneous</w:t>
      </w:r>
      <w:r>
        <w:rPr>
          <w:rFonts w:ascii="Times New Roman" w:cs="Times New Roman" w:eastAsia="Times New Roman" w:hAnsi="Times New Roman"/>
          <w:sz w:val="18"/>
          <w:szCs w:val="18"/>
          <w:color w:val="auto"/>
        </w:rPr>
        <w:t>) is true, complete and accurate in all material respects and shows the following information:</w:t>
      </w:r>
    </w:p>
    <w:p>
      <w:pPr>
        <w:spacing w:after="0" w:line="81" w:lineRule="exact"/>
        <w:rPr>
          <w:sz w:val="20"/>
          <w:szCs w:val="20"/>
          <w:color w:val="auto"/>
        </w:rPr>
      </w:pPr>
    </w:p>
    <w:p>
      <w:pPr>
        <w:ind w:left="1184" w:right="60" w:hanging="644"/>
        <w:spacing w:after="0" w:line="266" w:lineRule="auto"/>
        <w:tabs>
          <w:tab w:leader="none" w:pos="118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each Group Member, including current name and company registration number, its Original Jurisdiction (in the case of an Obligor), its jurisdiction of incorporation (in the case of a Group Member which is not an Obligor) and/or its jurisdiction of establishment, a list of shareholders and indicating whether a company is not a company with limited liability; and</w:t>
      </w:r>
    </w:p>
    <w:p>
      <w:pPr>
        <w:spacing w:after="0" w:line="81" w:lineRule="exact"/>
        <w:rPr>
          <w:rFonts w:ascii="Times New Roman" w:cs="Times New Roman" w:eastAsia="Times New Roman" w:hAnsi="Times New Roman"/>
          <w:sz w:val="18"/>
          <w:szCs w:val="18"/>
          <w:color w:val="auto"/>
        </w:rPr>
      </w:pPr>
    </w:p>
    <w:p>
      <w:pPr>
        <w:ind w:left="1184" w:right="460" w:hanging="644"/>
        <w:spacing w:after="0" w:line="282" w:lineRule="auto"/>
        <w:tabs>
          <w:tab w:leader="none" w:pos="118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minority interests in any Group Member and any person in which any Group Member holds shares in its issued share capital or equivalent ownership interest of such person.</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4"/>
          </w:cols>
          <w:pgMar w:left="436" w:top="270" w:right="439" w:bottom="1440" w:gutter="0" w:footer="0" w:header="0"/>
        </w:sectPr>
      </w:pPr>
    </w:p>
    <w:bookmarkStart w:id="90" w:name="page91"/>
    <w:bookmarkEnd w:id="9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20.23  No adverse consequences</w:t>
      </w:r>
    </w:p>
    <w:p>
      <w:pPr>
        <w:spacing w:after="0" w:line="135" w:lineRule="exact"/>
        <w:rPr>
          <w:sz w:val="20"/>
          <w:szCs w:val="20"/>
          <w:color w:val="auto"/>
        </w:rPr>
      </w:pPr>
    </w:p>
    <w:p>
      <w:pPr>
        <w:ind w:left="544" w:hanging="544"/>
        <w:spacing w:after="0"/>
        <w:tabs>
          <w:tab w:leader="none" w:pos="54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necessary under the laws of any Obligor’s Relevant Jurisdictions: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enable any Finance Party to enforce its rights under any Finance Document; or</w:t>
      </w:r>
    </w:p>
    <w:p>
      <w:pPr>
        <w:spacing w:after="0" w:line="130" w:lineRule="exact"/>
        <w:rPr>
          <w:rFonts w:ascii="Times New Roman" w:cs="Times New Roman" w:eastAsia="Times New Roman" w:hAnsi="Times New Roman"/>
          <w:sz w:val="18"/>
          <w:szCs w:val="18"/>
          <w:color w:val="auto"/>
        </w:rPr>
      </w:pPr>
    </w:p>
    <w:p>
      <w:pPr>
        <w:ind w:left="544" w:right="780" w:hanging="4"/>
        <w:spacing w:after="0" w:line="406" w:lineRule="auto"/>
        <w:tabs>
          <w:tab w:leader="none" w:pos="1181" w:val="left"/>
        </w:tabs>
        <w:numPr>
          <w:ilvl w:val="1"/>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reason of the execution of any Finance Document or the performance by it of its obligations under any Finance Document, that any Finance Party should be licensed, qualified or otherwise entitled to carry on business in any of its Relevant Jurisdictions.</w:t>
      </w:r>
    </w:p>
    <w:p>
      <w:pPr>
        <w:ind w:left="544" w:right="580" w:hanging="544"/>
        <w:spacing w:after="0" w:line="282" w:lineRule="auto"/>
        <w:tabs>
          <w:tab w:leader="none" w:pos="54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Finance Party is or will be deemed to be resident, domiciled or carrying on business in its Relevant Jurisdictions by reason only of the execution, performance and/or enforcement of any Finance Document.</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20.24  Centre of main interests and establishments</w:t>
      </w:r>
    </w:p>
    <w:p>
      <w:pPr>
        <w:spacing w:after="0" w:line="121" w:lineRule="exact"/>
        <w:rPr>
          <w:sz w:val="20"/>
          <w:szCs w:val="20"/>
          <w:color w:val="auto"/>
        </w:rPr>
      </w:pPr>
    </w:p>
    <w:p>
      <w:pPr>
        <w:ind w:left="544" w:right="40"/>
        <w:spacing w:after="0" w:line="266" w:lineRule="auto"/>
        <w:rPr>
          <w:sz w:val="20"/>
          <w:szCs w:val="20"/>
          <w:color w:val="auto"/>
        </w:rPr>
      </w:pPr>
      <w:r>
        <w:rPr>
          <w:rFonts w:ascii="Times New Roman" w:cs="Times New Roman" w:eastAsia="Times New Roman" w:hAnsi="Times New Roman"/>
          <w:sz w:val="18"/>
          <w:szCs w:val="18"/>
          <w:color w:val="auto"/>
        </w:rPr>
        <w:t>Each Obligor’s centre of main interest (as that term is used in Article 3(1) of Regulation (EU) 2015/848 of 20 May 2015 on insolvency proceedings (recast) (the Regulation)) (COMI) is situated in its Original Jurisdiction and it has no “establishment” (as that term is used in Article 2(10) of the Regulation) in any other jurisdiction.</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20.25  Authorised signatures</w:t>
      </w:r>
    </w:p>
    <w:p>
      <w:pPr>
        <w:spacing w:after="0" w:line="11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Any person specified as each Obligor’s authorised signatory under Schedule 2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or paragraph (f) of Clause 21.4</w:t>
      </w:r>
    </w:p>
    <w:p>
      <w:pPr>
        <w:spacing w:after="0" w:line="2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Information: miscellaneous</w:t>
      </w:r>
      <w:r>
        <w:rPr>
          <w:rFonts w:ascii="Times New Roman" w:cs="Times New Roman" w:eastAsia="Times New Roman" w:hAnsi="Times New Roman"/>
          <w:sz w:val="18"/>
          <w:szCs w:val="18"/>
          <w:color w:val="auto"/>
        </w:rPr>
        <w:t>) is authorised to sign the Utilisation Request (in the case of the Company only) and other notices on its behalf.</w:t>
      </w: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20.26  Repetition</w:t>
      </w:r>
    </w:p>
    <w:p>
      <w:pPr>
        <w:spacing w:after="0" w:line="121" w:lineRule="exact"/>
        <w:rPr>
          <w:sz w:val="20"/>
          <w:szCs w:val="20"/>
          <w:color w:val="auto"/>
        </w:rPr>
      </w:pPr>
    </w:p>
    <w:p>
      <w:pPr>
        <w:ind w:left="544" w:right="180"/>
        <w:spacing w:after="0" w:line="282" w:lineRule="auto"/>
        <w:rPr>
          <w:sz w:val="20"/>
          <w:szCs w:val="20"/>
          <w:color w:val="auto"/>
        </w:rPr>
      </w:pPr>
      <w:r>
        <w:rPr>
          <w:rFonts w:ascii="Times New Roman" w:cs="Times New Roman" w:eastAsia="Times New Roman" w:hAnsi="Times New Roman"/>
          <w:sz w:val="18"/>
          <w:szCs w:val="18"/>
          <w:color w:val="auto"/>
        </w:rPr>
        <w:t>The Repeating Representations are deemed to be made by each Obligor by reference to the facts and circumstances then existing on the date of each Utilisation Request, each Utilisation Date and the first day of each Interest Period.</w:t>
      </w:r>
    </w:p>
    <w:p>
      <w:pPr>
        <w:spacing w:after="0" w:line="306" w:lineRule="exact"/>
        <w:rPr>
          <w:sz w:val="20"/>
          <w:szCs w:val="20"/>
          <w:color w:val="auto"/>
        </w:rPr>
      </w:pPr>
    </w:p>
    <w:p>
      <w:pPr>
        <w:ind w:left="544" w:hanging="544"/>
        <w:spacing w:after="0"/>
        <w:tabs>
          <w:tab w:leader="none" w:pos="544"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UNDERTAKINGS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undertakings in this Clause 21 remain in force from the Signing Date for so long as any amount is outstanding under the Finance Documents or any Commitment is in force.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Borrower shall supply (or procure to be supplied) to the Agent in sufficient copies for all the Lenders:</w:t>
      </w:r>
    </w:p>
    <w:p>
      <w:pPr>
        <w:spacing w:after="0" w:line="131" w:lineRule="exact"/>
        <w:rPr>
          <w:sz w:val="20"/>
          <w:szCs w:val="20"/>
          <w:color w:val="auto"/>
        </w:rPr>
      </w:pPr>
    </w:p>
    <w:p>
      <w:pPr>
        <w:ind w:left="1184" w:right="20" w:hanging="644"/>
        <w:spacing w:after="0" w:line="261" w:lineRule="auto"/>
        <w:tabs>
          <w:tab w:leader="none" w:pos="118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 same become available, but in any event within the later of (i) 120 days after the end of each Financial Year or (ii) the filing deadline for the Annual Report on Form 20-F imposed on foreign private issuers by the U.S. Securities Exchange Commission’ in respect of the Borrower (starting from the Financial Year ending on 31 December 2023) its audited consolidated financial statements for that Financial Year; and</w:t>
      </w:r>
    </w:p>
    <w:p>
      <w:pPr>
        <w:spacing w:after="0" w:line="85" w:lineRule="exact"/>
        <w:rPr>
          <w:rFonts w:ascii="Times New Roman" w:cs="Times New Roman" w:eastAsia="Times New Roman" w:hAnsi="Times New Roman"/>
          <w:sz w:val="18"/>
          <w:szCs w:val="18"/>
          <w:color w:val="auto"/>
        </w:rPr>
      </w:pPr>
    </w:p>
    <w:p>
      <w:pPr>
        <w:ind w:left="1184" w:right="660" w:hanging="644"/>
        <w:spacing w:after="0" w:line="282" w:lineRule="auto"/>
        <w:tabs>
          <w:tab w:leader="none" w:pos="118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 same become available, but in any event within 60 days after the end of each Financial Quarter (starting from the Financial Quarter ending on 31 March 2024) its consolidated management accounts for that Financial Quarter.</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4"/>
          </w:cols>
          <w:pgMar w:left="436" w:top="266" w:right="439" w:bottom="1440" w:gutter="0" w:footer="0" w:header="0"/>
        </w:sectPr>
      </w:pPr>
    </w:p>
    <w:bookmarkStart w:id="91" w:name="page92"/>
    <w:bookmarkEnd w:id="91"/>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21.2</w:t>
      </w:r>
      <w:r>
        <w:rPr>
          <w:sz w:val="20"/>
          <w:szCs w:val="20"/>
          <w:color w:val="auto"/>
        </w:rPr>
        <w:tab/>
      </w:r>
      <w:r>
        <w:rPr>
          <w:rFonts w:ascii="Times New Roman" w:cs="Times New Roman" w:eastAsia="Times New Roman" w:hAnsi="Times New Roman"/>
          <w:sz w:val="17"/>
          <w:szCs w:val="17"/>
          <w:b w:val="1"/>
          <w:bCs w:val="1"/>
          <w:color w:val="auto"/>
        </w:rPr>
        <w:t>Provision and contents of Compliance Certificate</w:t>
      </w:r>
    </w:p>
    <w:p>
      <w:pPr>
        <w:spacing w:after="0" w:line="135" w:lineRule="exact"/>
        <w:rPr>
          <w:sz w:val="20"/>
          <w:szCs w:val="20"/>
          <w:color w:val="auto"/>
        </w:rPr>
      </w:pPr>
    </w:p>
    <w:p>
      <w:pPr>
        <w:ind w:left="544" w:right="460" w:hanging="544"/>
        <w:spacing w:after="0" w:line="312" w:lineRule="auto"/>
        <w:tabs>
          <w:tab w:leader="none" w:pos="544"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supply a Compliance Certificate to the Agent with each set of the Annual Financial Statements and Quarterly Financial Statements (except for the Quarterly Financial Statements relating to a Financial Quarter ending on 31 December of each calendar year).</w:t>
      </w:r>
    </w:p>
    <w:p>
      <w:pPr>
        <w:spacing w:after="0" w:line="43" w:lineRule="exact"/>
        <w:rPr>
          <w:rFonts w:ascii="Times New Roman" w:cs="Times New Roman" w:eastAsia="Times New Roman" w:hAnsi="Times New Roman"/>
          <w:sz w:val="17"/>
          <w:szCs w:val="17"/>
          <w:color w:val="auto"/>
        </w:rPr>
      </w:pPr>
    </w:p>
    <w:p>
      <w:pPr>
        <w:ind w:left="544" w:right="100" w:hanging="544"/>
        <w:spacing w:after="0" w:line="261" w:lineRule="auto"/>
        <w:tabs>
          <w:tab w:leader="none" w:pos="54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Compliance Certificate shall, amongst other things, set out (in reasonable detail) computations as to compliance with Clause 22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as at the date as at which those financial statements were drawn up, and, for the avoidance of doubt, shall include the then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Cash, Group Cash Equivalent Investment and Available Credit available to the Group and such other information as may be reasonably required by the Agent for it to verify each such computation.</w:t>
      </w:r>
    </w:p>
    <w:p>
      <w:pPr>
        <w:spacing w:after="0" w:line="8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notify the Agent under each Compliance Certificate if a Default or Event of Default has occurred.</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Compliance Certificate shall be signed by a director of the Borrower.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Requirements as to financial statements</w:t>
      </w:r>
    </w:p>
    <w:p>
      <w:pPr>
        <w:spacing w:after="0" w:line="133" w:lineRule="exact"/>
        <w:rPr>
          <w:sz w:val="20"/>
          <w:szCs w:val="20"/>
          <w:color w:val="auto"/>
        </w:rPr>
      </w:pPr>
    </w:p>
    <w:p>
      <w:pPr>
        <w:ind w:left="544" w:right="60" w:hanging="544"/>
        <w:spacing w:after="0" w:line="267" w:lineRule="auto"/>
        <w:tabs>
          <w:tab w:leader="none" w:pos="54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set of financial statements or management accounts delivered by the Borrower pursuant to Clause 21.1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shall include a balance sheet, profit and loss account and cashflow statement, and be certified by a director of the Borrower as fairly presenting its financial condition as at the date as at which those financial statements were drawn up.</w:t>
      </w:r>
    </w:p>
    <w:p>
      <w:pPr>
        <w:spacing w:after="0" w:line="78" w:lineRule="exact"/>
        <w:rPr>
          <w:rFonts w:ascii="Times New Roman" w:cs="Times New Roman" w:eastAsia="Times New Roman" w:hAnsi="Times New Roman"/>
          <w:sz w:val="18"/>
          <w:szCs w:val="18"/>
          <w:color w:val="auto"/>
        </w:rPr>
      </w:pPr>
    </w:p>
    <w:p>
      <w:pPr>
        <w:ind w:left="544" w:right="300" w:hanging="544"/>
        <w:spacing w:after="0" w:line="258" w:lineRule="auto"/>
        <w:tabs>
          <w:tab w:leader="none" w:pos="54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procure that each set of financial statements or management accounts delivered pursuant to Clause 21.1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is prepared using the applicable Accounting Principles, accounting practices and financial reference periods consistent with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applied in the preparation of the Original Financial Statements for that person unless, in relation to any set of financial statements or management accounts, it notifies the Agent that there has been a change in the relevant Accounting Principles, the accounting practices or reference periods and delivers to the Agent:</w:t>
      </w:r>
    </w:p>
    <w:p>
      <w:pPr>
        <w:spacing w:after="0" w:line="90" w:lineRule="exact"/>
        <w:rPr>
          <w:rFonts w:ascii="Times New Roman" w:cs="Times New Roman" w:eastAsia="Times New Roman" w:hAnsi="Times New Roman"/>
          <w:sz w:val="18"/>
          <w:szCs w:val="18"/>
          <w:color w:val="auto"/>
        </w:rPr>
      </w:pPr>
    </w:p>
    <w:p>
      <w:pPr>
        <w:ind w:left="1184" w:right="480" w:hanging="644"/>
        <w:spacing w:after="0" w:line="282" w:lineRule="auto"/>
        <w:tabs>
          <w:tab w:leader="none" w:pos="1184"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change necessary for those financial statements or management accounts to reflect the Accounting Principles, accounting practices and reference periods upon which that person’s Original Financial Statements were prepared; and</w:t>
      </w:r>
    </w:p>
    <w:p>
      <w:pPr>
        <w:spacing w:after="0" w:line="67" w:lineRule="exact"/>
        <w:rPr>
          <w:rFonts w:ascii="Times New Roman" w:cs="Times New Roman" w:eastAsia="Times New Roman" w:hAnsi="Times New Roman"/>
          <w:sz w:val="18"/>
          <w:szCs w:val="18"/>
          <w:color w:val="auto"/>
        </w:rPr>
      </w:pPr>
    </w:p>
    <w:p>
      <w:pPr>
        <w:jc w:val="both"/>
        <w:ind w:left="1184" w:right="160" w:hanging="644"/>
        <w:spacing w:after="0" w:line="266" w:lineRule="auto"/>
        <w:tabs>
          <w:tab w:leader="none" w:pos="1184"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information, in form and substance as may be reasonably required by the Agent, to enable the Lenders to determine whether Clause 22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has been complied with and make an accurate comparison between the financial position indicated in those financial statements or management accounts and that person’s Original Financial Statements.</w:t>
      </w:r>
    </w:p>
    <w:p>
      <w:pPr>
        <w:spacing w:after="0" w:line="68" w:lineRule="exact"/>
        <w:rPr>
          <w:sz w:val="20"/>
          <w:szCs w:val="20"/>
          <w:color w:val="auto"/>
        </w:rPr>
      </w:pPr>
    </w:p>
    <w:p>
      <w:pPr>
        <w:ind w:left="544" w:right="540"/>
        <w:spacing w:after="0" w:line="282" w:lineRule="auto"/>
        <w:rPr>
          <w:sz w:val="20"/>
          <w:szCs w:val="20"/>
          <w:color w:val="auto"/>
        </w:rPr>
      </w:pPr>
      <w:r>
        <w:rPr>
          <w:rFonts w:ascii="Times New Roman" w:cs="Times New Roman" w:eastAsia="Times New Roman" w:hAnsi="Times New Roman"/>
          <w:sz w:val="18"/>
          <w:szCs w:val="18"/>
          <w:color w:val="auto"/>
        </w:rPr>
        <w:t>Any reference in this Agreement to those financial statements or management accounts shall be construed as a reference to those financial statements as adjusted to reflect the basis upon which the Original Financial Statements were prepared.</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24"/>
          </w:cols>
          <w:pgMar w:left="436" w:top="266" w:right="439" w:bottom="1440" w:gutter="0" w:footer="0" w:header="0"/>
        </w:sectPr>
      </w:pPr>
    </w:p>
    <w:bookmarkStart w:id="92" w:name="page93"/>
    <w:bookmarkEnd w:id="92"/>
    <w:p>
      <w:pPr>
        <w:ind w:left="544" w:right="100" w:hanging="544"/>
        <w:spacing w:after="0" w:line="281" w:lineRule="auto"/>
        <w:tabs>
          <w:tab w:leader="none" w:pos="544"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Borrower notifies the Agent of a change in accordance with paragraph (b) above, the Borrower and the Agent shall enter into negotiations in good faith with a view to agreeing any amendments to this Agreement which are necessary as a result of the change. To the extent practicable these amendments will be such as to ensure that the change does not result in any material alteration in the commercial effect of the obligations in this Agreement. If any amendments are agreed they shall take effect and be binding on each of the Parties in accordance with their terms.</w:t>
      </w:r>
    </w:p>
    <w:p>
      <w:pPr>
        <w:spacing w:after="0" w:line="6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Information: miscellaneous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Borrower shall supply to the Agent (in sufficient copies for all the Lenders, if the Agent so requests):</w:t>
      </w:r>
    </w:p>
    <w:p>
      <w:pPr>
        <w:spacing w:after="0" w:line="131" w:lineRule="exact"/>
        <w:rPr>
          <w:sz w:val="20"/>
          <w:szCs w:val="20"/>
          <w:color w:val="auto"/>
        </w:rPr>
      </w:pPr>
    </w:p>
    <w:p>
      <w:pPr>
        <w:ind w:left="1184" w:right="180" w:hanging="644"/>
        <w:spacing w:after="0" w:line="282" w:lineRule="auto"/>
        <w:tabs>
          <w:tab w:leader="none" w:pos="118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they are dispatched, copies of all documents dispatched by the Borrower to its shareholders generally (or any class of them) or dispatched by the Borrower or any Obligors to its creditors generally (or any class of them);</w:t>
      </w:r>
    </w:p>
    <w:p>
      <w:pPr>
        <w:spacing w:after="0" w:line="67" w:lineRule="exact"/>
        <w:rPr>
          <w:rFonts w:ascii="Times New Roman" w:cs="Times New Roman" w:eastAsia="Times New Roman" w:hAnsi="Times New Roman"/>
          <w:sz w:val="18"/>
          <w:szCs w:val="18"/>
          <w:color w:val="auto"/>
        </w:rPr>
      </w:pPr>
    </w:p>
    <w:p>
      <w:pPr>
        <w:ind w:left="1184" w:right="20" w:hanging="644"/>
        <w:spacing w:after="0" w:line="266" w:lineRule="auto"/>
        <w:tabs>
          <w:tab w:leader="none" w:pos="118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becoming aware of them, the details of any litigation, arbitration, administrative, governmental, criminal, regulatory or other investigative proceedings which are current, threatened or pending against any Obligor or any Group Member (including from any Sanctions Authority), and which, if adversely determined, are reasonably likely to have a Material Adverse Effect;</w:t>
      </w:r>
    </w:p>
    <w:p>
      <w:pPr>
        <w:spacing w:after="0" w:line="81"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becoming aware of them, the details of any judgment or order of a court, arbitral body or agency which is made against any Obligor or any Group Member, and which might have a Material Adverse Effect;</w:t>
      </w:r>
    </w:p>
    <w:p>
      <w:pPr>
        <w:spacing w:after="0" w:line="67" w:lineRule="exact"/>
        <w:rPr>
          <w:rFonts w:ascii="Times New Roman" w:cs="Times New Roman" w:eastAsia="Times New Roman" w:hAnsi="Times New Roman"/>
          <w:sz w:val="18"/>
          <w:szCs w:val="18"/>
          <w:color w:val="auto"/>
        </w:rPr>
      </w:pPr>
    </w:p>
    <w:p>
      <w:pPr>
        <w:ind w:left="1184" w:right="200" w:hanging="644"/>
        <w:spacing w:after="0" w:line="266" w:lineRule="auto"/>
        <w:tabs>
          <w:tab w:leader="none" w:pos="118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each Financial Quarter, if there has been any change to the Group structure, a revised Group Structure Chart on the date falling 14 days after the last day thereof. If this sub-paragraph (d) is applicable, the Borrower shall notify the Agent in writing of such change promptly on or prior to such change;</w:t>
      </w:r>
    </w:p>
    <w:p>
      <w:pPr>
        <w:spacing w:after="0" w:line="81" w:lineRule="exact"/>
        <w:rPr>
          <w:rFonts w:ascii="Times New Roman" w:cs="Times New Roman" w:eastAsia="Times New Roman" w:hAnsi="Times New Roman"/>
          <w:sz w:val="18"/>
          <w:szCs w:val="18"/>
          <w:color w:val="auto"/>
        </w:rPr>
      </w:pPr>
    </w:p>
    <w:p>
      <w:pPr>
        <w:ind w:left="1184" w:right="220" w:hanging="644"/>
        <w:spacing w:after="0" w:line="282" w:lineRule="auto"/>
        <w:tabs>
          <w:tab w:leader="none" w:pos="118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information as the Security Agent may reasonably require about the Charged Property and compliance of the Obligors with the terms of any Security Document;</w:t>
      </w:r>
    </w:p>
    <w:p>
      <w:pPr>
        <w:spacing w:after="0" w:line="67" w:lineRule="exact"/>
        <w:rPr>
          <w:rFonts w:ascii="Times New Roman" w:cs="Times New Roman" w:eastAsia="Times New Roman" w:hAnsi="Times New Roman"/>
          <w:sz w:val="18"/>
          <w:szCs w:val="18"/>
          <w:color w:val="auto"/>
        </w:rPr>
      </w:pPr>
    </w:p>
    <w:p>
      <w:pPr>
        <w:ind w:left="1184" w:right="460" w:hanging="644"/>
        <w:spacing w:after="0" w:line="282" w:lineRule="auto"/>
        <w:tabs>
          <w:tab w:leader="none" w:pos="118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notice of any change in authorised signatories of any Obligor signed by a director or company secretary of such Obligor accompanied by specimen signatures of any new authorised signatories; and</w:t>
      </w:r>
    </w:p>
    <w:p>
      <w:pPr>
        <w:spacing w:after="0" w:line="67"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on request such further information regarding the financial condition, assets and operations of the Group and/or any Group Member as any Finance Party (through the Agent) may reasonably request.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6"/>
          <w:szCs w:val="16"/>
          <w:b w:val="1"/>
          <w:bCs w:val="1"/>
          <w:color w:val="auto"/>
        </w:rPr>
        <w:t>Year-end</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No Accounting Reference Date may be changed.</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Notification of default</w:t>
      </w:r>
    </w:p>
    <w:p>
      <w:pPr>
        <w:spacing w:after="0" w:line="135" w:lineRule="exact"/>
        <w:rPr>
          <w:sz w:val="20"/>
          <w:szCs w:val="20"/>
          <w:color w:val="auto"/>
        </w:rPr>
      </w:pPr>
    </w:p>
    <w:p>
      <w:pPr>
        <w:ind w:left="544" w:right="320" w:hanging="544"/>
        <w:spacing w:after="0" w:line="266" w:lineRule="auto"/>
        <w:tabs>
          <w:tab w:leader="none" w:pos="54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(and shall procure that each other Obligor will) shall notify the Agent of any Default (and the steps, if any, being taken to remedy it) promptly upon becoming aware of its occurrence (unless that Obligor is aware that a notification has already been provided by another Obligor).</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4"/>
          </w:cols>
          <w:pgMar w:left="436" w:top="270" w:right="439" w:bottom="1440" w:gutter="0" w:footer="0" w:header="0"/>
        </w:sectPr>
      </w:pPr>
    </w:p>
    <w:bookmarkStart w:id="93" w:name="page94"/>
    <w:bookmarkEnd w:id="93"/>
    <w:p>
      <w:pPr>
        <w:ind w:left="544" w:right="120" w:hanging="544"/>
        <w:spacing w:after="0" w:line="266" w:lineRule="auto"/>
        <w:tabs>
          <w:tab w:leader="none" w:pos="54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upon a request by the Agent, the Borrower shall supply to the Agent a certificate signed by two of its directors or senior officers on its behalf certifying that no Default is continuing (or if a Default is continuing, specifying the Default and the steps, if any, being taken to remedy it).</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Direct electronic delivery by Borrower</w:t>
      </w:r>
    </w:p>
    <w:p>
      <w:pPr>
        <w:spacing w:after="0" w:line="121" w:lineRule="exact"/>
        <w:rPr>
          <w:sz w:val="20"/>
          <w:szCs w:val="20"/>
          <w:color w:val="auto"/>
        </w:rPr>
      </w:pPr>
    </w:p>
    <w:p>
      <w:pPr>
        <w:ind w:left="544" w:right="220"/>
        <w:spacing w:after="0" w:line="312" w:lineRule="auto"/>
        <w:rPr>
          <w:sz w:val="20"/>
          <w:szCs w:val="20"/>
          <w:color w:val="auto"/>
        </w:rPr>
      </w:pPr>
      <w:r>
        <w:rPr>
          <w:rFonts w:ascii="Times New Roman" w:cs="Times New Roman" w:eastAsia="Times New Roman" w:hAnsi="Times New Roman"/>
          <w:sz w:val="17"/>
          <w:szCs w:val="17"/>
          <w:color w:val="auto"/>
        </w:rPr>
        <w:t>The Borrower may satisfy its obligation under this Agreement to deliver any information in relation to a Lender by delivering that information directly in accordance with Clause 34.5 (</w:t>
      </w:r>
      <w:r>
        <w:rPr>
          <w:rFonts w:ascii="Times New Roman" w:cs="Times New Roman" w:eastAsia="Times New Roman" w:hAnsi="Times New Roman"/>
          <w:sz w:val="17"/>
          <w:szCs w:val="17"/>
          <w:i w:val="1"/>
          <w:iCs w:val="1"/>
          <w:color w:val="auto"/>
        </w:rPr>
        <w:t>Electronic communication</w:t>
      </w:r>
      <w:r>
        <w:rPr>
          <w:rFonts w:ascii="Times New Roman" w:cs="Times New Roman" w:eastAsia="Times New Roman" w:hAnsi="Times New Roman"/>
          <w:sz w:val="17"/>
          <w:szCs w:val="17"/>
          <w:color w:val="auto"/>
        </w:rPr>
        <w:t>) to the extent that Lender and the Agent agree to this method of delivery.</w:t>
      </w:r>
    </w:p>
    <w:p>
      <w:pPr>
        <w:spacing w:after="0" w:line="4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21.8</w:t>
        <w:tab/>
        <w:t>Anti-corruption information</w:t>
      </w:r>
    </w:p>
    <w:p>
      <w:pPr>
        <w:spacing w:after="0" w:line="121" w:lineRule="exact"/>
        <w:rPr>
          <w:sz w:val="20"/>
          <w:szCs w:val="20"/>
          <w:color w:val="auto"/>
        </w:rPr>
      </w:pPr>
    </w:p>
    <w:p>
      <w:pPr>
        <w:ind w:left="544" w:right="20"/>
        <w:spacing w:after="0" w:line="282" w:lineRule="auto"/>
        <w:rPr>
          <w:sz w:val="20"/>
          <w:szCs w:val="20"/>
          <w:color w:val="auto"/>
        </w:rPr>
      </w:pPr>
      <w:r>
        <w:rPr>
          <w:rFonts w:ascii="Times New Roman" w:cs="Times New Roman" w:eastAsia="Times New Roman" w:hAnsi="Times New Roman"/>
          <w:sz w:val="18"/>
          <w:szCs w:val="18"/>
          <w:color w:val="auto"/>
        </w:rPr>
        <w:t>Unless such disclosure would constitute a breach of any applicable law or regulation, the Borrower shall supply to the Agent (in sufficient copies for all the Lenders, if the Agent so requests):</w:t>
      </w:r>
    </w:p>
    <w:p>
      <w:pPr>
        <w:spacing w:after="0" w:line="67" w:lineRule="exact"/>
        <w:rPr>
          <w:sz w:val="20"/>
          <w:szCs w:val="20"/>
          <w:color w:val="auto"/>
        </w:rPr>
      </w:pPr>
    </w:p>
    <w:p>
      <w:pPr>
        <w:ind w:left="1184" w:right="280" w:hanging="644"/>
        <w:spacing w:after="0" w:line="266" w:lineRule="auto"/>
        <w:tabs>
          <w:tab w:leader="none" w:pos="118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becoming aware of them, the details of any actual violation by, or creation of liability for, any Obligor, any Group Member or any agent, director, employee or officer of any Obligor or any Group Member (or any counterparty of any such person in relation to any transaction contemplated by a Finance Document) of or in relation to any Anti-Corruption Laws; and</w:t>
      </w:r>
    </w:p>
    <w:p>
      <w:pPr>
        <w:spacing w:after="0" w:line="81" w:lineRule="exact"/>
        <w:rPr>
          <w:rFonts w:ascii="Times New Roman" w:cs="Times New Roman" w:eastAsia="Times New Roman" w:hAnsi="Times New Roman"/>
          <w:sz w:val="18"/>
          <w:szCs w:val="18"/>
          <w:color w:val="auto"/>
        </w:rPr>
      </w:pPr>
    </w:p>
    <w:p>
      <w:pPr>
        <w:ind w:left="1184" w:right="740" w:hanging="644"/>
        <w:spacing w:after="0" w:line="282" w:lineRule="auto"/>
        <w:tabs>
          <w:tab w:leader="none" w:pos="118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request by any Finance Party (through the Agent), such further information relating to any matter referred to in paragraph (a) above as that Finance Party may reasonably require.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21.9</w:t>
      </w:r>
      <w:r>
        <w:rPr>
          <w:sz w:val="20"/>
          <w:szCs w:val="20"/>
          <w:color w:val="auto"/>
        </w:rPr>
        <w:tab/>
      </w:r>
      <w:r>
        <w:rPr>
          <w:rFonts w:ascii="Times New Roman" w:cs="Times New Roman" w:eastAsia="Times New Roman" w:hAnsi="Times New Roman"/>
          <w:sz w:val="17"/>
          <w:szCs w:val="17"/>
          <w:b w:val="1"/>
          <w:bCs w:val="1"/>
          <w:color w:val="auto"/>
        </w:rPr>
        <w:t>“Know your customer” checks</w:t>
      </w:r>
    </w:p>
    <w:p>
      <w:pPr>
        <w:spacing w:after="0" w:line="135" w:lineRule="exact"/>
        <w:rPr>
          <w:sz w:val="20"/>
          <w:szCs w:val="20"/>
          <w:color w:val="auto"/>
        </w:rPr>
      </w:pPr>
    </w:p>
    <w:p>
      <w:pPr>
        <w:ind w:left="544" w:hanging="544"/>
        <w:spacing w:after="0"/>
        <w:tabs>
          <w:tab w:leader="none" w:pos="54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30" w:lineRule="exact"/>
        <w:rPr>
          <w:rFonts w:ascii="Times New Roman" w:cs="Times New Roman" w:eastAsia="Times New Roman" w:hAnsi="Times New Roman"/>
          <w:sz w:val="18"/>
          <w:szCs w:val="18"/>
          <w:color w:val="auto"/>
        </w:rPr>
      </w:pPr>
    </w:p>
    <w:p>
      <w:pPr>
        <w:ind w:left="1184" w:right="460" w:hanging="644"/>
        <w:spacing w:after="0" w:line="282" w:lineRule="auto"/>
        <w:tabs>
          <w:tab w:leader="none" w:pos="1184"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or any change in (or in the interpretation, administration or application of) any law or regulation made after the Signing Date;</w:t>
      </w:r>
    </w:p>
    <w:p>
      <w:pPr>
        <w:spacing w:after="0" w:line="67"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status of an Obligor (or of a Holding Company of an Obligor) or the composition of the shareholders of an Obligor after the Signing Date; or</w:t>
      </w:r>
    </w:p>
    <w:p>
      <w:pPr>
        <w:spacing w:after="0" w:line="67"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assignment or transfer by a Lender of any of its rights and/or obligations under this Agreement to a party that is not a Lender prior to such assignment or transfer,</w:t>
      </w:r>
    </w:p>
    <w:p>
      <w:pPr>
        <w:spacing w:after="0" w:line="54" w:lineRule="exact"/>
        <w:rPr>
          <w:sz w:val="20"/>
          <w:szCs w:val="20"/>
          <w:color w:val="auto"/>
        </w:rPr>
      </w:pPr>
    </w:p>
    <w:p>
      <w:pPr>
        <w:ind w:left="544" w:right="100"/>
        <w:spacing w:after="0" w:line="255" w:lineRule="auto"/>
        <w:rPr>
          <w:sz w:val="20"/>
          <w:szCs w:val="20"/>
          <w:color w:val="auto"/>
        </w:rPr>
      </w:pPr>
      <w:r>
        <w:rPr>
          <w:rFonts w:ascii="Times New Roman" w:cs="Times New Roman" w:eastAsia="Times New Roman" w:hAnsi="Times New Roman"/>
          <w:sz w:val="18"/>
          <w:szCs w:val="18"/>
          <w:color w:val="auto"/>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21"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24"/>
          </w:cols>
          <w:pgMar w:left="436" w:top="270" w:right="439" w:bottom="1440" w:gutter="0" w:footer="0" w:header="0"/>
        </w:sectPr>
      </w:pPr>
    </w:p>
    <w:bookmarkStart w:id="94" w:name="page95"/>
    <w:bookmarkEnd w:id="94"/>
    <w:p>
      <w:pPr>
        <w:ind w:left="544" w:right="60" w:hanging="544"/>
        <w:spacing w:after="0" w:line="289" w:lineRule="auto"/>
        <w:tabs>
          <w:tab w:leader="none" w:pos="544"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302" w:lineRule="exact"/>
        <w:rPr>
          <w:sz w:val="20"/>
          <w:szCs w:val="20"/>
          <w:color w:val="auto"/>
        </w:rPr>
      </w:pPr>
    </w:p>
    <w:p>
      <w:pPr>
        <w:ind w:left="4" w:right="8280" w:hanging="4"/>
        <w:spacing w:after="0" w:line="385" w:lineRule="auto"/>
        <w:tabs>
          <w:tab w:leader="none" w:pos="544"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COVENANTS 22.1 Financial definitions</w:t>
      </w:r>
    </w:p>
    <w:p>
      <w:pPr>
        <w:spacing w:after="0" w:line="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w:t>
      </w:r>
    </w:p>
    <w:p>
      <w:pPr>
        <w:spacing w:after="0" w:line="113"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Bank</w:t>
      </w:r>
      <w:r>
        <w:rPr>
          <w:rFonts w:ascii="Times New Roman" w:cs="Times New Roman" w:eastAsia="Times New Roman" w:hAnsi="Times New Roman"/>
          <w:sz w:val="18"/>
          <w:szCs w:val="18"/>
          <w:color w:val="auto"/>
        </w:rPr>
        <w:t>” means:</w:t>
      </w:r>
    </w:p>
    <w:p>
      <w:pPr>
        <w:spacing w:after="0" w:line="134"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Original Lender;</w:t>
      </w:r>
    </w:p>
    <w:p>
      <w:pPr>
        <w:spacing w:after="0" w:line="130"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or financial institution which has a rating for its long-term unsecured and non-credit-enhanced debt obligations of BBB or higher by Standard &amp; Poor’s Rating Services or Fitch Ratings Ltd or Baa2 or higher by Moody’s Investors Service Limited or a comparable rating from an internationally recognised credit rating agency; or</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bank or financial institution approved by the Agent.</w:t>
      </w:r>
    </w:p>
    <w:p>
      <w:pPr>
        <w:spacing w:after="0" w:line="113" w:lineRule="exact"/>
        <w:rPr>
          <w:sz w:val="20"/>
          <w:szCs w:val="20"/>
          <w:color w:val="auto"/>
        </w:rPr>
      </w:pPr>
    </w:p>
    <w:p>
      <w:pPr>
        <w:ind w:left="544" w:right="6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Credit</w:t>
      </w:r>
      <w:r>
        <w:rPr>
          <w:rFonts w:ascii="Times New Roman" w:cs="Times New Roman" w:eastAsia="Times New Roman" w:hAnsi="Times New Roman"/>
          <w:sz w:val="18"/>
          <w:szCs w:val="18"/>
          <w:color w:val="auto"/>
        </w:rPr>
        <w:t>” means in relation to any person and as at any date, any maximum available commitments under any of its committed facilities which are available to that person according to the terms of the relevant credit agreement (provided that no event of default is outstanding under such credit agreement) as of that date.</w:t>
      </w:r>
    </w:p>
    <w:p>
      <w:pPr>
        <w:spacing w:after="0" w:line="63" w:lineRule="exact"/>
        <w:rPr>
          <w:sz w:val="20"/>
          <w:szCs w:val="20"/>
          <w:color w:val="auto"/>
        </w:rPr>
      </w:pPr>
    </w:p>
    <w:p>
      <w:pPr>
        <w:ind w:left="544" w:right="4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Capex</w:t>
      </w:r>
      <w:r>
        <w:rPr>
          <w:rFonts w:ascii="Times New Roman" w:cs="Times New Roman" w:eastAsia="Times New Roman" w:hAnsi="Times New Roman"/>
          <w:sz w:val="18"/>
          <w:szCs w:val="18"/>
          <w:color w:val="auto"/>
        </w:rPr>
        <w:t>” means any expenditure or obligation in respect of expenditure which, in accordance with the applicable Accounting Principles, is treated as capital expenditure (including, for the avoidance of doubt, (i) the capital element of any expenditure or obligation incurred in connection with Capitalised Lease Obligations and (ii) any expenditure incurred in connection with any Capex Acquisition).</w:t>
      </w:r>
    </w:p>
    <w:p>
      <w:pPr>
        <w:spacing w:after="0" w:line="6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Capex Acquisition</w:t>
      </w:r>
      <w:r>
        <w:rPr>
          <w:rFonts w:ascii="Times New Roman" w:cs="Times New Roman" w:eastAsia="Times New Roman" w:hAnsi="Times New Roman"/>
          <w:sz w:val="18"/>
          <w:szCs w:val="18"/>
          <w:color w:val="auto"/>
        </w:rPr>
        <w:t>” means the acquisition of a company (or any equity interests in a company) where the following criteria are met:</w:t>
      </w:r>
    </w:p>
    <w:p>
      <w:pPr>
        <w:spacing w:after="0" w:line="135" w:lineRule="exact"/>
        <w:rPr>
          <w:sz w:val="20"/>
          <w:szCs w:val="20"/>
          <w:color w:val="auto"/>
        </w:rPr>
      </w:pPr>
    </w:p>
    <w:p>
      <w:pPr>
        <w:ind w:left="1184" w:right="120" w:hanging="644"/>
        <w:spacing w:after="0" w:line="266" w:lineRule="auto"/>
        <w:tabs>
          <w:tab w:leader="none" w:pos="118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material assets of that company are assets (the direct acquisition of which would be treated as capital expenditure in the financial statements of the acquiror in accordance with the applicable Accounting Principles) and other assets that are incidental to and non-material to such first-mentioned assets; and</w:t>
      </w:r>
    </w:p>
    <w:p>
      <w:pPr>
        <w:spacing w:after="0" w:line="81" w:lineRule="exact"/>
        <w:rPr>
          <w:rFonts w:ascii="Times New Roman" w:cs="Times New Roman" w:eastAsia="Times New Roman" w:hAnsi="Times New Roman"/>
          <w:sz w:val="18"/>
          <w:szCs w:val="18"/>
          <w:color w:val="auto"/>
        </w:rPr>
      </w:pPr>
    </w:p>
    <w:p>
      <w:pPr>
        <w:ind w:left="1184" w:right="180" w:hanging="644"/>
        <w:spacing w:after="0" w:line="282" w:lineRule="auto"/>
        <w:tabs>
          <w:tab w:leader="none" w:pos="118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company has no or a de minimis number of employees or such greater number of employees required to service and maintain the assets referred to in paragraph (a).</w:t>
      </w:r>
    </w:p>
    <w:p>
      <w:pPr>
        <w:spacing w:after="0" w:line="50" w:lineRule="exact"/>
        <w:rPr>
          <w:sz w:val="20"/>
          <w:szCs w:val="20"/>
          <w:color w:val="auto"/>
        </w:rPr>
      </w:pPr>
    </w:p>
    <w:p>
      <w:pPr>
        <w:jc w:val="both"/>
        <w:ind w:left="544" w:right="3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Capitalised Lease Obligations</w:t>
      </w:r>
      <w:r>
        <w:rPr>
          <w:rFonts w:ascii="Times New Roman" w:cs="Times New Roman" w:eastAsia="Times New Roman" w:hAnsi="Times New Roman"/>
          <w:sz w:val="18"/>
          <w:szCs w:val="18"/>
          <w:color w:val="auto"/>
        </w:rPr>
        <w:t>” means with respect to any person, any rental obligation (including any hire purchase payment obligation) which, under the applicable Accounting Principles, would be required to be treated as a Finance Lease or otherwise capitalised in the audited financial statements of that person, but only to the extent of that treatment.</w:t>
      </w:r>
    </w:p>
    <w:p>
      <w:pPr>
        <w:spacing w:after="0" w:line="63" w:lineRule="exact"/>
        <w:rPr>
          <w:sz w:val="20"/>
          <w:szCs w:val="20"/>
          <w:color w:val="auto"/>
        </w:rPr>
      </w:pPr>
    </w:p>
    <w:p>
      <w:pPr>
        <w:ind w:left="544"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Group Assets</w:t>
      </w:r>
      <w:r>
        <w:rPr>
          <w:rFonts w:ascii="Times New Roman" w:cs="Times New Roman" w:eastAsia="Times New Roman" w:hAnsi="Times New Roman"/>
          <w:sz w:val="18"/>
          <w:szCs w:val="18"/>
          <w:color w:val="auto"/>
        </w:rPr>
        <w:t>” means, in respect of the Group, its consolidated gross assets as at the end of a financial period as shown in the financial statements or management accounts of the Group in relation to such financial period.</w:t>
      </w:r>
    </w:p>
    <w:p>
      <w:pPr>
        <w:spacing w:after="0" w:line="91"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24"/>
          </w:cols>
          <w:pgMar w:left="436" w:top="270" w:right="439" w:bottom="1440" w:gutter="0" w:footer="0" w:header="0"/>
        </w:sectPr>
      </w:pPr>
    </w:p>
    <w:bookmarkStart w:id="95" w:name="page96"/>
    <w:bookmarkEnd w:id="95"/>
    <w:p>
      <w:pPr>
        <w:ind w:left="540" w:right="4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Consolidated Group Financial Indebtedness</w:t>
      </w:r>
      <w:r>
        <w:rPr>
          <w:rFonts w:ascii="Times New Roman" w:cs="Times New Roman" w:eastAsia="Times New Roman" w:hAnsi="Times New Roman"/>
          <w:sz w:val="18"/>
          <w:szCs w:val="18"/>
          <w:color w:val="auto"/>
        </w:rPr>
        <w:t>” means, in respect of the Group, its consolidated Financial Indebtedness which is interest-bearing and not (or not required to) subordinated to the Facilities pursuant to the Subordination Deed, or otherwise on terms in form and satisfactory to the Agent.</w:t>
      </w:r>
    </w:p>
    <w:p>
      <w:pPr>
        <w:spacing w:after="0" w:line="63" w:lineRule="exact"/>
        <w:rPr>
          <w:sz w:val="20"/>
          <w:szCs w:val="20"/>
          <w:color w:val="auto"/>
        </w:rPr>
      </w:pPr>
    </w:p>
    <w:p>
      <w:pPr>
        <w:ind w:left="540" w:right="56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Group Secured Financial Indebtedness</w:t>
      </w:r>
      <w:r>
        <w:rPr>
          <w:rFonts w:ascii="Times New Roman" w:cs="Times New Roman" w:eastAsia="Times New Roman" w:hAnsi="Times New Roman"/>
          <w:sz w:val="17"/>
          <w:szCs w:val="17"/>
          <w:color w:val="auto"/>
        </w:rPr>
        <w:t>” means, in respect of the Group, its Consolidated Group Financial Indebtedness supported by any Security or Quasi-Security over cars of any Group Member (to the extent permitted under this Agreement).</w:t>
      </w:r>
    </w:p>
    <w:p>
      <w:pPr>
        <w:spacing w:after="0" w:line="24" w:lineRule="exact"/>
        <w:rPr>
          <w:sz w:val="20"/>
          <w:szCs w:val="20"/>
          <w:color w:val="auto"/>
        </w:rPr>
      </w:pPr>
    </w:p>
    <w:p>
      <w:pPr>
        <w:ind w:left="54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Revenue</w:t>
      </w:r>
      <w:r>
        <w:rPr>
          <w:rFonts w:ascii="Times New Roman" w:cs="Times New Roman" w:eastAsia="Times New Roman" w:hAnsi="Times New Roman"/>
          <w:sz w:val="18"/>
          <w:szCs w:val="18"/>
          <w:color w:val="auto"/>
        </w:rPr>
        <w:t>” means, in respect of the Group, its consolidated net operating revenue in respect of a financial period as shown in the financial statements in relation to such financial period.</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Test Date</w:t>
      </w:r>
      <w:r>
        <w:rPr>
          <w:rFonts w:ascii="Times New Roman" w:cs="Times New Roman" w:eastAsia="Times New Roman" w:hAnsi="Times New Roman"/>
          <w:sz w:val="18"/>
          <w:szCs w:val="18"/>
          <w:color w:val="auto"/>
        </w:rPr>
        <w:t>” means 31 December 2023.</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Cash</w:t>
      </w:r>
      <w:r>
        <w:rPr>
          <w:rFonts w:ascii="Times New Roman" w:cs="Times New Roman" w:eastAsia="Times New Roman" w:hAnsi="Times New Roman"/>
          <w:sz w:val="18"/>
          <w:szCs w:val="18"/>
          <w:color w:val="auto"/>
        </w:rPr>
        <w:t>” means at any time, cash in hand or at bank and (in the latter case) credited to an account in the name of a Group Member with an</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Acceptable Bank and to which a Group Member is alone beneficially entitled and for so long as:</w:t>
      </w:r>
    </w:p>
    <w:p>
      <w:pPr>
        <w:spacing w:after="0" w:line="112" w:lineRule="exact"/>
        <w:rPr>
          <w:sz w:val="20"/>
          <w:szCs w:val="20"/>
          <w:color w:val="auto"/>
        </w:rPr>
      </w:pPr>
    </w:p>
    <w:p>
      <w:pPr>
        <w:ind w:left="1180" w:hanging="644"/>
        <w:spacing w:after="0"/>
        <w:tabs>
          <w:tab w:leader="none" w:pos="11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cash is repayable within 3 days after the relevant date of calculation;</w:t>
      </w:r>
    </w:p>
    <w:p>
      <w:pPr>
        <w:spacing w:after="0" w:line="130"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that cash is not contingent on the prior discharge of any other indebtedness of any Group Member or of any other person whatsoever or on the satisfaction of any other condition;</w:t>
      </w:r>
    </w:p>
    <w:p>
      <w:pPr>
        <w:spacing w:after="0" w:line="67"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Security or Quasi-Security over that cash except for Transaction Security or any Permitted Security constituted by a netting or set-off arrangement entered into by any Group Member in the ordinary course of its banking arrangements; and</w:t>
      </w:r>
    </w:p>
    <w:p>
      <w:pPr>
        <w:spacing w:after="0" w:line="67"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is freely and (except as mentioned in paragraph (a) above) immediately available to be applied in repayment or prepayment of the Facilities.</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Cash Equivalent Investments</w:t>
      </w:r>
      <w:r>
        <w:rPr>
          <w:rFonts w:ascii="Times New Roman" w:cs="Times New Roman" w:eastAsia="Times New Roman" w:hAnsi="Times New Roman"/>
          <w:sz w:val="18"/>
          <w:szCs w:val="18"/>
          <w:color w:val="auto"/>
        </w:rPr>
        <w:t>” means at any time:</w:t>
      </w:r>
    </w:p>
    <w:p>
      <w:pPr>
        <w:spacing w:after="0" w:line="135" w:lineRule="exact"/>
        <w:rPr>
          <w:sz w:val="20"/>
          <w:szCs w:val="20"/>
          <w:color w:val="auto"/>
        </w:rPr>
      </w:pPr>
    </w:p>
    <w:p>
      <w:pPr>
        <w:ind w:left="1180" w:hanging="644"/>
        <w:spacing w:after="0"/>
        <w:tabs>
          <w:tab w:leader="none" w:pos="11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maturing within one year after the relevant date of calculation and issued by an Acceptable Bank;</w:t>
      </w:r>
    </w:p>
    <w:p>
      <w:pPr>
        <w:spacing w:after="0" w:line="130" w:lineRule="exact"/>
        <w:rPr>
          <w:rFonts w:ascii="Times New Roman" w:cs="Times New Roman" w:eastAsia="Times New Roman" w:hAnsi="Times New Roman"/>
          <w:sz w:val="18"/>
          <w:szCs w:val="18"/>
          <w:color w:val="auto"/>
        </w:rPr>
      </w:pPr>
    </w:p>
    <w:p>
      <w:pPr>
        <w:ind w:left="1180" w:right="200" w:hanging="644"/>
        <w:spacing w:after="0" w:line="261" w:lineRule="auto"/>
        <w:tabs>
          <w:tab w:leader="none" w:pos="11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marketable debt obligations issued or guaranteed by the government of the United States of America, the United Kingdom, any member state of the European Economic Area or any Participating Member State or by an instrumentality or agency of any of them having an equivalent credit rating, maturing within one year after the relevant date of calculation and not convertible or exchangeable to any other security;</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not convertible or exchangeable to any other security:</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a recognised trading market exists;</w:t>
      </w:r>
    </w:p>
    <w:p>
      <w:pPr>
        <w:spacing w:after="0" w:line="130" w:lineRule="exact"/>
        <w:rPr>
          <w:rFonts w:ascii="Times New Roman" w:cs="Times New Roman" w:eastAsia="Times New Roman" w:hAnsi="Times New Roman"/>
          <w:sz w:val="18"/>
          <w:szCs w:val="18"/>
          <w:color w:val="auto"/>
        </w:rPr>
      </w:pPr>
    </w:p>
    <w:p>
      <w:pPr>
        <w:ind w:left="1740" w:right="540" w:hanging="543"/>
        <w:spacing w:after="0" w:line="282" w:lineRule="auto"/>
        <w:tabs>
          <w:tab w:leader="none" w:pos="174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by an issuer incorporated in the United States of America, the United Kingdom, any member state of the European Economic Area or any Participating Member State;</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matures within one year after the relevant date of calculation; and</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20"/>
          </w:cols>
          <w:pgMar w:left="440" w:top="266" w:right="439" w:bottom="1440" w:gutter="0" w:footer="0" w:header="0"/>
        </w:sectPr>
      </w:pPr>
    </w:p>
    <w:bookmarkStart w:id="96" w:name="page97"/>
    <w:bookmarkEnd w:id="96"/>
    <w:p>
      <w:pPr>
        <w:ind w:left="1740" w:right="40" w:hanging="543"/>
        <w:spacing w:after="0" w:line="266" w:lineRule="auto"/>
        <w:tabs>
          <w:tab w:leader="none" w:pos="174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has a credit rating of either A-1 or higher by Standard &amp; Poor’s Rating Services or Fl or higher by Fitch Ratings Ltd or P-1 or higher by Moody’s Investors Service Limited, or, if no rating is available in respect of the commercial paper, the issuer of which has, in respect of its long-term unsecured and non-credit enhanced debt obligations, an equivalent rating;</w:t>
      </w:r>
    </w:p>
    <w:p>
      <w:pPr>
        <w:spacing w:after="0" w:line="81" w:lineRule="exact"/>
        <w:rPr>
          <w:rFonts w:ascii="Times New Roman" w:cs="Times New Roman" w:eastAsia="Times New Roman" w:hAnsi="Times New Roman"/>
          <w:sz w:val="18"/>
          <w:szCs w:val="18"/>
          <w:color w:val="auto"/>
        </w:rPr>
      </w:pPr>
    </w:p>
    <w:p>
      <w:pPr>
        <w:ind w:left="1180" w:right="260" w:hanging="644"/>
        <w:spacing w:after="0" w:line="282" w:lineRule="auto"/>
        <w:tabs>
          <w:tab w:leader="none" w:pos="11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sterling bills of exchange eligible for rediscount at the Bank of England and accepted by an Acceptable Bank (or their dematerialised equivalent);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money market funds which:</w:t>
      </w:r>
    </w:p>
    <w:p>
      <w:pPr>
        <w:spacing w:after="0" w:line="130" w:lineRule="exact"/>
        <w:rPr>
          <w:rFonts w:ascii="Times New Roman" w:cs="Times New Roman" w:eastAsia="Times New Roman" w:hAnsi="Times New Roman"/>
          <w:sz w:val="18"/>
          <w:szCs w:val="18"/>
          <w:color w:val="auto"/>
        </w:rPr>
      </w:pPr>
    </w:p>
    <w:p>
      <w:pPr>
        <w:ind w:left="1740" w:right="140" w:hanging="543"/>
        <w:spacing w:after="0" w:line="282" w:lineRule="auto"/>
        <w:tabs>
          <w:tab w:leader="none" w:pos="174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credit rating of either A-1 or higher by Standard &amp; Poor’s Rating Services or Fl or higher by Fitch Ratings Ltd or P-1 or higher by Moody’s Investors Service Limited; and</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substantially all their assets in securities of the types described in paragraphs (a) to (d) above,</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to the extent that investment can be turned into cash on not more than 30 days’ notice; or</w:t>
      </w:r>
    </w:p>
    <w:p>
      <w:pPr>
        <w:spacing w:after="0" w:line="131" w:lineRule="exact"/>
        <w:rPr>
          <w:sz w:val="20"/>
          <w:szCs w:val="20"/>
          <w:color w:val="auto"/>
        </w:rPr>
      </w:pPr>
    </w:p>
    <w:p>
      <w:pPr>
        <w:ind w:left="1180" w:hanging="644"/>
        <w:spacing w:after="0"/>
        <w:tabs>
          <w:tab w:leader="none" w:pos="11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debt security approved by the Majority Lenders,</w:t>
      </w:r>
    </w:p>
    <w:p>
      <w:pPr>
        <w:spacing w:after="0" w:line="117" w:lineRule="exact"/>
        <w:rPr>
          <w:sz w:val="20"/>
          <w:szCs w:val="20"/>
          <w:color w:val="auto"/>
        </w:rPr>
      </w:pPr>
    </w:p>
    <w:p>
      <w:pPr>
        <w:ind w:left="540" w:right="200"/>
        <w:spacing w:after="0" w:line="312" w:lineRule="auto"/>
        <w:rPr>
          <w:sz w:val="20"/>
          <w:szCs w:val="20"/>
          <w:color w:val="auto"/>
        </w:rPr>
      </w:pPr>
      <w:r>
        <w:rPr>
          <w:rFonts w:ascii="Times New Roman" w:cs="Times New Roman" w:eastAsia="Times New Roman" w:hAnsi="Times New Roman"/>
          <w:sz w:val="17"/>
          <w:szCs w:val="17"/>
          <w:color w:val="auto"/>
        </w:rPr>
        <w:t>in each case, to which any Group Member is alone (or together with other Group Members) beneficially entitled at that time and which is not issued or guaranteed by any Group Member or subject to any Security (other than Security arising under the Transaction Security Documents).</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Date</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1180" w:right="220" w:hanging="644"/>
        <w:spacing w:after="0" w:line="284" w:lineRule="auto"/>
        <w:tabs>
          <w:tab w:leader="none" w:pos="11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each of the financial covenants set out in paragraph (a) of Clause 22.2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the First Test Date and date falling on the last day of each Financial Year of the Borrower thereafter; and</w:t>
      </w:r>
    </w:p>
    <w:p>
      <w:pPr>
        <w:spacing w:after="0" w:line="63" w:lineRule="exact"/>
        <w:rPr>
          <w:rFonts w:ascii="Times New Roman" w:cs="Times New Roman" w:eastAsia="Times New Roman" w:hAnsi="Times New Roman"/>
          <w:sz w:val="18"/>
          <w:szCs w:val="18"/>
          <w:color w:val="auto"/>
        </w:rPr>
      </w:pPr>
    </w:p>
    <w:p>
      <w:pPr>
        <w:ind w:left="1180" w:right="20" w:hanging="644"/>
        <w:spacing w:after="0" w:line="284" w:lineRule="auto"/>
        <w:tabs>
          <w:tab w:leader="none" w:pos="11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each of the financial covenants set out in paragraphs (b) to (e) of Clause 22.2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the First Test Date, and the date falling on the last day of each Financial Quarter of the Borrower thereafter.</w:t>
      </w:r>
    </w:p>
    <w:p>
      <w:pPr>
        <w:spacing w:after="0" w:line="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Financial condition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Borrower shall ensure that:</w:t>
      </w:r>
    </w:p>
    <w:p>
      <w:pPr>
        <w:spacing w:after="0" w:line="131" w:lineRule="exact"/>
        <w:rPr>
          <w:sz w:val="20"/>
          <w:szCs w:val="20"/>
          <w:color w:val="auto"/>
        </w:rPr>
      </w:pPr>
    </w:p>
    <w:p>
      <w:pPr>
        <w:ind w:left="1180" w:hanging="644"/>
        <w:spacing w:after="0"/>
        <w:tabs>
          <w:tab w:leader="none" w:pos="11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Financial Year ending on the following Test Dates: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Revenue of the Group shall not be less than the amount set out in the table below opposite such Test Date:</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70" w:right="439" w:bottom="1440" w:gutter="0" w:footer="0" w:header="0"/>
        </w:sectPr>
      </w:pPr>
    </w:p>
    <w:bookmarkStart w:id="97" w:name="page98"/>
    <w:bookmarkEnd w:id="97"/>
    <w:tbl>
      <w:tblPr>
        <w:tblLayout w:type="fixed"/>
        <w:tblInd w:w="176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Test Date</w:t>
            </w:r>
          </w:p>
        </w:tc>
        <w:tc>
          <w:tcPr>
            <w:tcW w:w="5100" w:type="dxa"/>
            <w:vAlign w:val="bottom"/>
            <w:vMerge w:val="restart"/>
          </w:tcPr>
          <w:p>
            <w:pPr>
              <w:spacing w:after="0"/>
              <w:rPr>
                <w:sz w:val="13"/>
                <w:szCs w:val="13"/>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 Revenue of the</w:t>
            </w:r>
          </w:p>
        </w:tc>
        <w:tc>
          <w:tcPr>
            <w:tcW w:w="0" w:type="dxa"/>
            <w:vAlign w:val="bottom"/>
          </w:tcPr>
          <w:p>
            <w:pPr>
              <w:spacing w:after="0"/>
              <w:rPr>
                <w:sz w:val="1"/>
                <w:szCs w:val="1"/>
                <w:color w:val="auto"/>
              </w:rPr>
            </w:pPr>
          </w:p>
        </w:tc>
      </w:tr>
      <w:tr>
        <w:trPr>
          <w:trHeight w:val="180"/>
        </w:trPr>
        <w:tc>
          <w:tcPr>
            <w:tcW w:w="580" w:type="dxa"/>
            <w:vAlign w:val="bottom"/>
            <w:tcBorders>
              <w:bottom w:val="single" w:sz="8" w:color="auto"/>
            </w:tcBorders>
            <w:vMerge w:val="continue"/>
          </w:tcPr>
          <w:p>
            <w:pPr>
              <w:spacing w:after="0"/>
              <w:rPr>
                <w:sz w:val="15"/>
                <w:szCs w:val="15"/>
                <w:color w:val="auto"/>
              </w:rPr>
            </w:pPr>
          </w:p>
        </w:tc>
        <w:tc>
          <w:tcPr>
            <w:tcW w:w="5100" w:type="dxa"/>
            <w:vAlign w:val="bottom"/>
            <w:vMerge w:val="continue"/>
          </w:tcPr>
          <w:p>
            <w:pPr>
              <w:spacing w:after="0"/>
              <w:rPr>
                <w:sz w:val="15"/>
                <w:szCs w:val="15"/>
                <w:color w:val="auto"/>
              </w:rPr>
            </w:pPr>
          </w:p>
        </w:tc>
        <w:tc>
          <w:tcPr>
            <w:tcW w:w="180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Group (USD, in millions)</w:t>
            </w:r>
          </w:p>
        </w:tc>
        <w:tc>
          <w:tcPr>
            <w:tcW w:w="0" w:type="dxa"/>
            <w:vAlign w:val="bottom"/>
          </w:tcPr>
          <w:p>
            <w:pPr>
              <w:spacing w:after="0"/>
              <w:rPr>
                <w:sz w:val="1"/>
                <w:szCs w:val="1"/>
                <w:color w:val="auto"/>
              </w:rPr>
            </w:pPr>
          </w:p>
        </w:tc>
      </w:tr>
      <w:tr>
        <w:trPr>
          <w:trHeight w:val="203"/>
        </w:trPr>
        <w:tc>
          <w:tcPr>
            <w:tcW w:w="5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31 December 2023</w:t>
            </w:r>
          </w:p>
        </w:tc>
        <w:tc>
          <w:tcPr>
            <w:tcW w:w="1740" w:type="dxa"/>
            <w:vAlign w:val="bottom"/>
            <w:tcBorders>
              <w:top w:val="single" w:sz="8" w:color="auto"/>
            </w:tcBorders>
            <w:shd w:val="clear" w:color="auto" w:fill="CCEEFF"/>
          </w:tcPr>
          <w:p>
            <w:pPr>
              <w:ind w:left="1200"/>
              <w:spacing w:after="0" w:line="203" w:lineRule="exact"/>
              <w:rPr>
                <w:sz w:val="20"/>
                <w:szCs w:val="20"/>
                <w:color w:val="auto"/>
              </w:rPr>
            </w:pPr>
            <w:r>
              <w:rPr>
                <w:rFonts w:ascii="Times New Roman" w:cs="Times New Roman" w:eastAsia="Times New Roman" w:hAnsi="Times New Roman"/>
                <w:sz w:val="18"/>
                <w:szCs w:val="18"/>
                <w:color w:val="auto"/>
                <w:w w:val="96"/>
              </w:rPr>
              <w:t>1,862.7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 December 2024</w:t>
            </w:r>
          </w:p>
        </w:tc>
        <w:tc>
          <w:tcPr>
            <w:tcW w:w="18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5,359.9</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 December 2025</w:t>
            </w:r>
          </w:p>
        </w:tc>
        <w:tc>
          <w:tcPr>
            <w:tcW w:w="18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7,144.9</w:t>
            </w:r>
          </w:p>
        </w:tc>
        <w:tc>
          <w:tcPr>
            <w:tcW w:w="0" w:type="dxa"/>
            <w:vAlign w:val="bottom"/>
          </w:tcPr>
          <w:p>
            <w:pPr>
              <w:spacing w:after="0"/>
              <w:rPr>
                <w:sz w:val="1"/>
                <w:szCs w:val="1"/>
                <w:color w:val="auto"/>
              </w:rPr>
            </w:pPr>
          </w:p>
        </w:tc>
      </w:tr>
      <w:tr>
        <w:trPr>
          <w:trHeight w:val="23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 December 2026</w:t>
            </w:r>
          </w:p>
        </w:tc>
        <w:tc>
          <w:tcPr>
            <w:tcW w:w="18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8,670.2</w:t>
            </w:r>
          </w:p>
        </w:tc>
        <w:tc>
          <w:tcPr>
            <w:tcW w:w="0" w:type="dxa"/>
            <w:vAlign w:val="bottom"/>
          </w:tcPr>
          <w:p>
            <w:pPr>
              <w:spacing w:after="0"/>
              <w:rPr>
                <w:sz w:val="1"/>
                <w:szCs w:val="1"/>
                <w:color w:val="auto"/>
              </w:rPr>
            </w:pPr>
          </w:p>
        </w:tc>
      </w:tr>
    </w:tbl>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740" w:right="580" w:hanging="543"/>
        <w:spacing w:after="0" w:line="286" w:lineRule="auto"/>
        <w:tabs>
          <w:tab w:leader="none" w:pos="17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(on a consolidated basis) shall not incur any Capex in any Financial Year in excess of the amount (the “</w:t>
      </w:r>
      <w:r>
        <w:rPr>
          <w:rFonts w:ascii="Times New Roman" w:cs="Times New Roman" w:eastAsia="Times New Roman" w:hAnsi="Times New Roman"/>
          <w:sz w:val="18"/>
          <w:szCs w:val="18"/>
          <w:b w:val="1"/>
          <w:bCs w:val="1"/>
          <w:color w:val="auto"/>
        </w:rPr>
        <w:t>Capex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w:t>
      </w:r>
      <w:r>
        <w:rPr>
          <w:rFonts w:ascii="Times New Roman" w:cs="Times New Roman" w:eastAsia="Times New Roman" w:hAnsi="Times New Roman"/>
          <w:sz w:val="18"/>
          <w:szCs w:val="18"/>
          <w:color w:val="auto"/>
        </w:rPr>
        <w:t>”) set out in the table below opposite such Financial Year:</w:t>
      </w:r>
    </w:p>
    <w:p>
      <w:pPr>
        <w:spacing w:after="0" w:line="179"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Financial Year ending on</w:t>
            </w:r>
          </w:p>
        </w:tc>
        <w:tc>
          <w:tcPr>
            <w:tcW w:w="398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Capex Limit (USD, in millions)</w:t>
            </w:r>
          </w:p>
        </w:tc>
      </w:tr>
      <w:tr>
        <w:trPr>
          <w:trHeight w:val="203"/>
        </w:trPr>
        <w:tc>
          <w:tcPr>
            <w:tcW w:w="15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31 December 2023</w:t>
            </w:r>
          </w:p>
        </w:tc>
        <w:tc>
          <w:tcPr>
            <w:tcW w:w="39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ind w:left="1640"/>
              <w:spacing w:after="0" w:line="203" w:lineRule="exact"/>
              <w:rPr>
                <w:sz w:val="20"/>
                <w:szCs w:val="20"/>
                <w:color w:val="auto"/>
              </w:rPr>
            </w:pPr>
            <w:r>
              <w:rPr>
                <w:rFonts w:ascii="Times New Roman" w:cs="Times New Roman" w:eastAsia="Times New Roman" w:hAnsi="Times New Roman"/>
                <w:sz w:val="18"/>
                <w:szCs w:val="18"/>
                <w:color w:val="auto"/>
                <w:w w:val="88"/>
              </w:rPr>
              <w:t>636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 December 2024</w:t>
            </w:r>
          </w:p>
        </w:tc>
        <w:tc>
          <w:tcPr>
            <w:tcW w:w="594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December 2025</w:t>
            </w:r>
          </w:p>
        </w:tc>
        <w:tc>
          <w:tcPr>
            <w:tcW w:w="5940" w:type="dxa"/>
            <w:vAlign w:val="bottom"/>
            <w:gridSpan w:val="3"/>
            <w:shd w:val="clear" w:color="auto" w:fill="CCEEFF"/>
          </w:tcPr>
          <w:p>
            <w:pPr>
              <w:ind w:left="5620"/>
              <w:spacing w:after="0"/>
              <w:rPr>
                <w:sz w:val="20"/>
                <w:szCs w:val="20"/>
                <w:color w:val="auto"/>
              </w:rPr>
            </w:pPr>
            <w:r>
              <w:rPr>
                <w:rFonts w:ascii="Times New Roman" w:cs="Times New Roman" w:eastAsia="Times New Roman" w:hAnsi="Times New Roman"/>
                <w:sz w:val="18"/>
                <w:szCs w:val="18"/>
                <w:color w:val="auto"/>
              </w:rPr>
              <w:t>534</w:t>
            </w:r>
          </w:p>
        </w:tc>
      </w:t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 December 2026</w:t>
            </w:r>
          </w:p>
        </w:tc>
        <w:tc>
          <w:tcPr>
            <w:tcW w:w="594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443</w:t>
            </w:r>
          </w:p>
        </w:tc>
      </w:tr>
    </w:tbl>
    <w:p>
      <w:pPr>
        <w:spacing w:after="0" w:line="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provided that:</w:t>
      </w:r>
    </w:p>
    <w:p>
      <w:pPr>
        <w:spacing w:after="0" w:line="127" w:lineRule="exact"/>
        <w:rPr>
          <w:sz w:val="20"/>
          <w:szCs w:val="20"/>
          <w:color w:val="auto"/>
        </w:rPr>
      </w:pPr>
    </w:p>
    <w:p>
      <w:pPr>
        <w:ind w:left="1740" w:right="140" w:hanging="543"/>
        <w:spacing w:after="0" w:line="262" w:lineRule="auto"/>
        <w:tabs>
          <w:tab w:leader="none" w:pos="17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Capex Limit for each Financial Year (starting from the Financial Year ending on 31 December 2023, each a “</w:t>
      </w:r>
      <w:r>
        <w:rPr>
          <w:rFonts w:ascii="Times New Roman" w:cs="Times New Roman" w:eastAsia="Times New Roman" w:hAnsi="Times New Roman"/>
          <w:sz w:val="18"/>
          <w:szCs w:val="18"/>
          <w:b w:val="1"/>
          <w:bCs w:val="1"/>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Financial Year</w:t>
      </w:r>
      <w:r>
        <w:rPr>
          <w:rFonts w:ascii="Times New Roman" w:cs="Times New Roman" w:eastAsia="Times New Roman" w:hAnsi="Times New Roman"/>
          <w:sz w:val="18"/>
          <w:szCs w:val="18"/>
          <w:color w:val="auto"/>
        </w:rPr>
        <w:t>” for the purpose of this paragraph (A)) may be increased by an amount equal to the difference (if positive)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Unused Capex</w:t>
      </w:r>
      <w:r>
        <w:rPr>
          <w:rFonts w:ascii="Times New Roman" w:cs="Times New Roman" w:eastAsia="Times New Roman" w:hAnsi="Times New Roman"/>
          <w:sz w:val="18"/>
          <w:szCs w:val="18"/>
          <w:color w:val="auto"/>
        </w:rPr>
        <w:t>”) between the Capex Limit in the immediately preceding Financial Year in respect of such Relevant Financial Year and the Capex actually incurred during such preceding Financial Year provided that:</w:t>
      </w:r>
    </w:p>
    <w:p>
      <w:pPr>
        <w:spacing w:after="0" w:line="85" w:lineRule="exact"/>
        <w:rPr>
          <w:rFonts w:ascii="Times New Roman" w:cs="Times New Roman" w:eastAsia="Times New Roman" w:hAnsi="Times New Roman"/>
          <w:sz w:val="18"/>
          <w:szCs w:val="18"/>
          <w:color w:val="auto"/>
        </w:rPr>
      </w:pPr>
    </w:p>
    <w:p>
      <w:pPr>
        <w:ind w:left="2400" w:right="160" w:hanging="649"/>
        <w:spacing w:after="0" w:line="282" w:lineRule="auto"/>
        <w:tabs>
          <w:tab w:leader="none" w:pos="240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Unused Capex that may be carried forward from the Financial Year ending on 31 December 2023 shall be no more than USD40,000,000;</w:t>
      </w:r>
    </w:p>
    <w:p>
      <w:pPr>
        <w:spacing w:after="0" w:line="67" w:lineRule="exact"/>
        <w:rPr>
          <w:rFonts w:ascii="Times New Roman" w:cs="Times New Roman" w:eastAsia="Times New Roman" w:hAnsi="Times New Roman"/>
          <w:sz w:val="18"/>
          <w:szCs w:val="18"/>
          <w:color w:val="auto"/>
        </w:rPr>
      </w:pPr>
    </w:p>
    <w:p>
      <w:pPr>
        <w:ind w:left="2400" w:right="220" w:hanging="649"/>
        <w:spacing w:after="0" w:line="282" w:lineRule="auto"/>
        <w:tabs>
          <w:tab w:leader="none" w:pos="240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so carried forward will be deemed to be utilised after the utilisation of the Capex Limit of such Relevant Financial Year;</w:t>
      </w:r>
    </w:p>
    <w:p>
      <w:pPr>
        <w:spacing w:after="0" w:line="67"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Unused Capex may be allowed to carried forward more than once; and</w:t>
      </w:r>
    </w:p>
    <w:p>
      <w:pPr>
        <w:spacing w:after="0" w:line="130" w:lineRule="exact"/>
        <w:rPr>
          <w:rFonts w:ascii="Times New Roman" w:cs="Times New Roman" w:eastAsia="Times New Roman" w:hAnsi="Times New Roman"/>
          <w:sz w:val="18"/>
          <w:szCs w:val="18"/>
          <w:color w:val="auto"/>
        </w:rPr>
      </w:pPr>
    </w:p>
    <w:p>
      <w:pPr>
        <w:ind w:left="2400" w:right="720" w:hanging="649"/>
        <w:spacing w:after="0" w:line="282" w:lineRule="auto"/>
        <w:tabs>
          <w:tab w:leader="none" w:pos="240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as at the time of the utilisation of such Unused Capex, or will result from its utilisation; and</w:t>
      </w:r>
    </w:p>
    <w:p>
      <w:pPr>
        <w:spacing w:after="0" w:line="67" w:lineRule="exact"/>
        <w:rPr>
          <w:rFonts w:ascii="Times New Roman" w:cs="Times New Roman" w:eastAsia="Times New Roman" w:hAnsi="Times New Roman"/>
          <w:sz w:val="18"/>
          <w:szCs w:val="18"/>
          <w:color w:val="auto"/>
        </w:rPr>
      </w:pPr>
    </w:p>
    <w:p>
      <w:pPr>
        <w:ind w:left="1740" w:right="60" w:hanging="543"/>
        <w:spacing w:after="0" w:line="266" w:lineRule="auto"/>
        <w:tabs>
          <w:tab w:leader="none" w:pos="17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Capex funded by any Excluded Disposal Proceeds (falling within paragraph (i) of that definition and only to the extent the applicable Reinvestment Period in respect of those Excluded Disposal Proceeds has not elapsed) in a Financial Year shall not be taken into account for the purpose of the calculation of the Capex Limit in respect of that Financial Year.</w:t>
      </w:r>
    </w:p>
    <w:p>
      <w:pPr>
        <w:spacing w:after="0" w:line="10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20"/>
          </w:cols>
          <w:pgMar w:left="440" w:top="251" w:right="439" w:bottom="1440" w:gutter="0" w:footer="0" w:header="0"/>
        </w:sectPr>
      </w:pPr>
    </w:p>
    <w:bookmarkStart w:id="98" w:name="page99"/>
    <w:bookmarkEnd w:id="98"/>
    <w:p>
      <w:pPr>
        <w:ind w:left="1184" w:right="100" w:hanging="644"/>
        <w:spacing w:after="0" w:line="282" w:lineRule="auto"/>
        <w:tabs>
          <w:tab w:leader="none" w:pos="118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aggregate amount of the Group Cash, Group Cash Equivalent Investments and Available Credit available to any Group Member (or the equivalent value in EUR) shall be no less than EUR400,000,000 at any time;</w:t>
      </w:r>
    </w:p>
    <w:p>
      <w:pPr>
        <w:spacing w:after="0" w:line="67" w:lineRule="exact"/>
        <w:rPr>
          <w:rFonts w:ascii="Times New Roman" w:cs="Times New Roman" w:eastAsia="Times New Roman" w:hAnsi="Times New Roman"/>
          <w:sz w:val="18"/>
          <w:szCs w:val="18"/>
          <w:color w:val="auto"/>
        </w:rPr>
      </w:pPr>
    </w:p>
    <w:p>
      <w:pPr>
        <w:ind w:left="1184" w:right="1200" w:hanging="644"/>
        <w:spacing w:after="0" w:line="282" w:lineRule="auto"/>
        <w:tabs>
          <w:tab w:leader="none" w:pos="118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principal amount of any Consolidated Group Secured Financial Indebtedness shall not exceed USD1,375,000,000 at any time;</w:t>
      </w:r>
    </w:p>
    <w:p>
      <w:pPr>
        <w:spacing w:after="0" w:line="67"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principal amount of any Consolidated Group Financial Indebtedness shall not exceed USD5,500,000,000 at any time; and</w:t>
      </w:r>
    </w:p>
    <w:p>
      <w:pPr>
        <w:spacing w:after="0" w:line="67"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Consolidated Group Financial Indebtedness to Consolidated Group Assets as at a Test Date shall not exceed the ratio set out in the table below opposite such Test Date at any time:</w:t>
      </w:r>
    </w:p>
    <w:p>
      <w:pPr>
        <w:spacing w:after="0" w:line="170"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Ratio of Consolidated Group</w:t>
            </w:r>
          </w:p>
        </w:tc>
        <w:tc>
          <w:tcPr>
            <w:tcW w:w="0" w:type="dxa"/>
            <w:vAlign w:val="bottom"/>
          </w:tcPr>
          <w:p>
            <w:pPr>
              <w:spacing w:after="0"/>
              <w:rPr>
                <w:sz w:val="1"/>
                <w:szCs w:val="1"/>
                <w:color w:val="auto"/>
              </w:rPr>
            </w:pPr>
          </w:p>
        </w:tc>
      </w:tr>
      <w:tr>
        <w:trPr>
          <w:trHeight w:val="148"/>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 Test Date(s)</w:t>
            </w:r>
          </w:p>
        </w:tc>
        <w:tc>
          <w:tcPr>
            <w:tcW w:w="4620" w:type="dxa"/>
            <w:vAlign w:val="bottom"/>
            <w:vMerge w:val="restart"/>
          </w:tcPr>
          <w:p>
            <w:pPr>
              <w:spacing w:after="0"/>
              <w:rPr>
                <w:sz w:val="12"/>
                <w:szCs w:val="12"/>
                <w:color w:val="auto"/>
              </w:rPr>
            </w:pPr>
          </w:p>
        </w:tc>
        <w:tc>
          <w:tcPr>
            <w:tcW w:w="1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Financial Indebtedness to</w:t>
            </w:r>
          </w:p>
        </w:tc>
        <w:tc>
          <w:tcPr>
            <w:tcW w:w="0" w:type="dxa"/>
            <w:vAlign w:val="bottom"/>
          </w:tcPr>
          <w:p>
            <w:pPr>
              <w:spacing w:after="0"/>
              <w:rPr>
                <w:sz w:val="1"/>
                <w:szCs w:val="1"/>
                <w:color w:val="auto"/>
              </w:rPr>
            </w:pPr>
          </w:p>
        </w:tc>
      </w:tr>
      <w:tr>
        <w:trPr>
          <w:trHeight w:val="180"/>
        </w:trPr>
        <w:tc>
          <w:tcPr>
            <w:tcW w:w="1020" w:type="dxa"/>
            <w:vAlign w:val="bottom"/>
            <w:tcBorders>
              <w:bottom w:val="single" w:sz="8" w:color="auto"/>
            </w:tcBorders>
            <w:gridSpan w:val="2"/>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18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Consolidated Group Assets</w:t>
            </w:r>
          </w:p>
        </w:tc>
        <w:tc>
          <w:tcPr>
            <w:tcW w:w="0" w:type="dxa"/>
            <w:vAlign w:val="bottom"/>
          </w:tcPr>
          <w:p>
            <w:pPr>
              <w:spacing w:after="0"/>
              <w:rPr>
                <w:sz w:val="1"/>
                <w:szCs w:val="1"/>
                <w:color w:val="auto"/>
              </w:rPr>
            </w:pPr>
          </w:p>
        </w:tc>
      </w:tr>
      <w:tr>
        <w:trPr>
          <w:trHeight w:val="171"/>
        </w:trPr>
        <w:tc>
          <w:tcPr>
            <w:tcW w:w="1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w w:val="88"/>
              </w:rPr>
              <w:t>31</w:t>
            </w:r>
          </w:p>
        </w:tc>
        <w:tc>
          <w:tcPr>
            <w:tcW w:w="5460" w:type="dxa"/>
            <w:vAlign w:val="bottom"/>
            <w:tcBorders>
              <w:top w:val="single" w:sz="8" w:color="CCEEFF"/>
            </w:tcBorders>
            <w:gridSpan w:val="2"/>
            <w:shd w:val="clear" w:color="auto" w:fill="CCEEFF"/>
          </w:tcPr>
          <w:p>
            <w:pPr>
              <w:ind w:left="40"/>
              <w:spacing w:after="0" w:line="171" w:lineRule="exact"/>
              <w:rPr>
                <w:sz w:val="20"/>
                <w:szCs w:val="20"/>
                <w:color w:val="auto"/>
              </w:rPr>
            </w:pPr>
            <w:r>
              <w:rPr>
                <w:rFonts w:ascii="Times New Roman" w:cs="Times New Roman" w:eastAsia="Times New Roman" w:hAnsi="Times New Roman"/>
                <w:sz w:val="18"/>
                <w:szCs w:val="18"/>
                <w:color w:val="auto"/>
              </w:rPr>
              <w:t>December 2023, 31 March 2024, 30 June 2024 and</w:t>
            </w:r>
          </w:p>
        </w:tc>
        <w:tc>
          <w:tcPr>
            <w:tcW w:w="1780" w:type="dxa"/>
            <w:vAlign w:val="bottom"/>
            <w:tcBorders>
              <w:top w:val="single" w:sz="8" w:color="auto"/>
            </w:tcBorders>
            <w:shd w:val="clear" w:color="auto" w:fill="CCEEFF"/>
          </w:tcPr>
          <w:p>
            <w:pPr>
              <w:ind w:left="1340"/>
              <w:spacing w:after="0" w:line="171" w:lineRule="exact"/>
              <w:rPr>
                <w:sz w:val="20"/>
                <w:szCs w:val="20"/>
                <w:color w:val="auto"/>
              </w:rPr>
            </w:pPr>
            <w:r>
              <w:rPr>
                <w:rFonts w:ascii="Times New Roman" w:cs="Times New Roman" w:eastAsia="Times New Roman" w:hAnsi="Times New Roman"/>
                <w:sz w:val="18"/>
                <w:szCs w:val="18"/>
                <w:color w:val="auto"/>
                <w:w w:val="92"/>
              </w:rPr>
              <w:t>1.00:1</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80" w:type="dxa"/>
            <w:vAlign w:val="bottom"/>
            <w:shd w:val="clear" w:color="auto" w:fill="CCEEFF"/>
          </w:tcPr>
          <w:p>
            <w:pPr>
              <w:spacing w:after="0"/>
              <w:rPr>
                <w:sz w:val="20"/>
                <w:szCs w:val="20"/>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September 2024</w:t>
            </w:r>
          </w:p>
        </w:tc>
        <w:tc>
          <w:tcPr>
            <w:tcW w:w="1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88"/>
              </w:rPr>
              <w:t>31</w:t>
            </w:r>
          </w:p>
        </w:tc>
        <w:tc>
          <w:tcPr>
            <w:tcW w:w="546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December 2024, 31 March 2025, 30 June 2025 and</w:t>
            </w:r>
          </w:p>
        </w:tc>
        <w:tc>
          <w:tcPr>
            <w:tcW w:w="1840" w:type="dxa"/>
            <w:vAlign w:val="bottom"/>
            <w:gridSpan w:val="2"/>
          </w:tcPr>
          <w:p>
            <w:pPr>
              <w:ind w:left="1340"/>
              <w:spacing w:after="0" w:line="198" w:lineRule="exact"/>
              <w:rPr>
                <w:sz w:val="20"/>
                <w:szCs w:val="20"/>
                <w:color w:val="auto"/>
              </w:rPr>
            </w:pPr>
            <w:r>
              <w:rPr>
                <w:rFonts w:ascii="Times New Roman" w:cs="Times New Roman" w:eastAsia="Times New Roman" w:hAnsi="Times New Roman"/>
                <w:sz w:val="18"/>
                <w:szCs w:val="18"/>
                <w:color w:val="auto"/>
              </w:rPr>
              <w:t>0.90:1</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 September 2025</w:t>
            </w: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88"/>
              </w:rPr>
              <w:t>31</w:t>
            </w:r>
          </w:p>
        </w:tc>
        <w:tc>
          <w:tcPr>
            <w:tcW w:w="546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December 2025, 31 March 2026, 30 June 2026 and</w:t>
            </w:r>
          </w:p>
        </w:tc>
        <w:tc>
          <w:tcPr>
            <w:tcW w:w="1840" w:type="dxa"/>
            <w:vAlign w:val="bottom"/>
            <w:gridSpan w:val="2"/>
            <w:shd w:val="clear" w:color="auto" w:fill="CCEEFF"/>
          </w:tcPr>
          <w:p>
            <w:pPr>
              <w:ind w:left="1340"/>
              <w:spacing w:after="0" w:line="198" w:lineRule="exact"/>
              <w:rPr>
                <w:sz w:val="20"/>
                <w:szCs w:val="20"/>
                <w:color w:val="auto"/>
              </w:rPr>
            </w:pPr>
            <w:r>
              <w:rPr>
                <w:rFonts w:ascii="Times New Roman" w:cs="Times New Roman" w:eastAsia="Times New Roman" w:hAnsi="Times New Roman"/>
                <w:sz w:val="18"/>
                <w:szCs w:val="18"/>
                <w:color w:val="auto"/>
              </w:rPr>
              <w:t>0.85:1</w:t>
            </w:r>
          </w:p>
        </w:tc>
        <w:tc>
          <w:tcPr>
            <w:tcW w:w="0" w:type="dxa"/>
            <w:vAlign w:val="bottom"/>
          </w:tcPr>
          <w:p>
            <w:pPr>
              <w:spacing w:after="0"/>
              <w:rPr>
                <w:sz w:val="1"/>
                <w:szCs w:val="1"/>
                <w:color w:val="auto"/>
              </w:rPr>
            </w:pPr>
          </w:p>
        </w:tc>
      </w:tr>
      <w:tr>
        <w:trPr>
          <w:trHeight w:val="234"/>
        </w:trPr>
        <w:tc>
          <w:tcPr>
            <w:tcW w:w="180" w:type="dxa"/>
            <w:vAlign w:val="bottom"/>
            <w:shd w:val="clear" w:color="auto" w:fill="CCEEFF"/>
          </w:tcPr>
          <w:p>
            <w:pPr>
              <w:spacing w:after="0"/>
              <w:rPr>
                <w:sz w:val="20"/>
                <w:szCs w:val="20"/>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September 2026</w:t>
            </w:r>
          </w:p>
        </w:tc>
        <w:tc>
          <w:tcPr>
            <w:tcW w:w="1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31</w:t>
            </w:r>
          </w:p>
        </w:tc>
        <w:tc>
          <w:tcPr>
            <w:tcW w:w="5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2026 and each Test Date thereafter</w:t>
            </w:r>
          </w:p>
        </w:tc>
        <w:tc>
          <w:tcPr>
            <w:tcW w:w="18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0.80:1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22.3</w:t>
        <w:tab/>
        <w:t>Financial testing</w:t>
      </w:r>
    </w:p>
    <w:p>
      <w:pPr>
        <w:spacing w:after="0" w:line="133" w:lineRule="exact"/>
        <w:rPr>
          <w:sz w:val="20"/>
          <w:szCs w:val="20"/>
          <w:color w:val="auto"/>
        </w:rPr>
      </w:pPr>
    </w:p>
    <w:p>
      <w:pPr>
        <w:ind w:left="544" w:right="100" w:hanging="544"/>
        <w:spacing w:after="0" w:line="267" w:lineRule="auto"/>
        <w:tabs>
          <w:tab w:leader="none" w:pos="54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covenants set out in Clause 22.2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shall be calculated in accordance with the applicable Accounting Principles and tested by reference to each of the financial statements or management accounts delivered pursuant to Clause 21.1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and/or each Compliance Certificate delivered pursuant to Clause 21.2 (</w:t>
      </w:r>
      <w:r>
        <w:rPr>
          <w:rFonts w:ascii="Times New Roman" w:cs="Times New Roman" w:eastAsia="Times New Roman" w:hAnsi="Times New Roman"/>
          <w:sz w:val="18"/>
          <w:szCs w:val="18"/>
          <w:i w:val="1"/>
          <w:iCs w:val="1"/>
          <w:color w:val="auto"/>
        </w:rPr>
        <w:t>Provision and contents of Compliance Certificate</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this Clause 22, no item shall be included or excluded more than once in any calculation.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22.4</w:t>
        <w:tab/>
        <w:t>Currency</w:t>
      </w:r>
    </w:p>
    <w:p>
      <w:pPr>
        <w:spacing w:after="0" w:line="121" w:lineRule="exact"/>
        <w:rPr>
          <w:sz w:val="20"/>
          <w:szCs w:val="20"/>
          <w:color w:val="auto"/>
        </w:rPr>
      </w:pPr>
    </w:p>
    <w:p>
      <w:pPr>
        <w:ind w:left="544" w:right="400"/>
        <w:spacing w:after="0" w:line="282" w:lineRule="auto"/>
        <w:rPr>
          <w:sz w:val="20"/>
          <w:szCs w:val="20"/>
          <w:color w:val="auto"/>
        </w:rPr>
      </w:pPr>
      <w:r>
        <w:rPr>
          <w:rFonts w:ascii="Times New Roman" w:cs="Times New Roman" w:eastAsia="Times New Roman" w:hAnsi="Times New Roman"/>
          <w:sz w:val="18"/>
          <w:szCs w:val="18"/>
          <w:color w:val="auto"/>
        </w:rPr>
        <w:t>For the purpose of this Clause 22, if any amount is in a currency other than EUR or USD, and is to be taken into account at its EUR or USD equivalent, it should be calculated on the basis of:</w:t>
      </w:r>
    </w:p>
    <w:p>
      <w:pPr>
        <w:spacing w:after="0" w:line="67" w:lineRule="exact"/>
        <w:rPr>
          <w:sz w:val="20"/>
          <w:szCs w:val="20"/>
          <w:color w:val="auto"/>
        </w:rPr>
      </w:pPr>
    </w:p>
    <w:p>
      <w:pPr>
        <w:ind w:left="1184" w:hanging="644"/>
        <w:spacing w:after="0"/>
        <w:tabs>
          <w:tab w:leader="none" w:pos="118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on the day the relevant amount falls to be calculated;</w:t>
      </w:r>
    </w:p>
    <w:p>
      <w:pPr>
        <w:spacing w:after="0" w:line="130" w:lineRule="exact"/>
        <w:rPr>
          <w:rFonts w:ascii="Times New Roman" w:cs="Times New Roman" w:eastAsia="Times New Roman" w:hAnsi="Times New Roman"/>
          <w:sz w:val="18"/>
          <w:szCs w:val="18"/>
          <w:color w:val="auto"/>
        </w:rPr>
      </w:pPr>
    </w:p>
    <w:p>
      <w:pPr>
        <w:jc w:val="both"/>
        <w:ind w:left="1184" w:right="620" w:hanging="644"/>
        <w:spacing w:after="0" w:line="282" w:lineRule="auto"/>
        <w:tabs>
          <w:tab w:leader="none" w:pos="118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is to be calculated on the last day of a financial period of the Borrower, the relevant rates of exchange used by the Borrower in, or in connection with, its financial statements for that period which are used to determine or calculate that amount.</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24"/>
          </w:cols>
          <w:pgMar w:left="436" w:top="270" w:right="439" w:bottom="1440" w:gutter="0" w:footer="0" w:header="0"/>
        </w:sectPr>
      </w:pPr>
    </w:p>
    <w:bookmarkStart w:id="99" w:name="page100"/>
    <w:bookmarkEnd w:id="99"/>
    <w:p>
      <w:pPr>
        <w:ind w:left="544" w:hanging="544"/>
        <w:spacing w:after="0"/>
        <w:tabs>
          <w:tab w:leader="none" w:pos="544"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UNDERTAKINGS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undertakings in this Clause 23 remain in force from the Signing Date for so long as any amount is outstanding under the Finance Documents or any Commitment is in force.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7"/>
          <w:szCs w:val="17"/>
          <w:b w:val="1"/>
          <w:bCs w:val="1"/>
          <w:color w:val="auto"/>
        </w:rPr>
        <w:t>Authorisations</w:t>
      </w:r>
    </w:p>
    <w:p>
      <w:pPr>
        <w:spacing w:after="0" w:line="135" w:lineRule="exact"/>
        <w:rPr>
          <w:sz w:val="20"/>
          <w:szCs w:val="20"/>
          <w:color w:val="auto"/>
        </w:rPr>
      </w:pPr>
    </w:p>
    <w:p>
      <w:pPr>
        <w:ind w:left="544" w:hanging="544"/>
        <w:spacing w:after="0"/>
        <w:tabs>
          <w:tab w:leader="none" w:pos="54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Guarantor shall promptly: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comply with and do all that is necessary to maintain in full force and effect;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certified copies to the Agent of,</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any Authorisation required to:</w:t>
      </w:r>
    </w:p>
    <w:p>
      <w:pPr>
        <w:spacing w:after="0" w:line="131" w:lineRule="exact"/>
        <w:rPr>
          <w:sz w:val="20"/>
          <w:szCs w:val="20"/>
          <w:color w:val="auto"/>
        </w:rPr>
      </w:pPr>
    </w:p>
    <w:p>
      <w:pPr>
        <w:ind w:left="1744" w:hanging="543"/>
        <w:spacing w:after="0"/>
        <w:tabs>
          <w:tab w:leader="none" w:pos="1744"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it to perform its obligations under the Finance Documents to which it is a party; and</w:t>
      </w:r>
    </w:p>
    <w:p>
      <w:pPr>
        <w:spacing w:after="0" w:line="130" w:lineRule="exact"/>
        <w:rPr>
          <w:rFonts w:ascii="Times New Roman" w:cs="Times New Roman" w:eastAsia="Times New Roman" w:hAnsi="Times New Roman"/>
          <w:sz w:val="18"/>
          <w:szCs w:val="18"/>
          <w:color w:val="auto"/>
        </w:rPr>
      </w:pPr>
    </w:p>
    <w:p>
      <w:pPr>
        <w:ind w:left="1744" w:right="80" w:hanging="543"/>
        <w:spacing w:after="0" w:line="282" w:lineRule="auto"/>
        <w:tabs>
          <w:tab w:leader="none" w:pos="1744"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legality, validity, enforceability or admissibility in evidence in its Relevant Jurisdictions of any Finance Document to which it is a party.</w:t>
      </w:r>
    </w:p>
    <w:p>
      <w:pPr>
        <w:spacing w:after="0" w:line="67" w:lineRule="exact"/>
        <w:rPr>
          <w:rFonts w:ascii="Times New Roman" w:cs="Times New Roman" w:eastAsia="Times New Roman" w:hAnsi="Times New Roman"/>
          <w:sz w:val="18"/>
          <w:szCs w:val="18"/>
          <w:color w:val="auto"/>
        </w:rPr>
      </w:pPr>
    </w:p>
    <w:p>
      <w:pPr>
        <w:ind w:left="544" w:right="160" w:hanging="544"/>
        <w:spacing w:after="0" w:line="266" w:lineRule="auto"/>
        <w:tabs>
          <w:tab w:leader="none" w:pos="54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Guarantor shall (and the Borrower shall ensure that each other Group Member will) maintain all its licenses, approvals, registrations or filings required under any law or regulation of a Relevant Jurisdiction in full force and effect to enable it to carry on business, if failure so to comply has or is reasonably expected to have a Material Adverse Effect.</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23.2</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121"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The Borrower and the Guarantor shall (and the Borrower shall ensure that each other Group Member will) comply in all respects with all laws to which it may be subject, if failure so to comply would materially impair its ability to perform its obligations under the Finance Documents.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23.3</w:t>
        <w:tab/>
        <w:t>Negative pledge</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this Clause 23.3, “</w:t>
      </w:r>
      <w:r>
        <w:rPr>
          <w:rFonts w:ascii="Times New Roman" w:cs="Times New Roman" w:eastAsia="Times New Roman" w:hAnsi="Times New Roman"/>
          <w:sz w:val="18"/>
          <w:szCs w:val="18"/>
          <w:b w:val="1"/>
          <w:bCs w:val="1"/>
          <w:color w:val="auto"/>
        </w:rPr>
        <w:t>Quasi-Security</w:t>
      </w:r>
      <w:r>
        <w:rPr>
          <w:rFonts w:ascii="Times New Roman" w:cs="Times New Roman" w:eastAsia="Times New Roman" w:hAnsi="Times New Roman"/>
          <w:sz w:val="18"/>
          <w:szCs w:val="18"/>
          <w:color w:val="auto"/>
        </w:rPr>
        <w:t>” means an arrangement or transaction described in paragraph (b) below.</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Except as permitted under paragraph (c) below:</w:t>
      </w:r>
    </w:p>
    <w:p>
      <w:pPr>
        <w:spacing w:after="0" w:line="131" w:lineRule="exact"/>
        <w:rPr>
          <w:sz w:val="20"/>
          <w:szCs w:val="20"/>
          <w:color w:val="auto"/>
        </w:rPr>
      </w:pPr>
    </w:p>
    <w:p>
      <w:pPr>
        <w:ind w:left="1184" w:right="500" w:hanging="644"/>
        <w:spacing w:after="0" w:line="282" w:lineRule="auto"/>
        <w:tabs>
          <w:tab w:leader="none" w:pos="118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the Guarantor shall (and the Borrower shall ensure that no other Group Member will) create or permit to subsist any Security over any of its assets.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the Guarantor shall (and the Borrower shall ensure that no Group Member will):</w:t>
      </w:r>
    </w:p>
    <w:p>
      <w:pPr>
        <w:spacing w:after="0" w:line="130" w:lineRule="exact"/>
        <w:rPr>
          <w:rFonts w:ascii="Times New Roman" w:cs="Times New Roman" w:eastAsia="Times New Roman" w:hAnsi="Times New Roman"/>
          <w:sz w:val="18"/>
          <w:szCs w:val="18"/>
          <w:color w:val="auto"/>
        </w:rPr>
      </w:pPr>
    </w:p>
    <w:p>
      <w:pPr>
        <w:ind w:left="1744" w:right="540" w:hanging="543"/>
        <w:spacing w:after="0" w:line="282" w:lineRule="auto"/>
        <w:tabs>
          <w:tab w:leader="none" w:pos="174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any of its assets on terms whereby they are or may be leased to or re-acquired by the Borrower, the Guarantor or any other Group Member;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any of its receivables on recourse terms;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permit to subsist any title retention arrangement;</w:t>
      </w:r>
    </w:p>
    <w:p>
      <w:pPr>
        <w:spacing w:after="0" w:line="130" w:lineRule="exact"/>
        <w:rPr>
          <w:rFonts w:ascii="Times New Roman" w:cs="Times New Roman" w:eastAsia="Times New Roman" w:hAnsi="Times New Roman"/>
          <w:sz w:val="18"/>
          <w:szCs w:val="18"/>
          <w:color w:val="auto"/>
        </w:rPr>
      </w:pPr>
    </w:p>
    <w:p>
      <w:pPr>
        <w:ind w:left="1744" w:right="320" w:hanging="543"/>
        <w:spacing w:after="0" w:line="282" w:lineRule="auto"/>
        <w:tabs>
          <w:tab w:leader="none" w:pos="174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permit to subsist any arrangement under which money or the benefit of a bank or other account may be applied, set-off or made subject to a combination of accounts; or</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24"/>
          </w:cols>
          <w:pgMar w:left="436" w:top="266" w:right="439" w:bottom="1440" w:gutter="0" w:footer="0" w:header="0"/>
        </w:sectPr>
      </w:pPr>
    </w:p>
    <w:bookmarkStart w:id="100" w:name="page101"/>
    <w:bookmarkEnd w:id="100"/>
    <w:p>
      <w:pPr>
        <w:ind w:left="1744" w:hanging="543"/>
        <w:spacing w:after="0"/>
        <w:tabs>
          <w:tab w:leader="none" w:pos="174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enter into or permit to subsist any other preferential arrangement having a similar effect,</w:t>
      </w:r>
    </w:p>
    <w:p>
      <w:pPr>
        <w:spacing w:after="0" w:line="117" w:lineRule="exact"/>
        <w:rPr>
          <w:sz w:val="20"/>
          <w:szCs w:val="20"/>
          <w:color w:val="auto"/>
        </w:rPr>
      </w:pPr>
    </w:p>
    <w:p>
      <w:pPr>
        <w:ind w:left="1204" w:right="380"/>
        <w:spacing w:after="0" w:line="282" w:lineRule="auto"/>
        <w:rPr>
          <w:sz w:val="20"/>
          <w:szCs w:val="20"/>
          <w:color w:val="auto"/>
        </w:rPr>
      </w:pPr>
      <w:r>
        <w:rPr>
          <w:rFonts w:ascii="Times New Roman" w:cs="Times New Roman" w:eastAsia="Times New Roman" w:hAnsi="Times New Roman"/>
          <w:sz w:val="18"/>
          <w:szCs w:val="18"/>
          <w:color w:val="auto"/>
        </w:rPr>
        <w:t>in circumstances where the arrangement or transaction is entered into primarily as a method of raising Financial Indebtedness or of financing the acquisition of an asset.</w:t>
      </w:r>
    </w:p>
    <w:p>
      <w:pPr>
        <w:spacing w:after="0" w:line="67" w:lineRule="exact"/>
        <w:rPr>
          <w:sz w:val="20"/>
          <w:szCs w:val="20"/>
          <w:color w:val="auto"/>
        </w:rPr>
      </w:pPr>
    </w:p>
    <w:p>
      <w:pPr>
        <w:ind w:left="1184" w:hanging="644"/>
        <w:spacing w:after="0"/>
        <w:tabs>
          <w:tab w:leader="none" w:pos="118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and (b) above do not apply to any Security or (as the case may be) Quasi-Security, which is a Permitted Security.</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7"/>
          <w:szCs w:val="17"/>
          <w:b w:val="1"/>
          <w:bCs w:val="1"/>
          <w:color w:val="auto"/>
        </w:rPr>
        <w:t>Disposals</w:t>
      </w:r>
    </w:p>
    <w:p>
      <w:pPr>
        <w:spacing w:after="0" w:line="135" w:lineRule="exact"/>
        <w:rPr>
          <w:sz w:val="20"/>
          <w:szCs w:val="20"/>
          <w:color w:val="auto"/>
        </w:rPr>
      </w:pPr>
    </w:p>
    <w:p>
      <w:pPr>
        <w:ind w:left="544" w:right="80" w:hanging="544"/>
        <w:spacing w:after="0" w:line="266" w:lineRule="auto"/>
        <w:tabs>
          <w:tab w:leader="none" w:pos="54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under paragraph (b) below, neither the Borrower nor the Guarantor shall (and the Borrower shall ensure that no other Group Member will) enter into a single transaction or a series of transactions (whether related or not) and whether voluntary or involuntary to sell, lease, transfer or otherwise dispose of any asset.</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apply to any sale, lease, transfer or other disposal which is a Permitted Disposal or a Permitted Share Issue.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23.5</w:t>
      </w:r>
      <w:r>
        <w:rPr>
          <w:sz w:val="20"/>
          <w:szCs w:val="20"/>
          <w:color w:val="auto"/>
        </w:rPr>
        <w:tab/>
      </w:r>
      <w:r>
        <w:rPr>
          <w:rFonts w:ascii="Times New Roman" w:cs="Times New Roman" w:eastAsia="Times New Roman" w:hAnsi="Times New Roman"/>
          <w:sz w:val="17"/>
          <w:szCs w:val="17"/>
          <w:b w:val="1"/>
          <w:bCs w:val="1"/>
          <w:color w:val="auto"/>
        </w:rPr>
        <w:t>Arm’s length basis</w:t>
      </w:r>
    </w:p>
    <w:p>
      <w:pPr>
        <w:spacing w:after="0" w:line="121" w:lineRule="exact"/>
        <w:rPr>
          <w:sz w:val="20"/>
          <w:szCs w:val="20"/>
          <w:color w:val="auto"/>
        </w:rPr>
      </w:pPr>
    </w:p>
    <w:p>
      <w:pPr>
        <w:ind w:left="544" w:right="80"/>
        <w:spacing w:after="0" w:line="261" w:lineRule="auto"/>
        <w:rPr>
          <w:sz w:val="20"/>
          <w:szCs w:val="20"/>
          <w:color w:val="auto"/>
        </w:rPr>
      </w:pPr>
      <w:r>
        <w:rPr>
          <w:rFonts w:ascii="Times New Roman" w:cs="Times New Roman" w:eastAsia="Times New Roman" w:hAnsi="Times New Roman"/>
          <w:sz w:val="18"/>
          <w:szCs w:val="18"/>
          <w:color w:val="auto"/>
        </w:rPr>
        <w:t>Neither the Borrower nor the Guarantor shall (and shall ensure that no other Group Member will) enter into any transaction with any person otherwise than on arm’s length terms and for fair market value unless as otherwise expressly permitted under a Finance Document or required to be entered into pursuant to the terms of a Finance Document (including, for the avoidance of doubt, any actions or measures required or contemplated under the Keepwell Deed).</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23.6</w:t>
      </w:r>
      <w:r>
        <w:rPr>
          <w:sz w:val="20"/>
          <w:szCs w:val="20"/>
          <w:color w:val="auto"/>
        </w:rPr>
        <w:tab/>
      </w:r>
      <w:r>
        <w:rPr>
          <w:rFonts w:ascii="Times New Roman" w:cs="Times New Roman" w:eastAsia="Times New Roman" w:hAnsi="Times New Roman"/>
          <w:sz w:val="17"/>
          <w:szCs w:val="17"/>
          <w:b w:val="1"/>
          <w:bCs w:val="1"/>
          <w:color w:val="auto"/>
        </w:rPr>
        <w:t>Loans or credit</w:t>
      </w:r>
    </w:p>
    <w:p>
      <w:pPr>
        <w:spacing w:after="0" w:line="135" w:lineRule="exact"/>
        <w:rPr>
          <w:sz w:val="20"/>
          <w:szCs w:val="20"/>
          <w:color w:val="auto"/>
        </w:rPr>
      </w:pPr>
    </w:p>
    <w:p>
      <w:pPr>
        <w:ind w:left="544" w:right="80" w:hanging="544"/>
        <w:spacing w:after="0" w:line="282" w:lineRule="auto"/>
        <w:tabs>
          <w:tab w:leader="none" w:pos="54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under paragraph (b) below, neither the Borrower nor the Guarantor shall (and the Borrower shall ensure that no other Group Member will) be a creditor in respect of any Financial Indebtedness.</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apply to a Permitted Loan.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23.7</w:t>
        <w:tab/>
        <w:t>No guarantees or indemnities</w:t>
      </w:r>
    </w:p>
    <w:p>
      <w:pPr>
        <w:spacing w:after="0" w:line="135" w:lineRule="exact"/>
        <w:rPr>
          <w:sz w:val="20"/>
          <w:szCs w:val="20"/>
          <w:color w:val="auto"/>
        </w:rPr>
      </w:pPr>
    </w:p>
    <w:p>
      <w:pPr>
        <w:ind w:left="544" w:right="80" w:hanging="544"/>
        <w:spacing w:after="0" w:line="282" w:lineRule="auto"/>
        <w:tabs>
          <w:tab w:leader="none" w:pos="54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under paragraph (b) below, neither the Borrower nor the Guarantor shall (and the Borrower shall ensure that no other Group Member will) incur or allow to remain outstanding any guarantee in respect of any obligation of any person.</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apply to a guarantee which is a Permitted Guarantee.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23.8</w:t>
      </w:r>
      <w:r>
        <w:rPr>
          <w:sz w:val="20"/>
          <w:szCs w:val="20"/>
          <w:color w:val="auto"/>
        </w:rPr>
        <w:tab/>
      </w:r>
      <w:r>
        <w:rPr>
          <w:rFonts w:ascii="Times New Roman" w:cs="Times New Roman" w:eastAsia="Times New Roman" w:hAnsi="Times New Roman"/>
          <w:sz w:val="17"/>
          <w:szCs w:val="17"/>
          <w:b w:val="1"/>
          <w:bCs w:val="1"/>
          <w:color w:val="auto"/>
        </w:rPr>
        <w:t>Dividends and share redemption</w:t>
      </w:r>
    </w:p>
    <w:p>
      <w:pPr>
        <w:spacing w:after="0" w:line="135" w:lineRule="exact"/>
        <w:rPr>
          <w:sz w:val="20"/>
          <w:szCs w:val="20"/>
          <w:color w:val="auto"/>
        </w:rPr>
      </w:pPr>
    </w:p>
    <w:p>
      <w:pPr>
        <w:ind w:left="544" w:hanging="544"/>
        <w:spacing w:after="0"/>
        <w:tabs>
          <w:tab w:leader="none" w:pos="54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under paragraph (b) below, the Borrower shall not:</w:t>
      </w:r>
    </w:p>
    <w:p>
      <w:pPr>
        <w:spacing w:after="0" w:line="130"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make or pay any dividend, charge, fee or other distribution (or interest on any unpaid dividend, charge, fee or other distribution) (whether in cash or in kind) on or in respect of its share capital (or any class of its share capital);</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or distribute any dividend or share premium reserve;</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24"/>
          </w:cols>
          <w:pgMar w:left="436" w:top="270" w:right="439" w:bottom="1440" w:gutter="0" w:footer="0" w:header="0"/>
        </w:sectPr>
      </w:pPr>
    </w:p>
    <w:bookmarkStart w:id="101" w:name="page102"/>
    <w:bookmarkEnd w:id="101"/>
    <w:p>
      <w:pPr>
        <w:ind w:left="1184" w:right="500" w:hanging="644"/>
        <w:spacing w:after="0" w:line="282" w:lineRule="auto"/>
        <w:tabs>
          <w:tab w:leader="none" w:pos="118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 or allow any Group Member to pay any management, advisory or other fee to or to the order of any of the shareholders of the Borrower; 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repurchase, defease, retire or repay any of its share capital or resolve to do so,</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each case, to any Restricted Person.</w:t>
      </w:r>
    </w:p>
    <w:p>
      <w:pPr>
        <w:spacing w:after="0" w:line="131" w:lineRule="exact"/>
        <w:rPr>
          <w:sz w:val="20"/>
          <w:szCs w:val="20"/>
          <w:color w:val="auto"/>
        </w:rPr>
      </w:pPr>
    </w:p>
    <w:p>
      <w:pPr>
        <w:ind w:left="544" w:hanging="544"/>
        <w:spacing w:after="0"/>
        <w:tabs>
          <w:tab w:leader="none" w:pos="54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apply to a Permitted Distribution.</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ensure that:</w:t>
      </w:r>
    </w:p>
    <w:p>
      <w:pPr>
        <w:spacing w:after="0" w:line="130" w:lineRule="exact"/>
        <w:rPr>
          <w:rFonts w:ascii="Times New Roman" w:cs="Times New Roman" w:eastAsia="Times New Roman" w:hAnsi="Times New Roman"/>
          <w:sz w:val="18"/>
          <w:szCs w:val="18"/>
          <w:color w:val="auto"/>
        </w:rPr>
      </w:pPr>
    </w:p>
    <w:p>
      <w:pPr>
        <w:ind w:left="1184" w:right="60" w:hanging="644"/>
        <w:spacing w:after="0" w:line="266" w:lineRule="auto"/>
        <w:tabs>
          <w:tab w:leader="none" w:pos="1184"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corporate policies or constitutional documents of any Group Member (other than the Borrower) contains any restriction on the payment of dividends or the making of other distributions by any Group Member (other than the Borrower) to the Borrower, in each case other than any procedures for effecting such distributions existing in its constitutional documents at the Signing Date; and</w:t>
      </w:r>
    </w:p>
    <w:p>
      <w:pPr>
        <w:spacing w:after="0" w:line="81" w:lineRule="exact"/>
        <w:rPr>
          <w:rFonts w:ascii="Times New Roman" w:cs="Times New Roman" w:eastAsia="Times New Roman" w:hAnsi="Times New Roman"/>
          <w:sz w:val="18"/>
          <w:szCs w:val="18"/>
          <w:color w:val="auto"/>
        </w:rPr>
      </w:pPr>
    </w:p>
    <w:p>
      <w:pPr>
        <w:ind w:left="1184" w:right="40" w:hanging="644"/>
        <w:spacing w:after="0" w:line="255" w:lineRule="auto"/>
        <w:tabs>
          <w:tab w:leader="none" w:pos="1184"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restrictions on the payment of dividends or the making of distributions or otherwise by any agreement (except for any entered into with a view to avoiding the payment of dividends or the making of distributions), judgment, decree, order, statue, governmental rule or regulation or applicable law and provided it would not cause and provided the relevant Group Member has excess funds available for such remittance, the relevant Group Member shall remit to the Borrower (whether by way of dividend or otherwise) such funds as are required by the Borrower to pay all amounts due and payable by the Borrower under this Agreement (as a result of the operation of any mandatory prepayment, acceleration or maturity of any Loan or otherwise) to the extent funds required for such purposes are not otherwise available to the Borrower.</w:t>
      </w:r>
    </w:p>
    <w:p>
      <w:pPr>
        <w:spacing w:after="0" w:line="9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23.9</w:t>
        <w:tab/>
        <w:t>Financial Indebtedness</w:t>
      </w:r>
    </w:p>
    <w:p>
      <w:pPr>
        <w:spacing w:after="0" w:line="135" w:lineRule="exact"/>
        <w:rPr>
          <w:sz w:val="20"/>
          <w:szCs w:val="20"/>
          <w:color w:val="auto"/>
        </w:rPr>
      </w:pPr>
    </w:p>
    <w:p>
      <w:pPr>
        <w:ind w:left="544" w:right="80" w:hanging="544"/>
        <w:spacing w:after="0" w:line="282" w:lineRule="auto"/>
        <w:tabs>
          <w:tab w:leader="none" w:pos="54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under paragraph (b) below, neither the Borrower nor the Guarantor shall (and the Borrower shall ensure that no other Group Member will) incur or allow to remain outstanding any Financial Indebtedness.</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apply to Financial Indebtedness which is Permitted Financial Indebtedness.</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23.10  Merger</w:t>
      </w:r>
    </w:p>
    <w:p>
      <w:pPr>
        <w:spacing w:after="0" w:line="135" w:lineRule="exact"/>
        <w:rPr>
          <w:sz w:val="20"/>
          <w:szCs w:val="20"/>
          <w:color w:val="auto"/>
        </w:rPr>
      </w:pPr>
    </w:p>
    <w:p>
      <w:pPr>
        <w:ind w:left="544" w:right="320" w:hanging="544"/>
        <w:spacing w:after="0" w:line="282" w:lineRule="auto"/>
        <w:tabs>
          <w:tab w:leader="none" w:pos="54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the Guarantor shall (and the Company shall ensure that no other Group Member will) enter into any amalgamation, demerger, merger or corporate reconstruction.</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does not apply to any solvent reorganisation of a Group Member (other than an Obligor):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resulting from any actual or anticipated financial difficulties;</w:t>
      </w:r>
    </w:p>
    <w:p>
      <w:pPr>
        <w:spacing w:after="0" w:line="130" w:lineRule="exact"/>
        <w:rPr>
          <w:rFonts w:ascii="Times New Roman" w:cs="Times New Roman" w:eastAsia="Times New Roman" w:hAnsi="Times New Roman"/>
          <w:sz w:val="18"/>
          <w:szCs w:val="18"/>
          <w:color w:val="auto"/>
        </w:rPr>
      </w:pPr>
    </w:p>
    <w:p>
      <w:pPr>
        <w:ind w:left="1744" w:hanging="543"/>
        <w:spacing w:after="0" w:line="282" w:lineRule="auto"/>
        <w:tabs>
          <w:tab w:leader="none" w:pos="1744" w:val="left"/>
        </w:tabs>
        <w:numPr>
          <w:ilvl w:val="2"/>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or corporate reconstruction between a Group Member (other than an Obligor) with another person that is not a Group Member) such Group Member will be the surviving entity assuming all the assets of that other person; and</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4"/>
          </w:cols>
          <w:pgMar w:left="436" w:top="270" w:right="439" w:bottom="1440" w:gutter="0" w:footer="0" w:header="0"/>
        </w:sectPr>
      </w:pPr>
    </w:p>
    <w:bookmarkStart w:id="102" w:name="page103"/>
    <w:bookmarkEnd w:id="102"/>
    <w:p>
      <w:pPr>
        <w:ind w:left="1744" w:hanging="543"/>
        <w:spacing w:after="0"/>
        <w:tabs>
          <w:tab w:leader="none" w:pos="174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does not have or is not reasonably likely to have a Material Adverse Effect; or</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82" w:lineRule="auto"/>
        <w:tabs>
          <w:tab w:leader="none" w:pos="118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amalgamation, demerger, merger or corporate reconstruction entered into with the prior written consent of the Agent (acting on the instructions of the Majority Lenders).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23.11</w:t>
      </w:r>
      <w:r>
        <w:rPr>
          <w:sz w:val="20"/>
          <w:szCs w:val="20"/>
          <w:color w:val="auto"/>
        </w:rPr>
        <w:tab/>
      </w:r>
      <w:r>
        <w:rPr>
          <w:rFonts w:ascii="Times New Roman" w:cs="Times New Roman" w:eastAsia="Times New Roman" w:hAnsi="Times New Roman"/>
          <w:sz w:val="17"/>
          <w:szCs w:val="17"/>
          <w:b w:val="1"/>
          <w:bCs w:val="1"/>
          <w:color w:val="auto"/>
        </w:rPr>
        <w:t>Change of business</w:t>
      </w:r>
    </w:p>
    <w:p>
      <w:pPr>
        <w:spacing w:after="0" w:line="121" w:lineRule="exact"/>
        <w:rPr>
          <w:sz w:val="20"/>
          <w:szCs w:val="20"/>
          <w:color w:val="auto"/>
        </w:rPr>
      </w:pPr>
    </w:p>
    <w:p>
      <w:pPr>
        <w:ind w:left="544" w:right="200"/>
        <w:spacing w:after="0" w:line="282" w:lineRule="auto"/>
        <w:rPr>
          <w:sz w:val="20"/>
          <w:szCs w:val="20"/>
          <w:color w:val="auto"/>
        </w:rPr>
      </w:pPr>
      <w:r>
        <w:rPr>
          <w:rFonts w:ascii="Times New Roman" w:cs="Times New Roman" w:eastAsia="Times New Roman" w:hAnsi="Times New Roman"/>
          <w:sz w:val="18"/>
          <w:szCs w:val="18"/>
          <w:color w:val="auto"/>
        </w:rPr>
        <w:t>The Borrower shall procure that no substantial change is made to the general nature of the business of the Group (as a whole) from that carried on at the Signing Date.</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23.12  Insurance</w:t>
      </w:r>
    </w:p>
    <w:p>
      <w:pPr>
        <w:spacing w:after="0" w:line="135" w:lineRule="exact"/>
        <w:rPr>
          <w:sz w:val="20"/>
          <w:szCs w:val="20"/>
          <w:color w:val="auto"/>
        </w:rPr>
      </w:pPr>
    </w:p>
    <w:p>
      <w:pPr>
        <w:ind w:left="544" w:right="20" w:hanging="544"/>
        <w:spacing w:after="0" w:line="266" w:lineRule="auto"/>
        <w:tabs>
          <w:tab w:leader="none" w:pos="54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Guarantor shall (and the Borrower shall ensure that each member of the Group will) maintain insurances on and in relation to its business and assets against those risks and to the extent as is usual for companies carrying on the same or substantially similar business located in the same or a similar location.</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insurances must be with reputable independent insurance companies or underwriters.</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23.13  Acquisitions and Joint Ventures</w:t>
      </w:r>
    </w:p>
    <w:p>
      <w:pPr>
        <w:spacing w:after="0" w:line="135" w:lineRule="exact"/>
        <w:rPr>
          <w:sz w:val="20"/>
          <w:szCs w:val="20"/>
          <w:color w:val="auto"/>
        </w:rPr>
      </w:pPr>
    </w:p>
    <w:p>
      <w:pPr>
        <w:ind w:left="544" w:right="580" w:hanging="544"/>
        <w:spacing w:after="0" w:line="282" w:lineRule="auto"/>
        <w:tabs>
          <w:tab w:leader="none" w:pos="54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under paragraph (b) below, neither the Borrower nor the Guarantor shall (and the Company shall ensure that no other member of the Group will):</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 company or any shares or securities or a business or undertaking (or, in each case, any interest in any of them);</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invest in or acquire any shares, stocks, securities or other interest in any Joint Venture; or</w:t>
      </w:r>
    </w:p>
    <w:p>
      <w:pPr>
        <w:spacing w:after="0" w:line="130" w:lineRule="exact"/>
        <w:rPr>
          <w:rFonts w:ascii="Times New Roman" w:cs="Times New Roman" w:eastAsia="Times New Roman" w:hAnsi="Times New Roman"/>
          <w:sz w:val="18"/>
          <w:szCs w:val="18"/>
          <w:color w:val="auto"/>
        </w:rPr>
      </w:pPr>
    </w:p>
    <w:p>
      <w:pPr>
        <w:ind w:left="1184" w:right="400" w:hanging="644"/>
        <w:spacing w:after="0" w:line="282" w:lineRule="auto"/>
        <w:tabs>
          <w:tab w:leader="none" w:pos="118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invest in, or otherwise acquire any interest in, transfer any assets or lend to or guarantee or give an indemnity for or give security for the obligations of a Joint Venture or maintain the solvency of or provide working capital to any Joint Venture; 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a company.</w:t>
      </w:r>
    </w:p>
    <w:p>
      <w:pPr>
        <w:spacing w:after="0" w:line="130" w:lineRule="exact"/>
        <w:rPr>
          <w:rFonts w:ascii="Times New Roman" w:cs="Times New Roman" w:eastAsia="Times New Roman" w:hAnsi="Times New Roman"/>
          <w:sz w:val="18"/>
          <w:szCs w:val="18"/>
          <w:color w:val="auto"/>
        </w:rPr>
      </w:pPr>
    </w:p>
    <w:p>
      <w:pPr>
        <w:ind w:left="544" w:right="560" w:hanging="544"/>
        <w:spacing w:after="0" w:line="282" w:lineRule="auto"/>
        <w:tabs>
          <w:tab w:leader="none" w:pos="54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apply to an acquisition of a company, of shares, securities or a business or undertaking (or, in each case, any interest in any of them) or the incorporation of a company which is a Permitted Acquisition or a Permitted Joint Venture.</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23.14  Preservation of assets</w:t>
      </w:r>
    </w:p>
    <w:p>
      <w:pPr>
        <w:spacing w:after="0" w:line="121" w:lineRule="exact"/>
        <w:rPr>
          <w:sz w:val="20"/>
          <w:szCs w:val="20"/>
          <w:color w:val="auto"/>
        </w:rPr>
      </w:pPr>
    </w:p>
    <w:p>
      <w:pPr>
        <w:jc w:val="both"/>
        <w:ind w:left="544" w:right="180"/>
        <w:spacing w:after="0" w:line="266" w:lineRule="auto"/>
        <w:rPr>
          <w:sz w:val="20"/>
          <w:szCs w:val="20"/>
          <w:color w:val="auto"/>
        </w:rPr>
      </w:pPr>
      <w:r>
        <w:rPr>
          <w:rFonts w:ascii="Times New Roman" w:cs="Times New Roman" w:eastAsia="Times New Roman" w:hAnsi="Times New Roman"/>
          <w:sz w:val="18"/>
          <w:szCs w:val="18"/>
          <w:color w:val="auto"/>
        </w:rPr>
        <w:t>The Borrower and the Guarantor shall (and the Borrower shall ensure that each other Group Member will) maintain in good working order and condition (ordinary wear and tear excepted) all of its assets necessary or desirable in the conduct of its business where failure to do so has or is reasonably likely to have a Material Adverse Effect.</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4"/>
          </w:cols>
          <w:pgMar w:left="436" w:top="270" w:right="439" w:bottom="1440" w:gutter="0" w:footer="0" w:header="0"/>
        </w:sectPr>
      </w:pPr>
    </w:p>
    <w:bookmarkStart w:id="103" w:name="page104"/>
    <w:bookmarkEnd w:id="10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23.15  Environmental compliance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Borrower and the Guarantor shall (and the Borrower shall ensure that each Group Member will):</w:t>
      </w:r>
    </w:p>
    <w:p>
      <w:pPr>
        <w:spacing w:after="0" w:line="131" w:lineRule="exact"/>
        <w:rPr>
          <w:sz w:val="20"/>
          <w:szCs w:val="20"/>
          <w:color w:val="auto"/>
        </w:rPr>
      </w:pPr>
    </w:p>
    <w:p>
      <w:pPr>
        <w:ind w:left="1184" w:hanging="644"/>
        <w:spacing w:after="0"/>
        <w:tabs>
          <w:tab w:leader="none" w:pos="118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Environmental Law;</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ensure compliance with all requisite Environmental Permits;</w:t>
      </w:r>
    </w:p>
    <w:p>
      <w:pPr>
        <w:spacing w:after="0" w:line="130" w:lineRule="exact"/>
        <w:rPr>
          <w:rFonts w:ascii="Times New Roman" w:cs="Times New Roman" w:eastAsia="Times New Roman" w:hAnsi="Times New Roman"/>
          <w:sz w:val="18"/>
          <w:szCs w:val="18"/>
          <w:color w:val="auto"/>
        </w:rPr>
      </w:pPr>
    </w:p>
    <w:p>
      <w:pPr>
        <w:ind w:left="544" w:right="2240" w:hanging="4"/>
        <w:spacing w:after="0" w:line="381" w:lineRule="auto"/>
        <w:tabs>
          <w:tab w:leader="none" w:pos="1181"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procedures to monitor compliance with and to prevent liability under any Environmental Law, where failure to do so has or is reasonably likely to have a Material Adverse Effect.</w:t>
      </w:r>
    </w:p>
    <w:p>
      <w:pPr>
        <w:ind w:left="4"/>
        <w:spacing w:after="0"/>
        <w:rPr>
          <w:sz w:val="20"/>
          <w:szCs w:val="20"/>
          <w:color w:val="auto"/>
        </w:rPr>
      </w:pPr>
      <w:r>
        <w:rPr>
          <w:rFonts w:ascii="Times New Roman" w:cs="Times New Roman" w:eastAsia="Times New Roman" w:hAnsi="Times New Roman"/>
          <w:sz w:val="18"/>
          <w:szCs w:val="18"/>
          <w:b w:val="1"/>
          <w:bCs w:val="1"/>
          <w:color w:val="auto"/>
        </w:rPr>
        <w:t>23.16  Environmental Claims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Borrower and the Guarantor shall, promptly upon becoming aware of the same, inform the Agent in writing of:</w:t>
      </w:r>
    </w:p>
    <w:p>
      <w:pPr>
        <w:spacing w:after="0" w:line="131" w:lineRule="exact"/>
        <w:rPr>
          <w:sz w:val="20"/>
          <w:szCs w:val="20"/>
          <w:color w:val="auto"/>
        </w:rPr>
      </w:pPr>
    </w:p>
    <w:p>
      <w:pPr>
        <w:ind w:left="1184" w:hanging="644"/>
        <w:spacing w:after="0"/>
        <w:tabs>
          <w:tab w:leader="none" w:pos="118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Environmental Claim against any Group Member which is current, pending or threatened; and</w:t>
      </w:r>
    </w:p>
    <w:p>
      <w:pPr>
        <w:spacing w:after="0" w:line="130"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facts or circumstances which are reasonably likely to result in any Environmental Claim being commenced or threatened against any Group Member,</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where the claim, if determined against that Group Member, has or is reasonably likely to have a Material Adverse Effect.</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23.17  Sanctions, anti-corruption, anti-money laundering and anti-terrorism</w:t>
      </w:r>
    </w:p>
    <w:p>
      <w:pPr>
        <w:spacing w:after="0" w:line="135" w:lineRule="exact"/>
        <w:rPr>
          <w:sz w:val="20"/>
          <w:szCs w:val="20"/>
          <w:color w:val="auto"/>
        </w:rPr>
      </w:pPr>
    </w:p>
    <w:p>
      <w:pPr>
        <w:ind w:left="544" w:right="40" w:hanging="544"/>
        <w:spacing w:after="0" w:line="266" w:lineRule="auto"/>
        <w:tabs>
          <w:tab w:leader="none" w:pos="54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the Company shall ensure that no other Obligors, their respective Subsidiaries or Group Members will) contract, enter into any arrangements, transactions or agreements or otherwise establish any form of relationships with (i) any Asset Freeze Target, (ii) any other Sanctioned Person in violation of Sanctions or (iii) any Sanctioned Country or in any Sanctioned Country.</w:t>
      </w:r>
    </w:p>
    <w:p>
      <w:pPr>
        <w:spacing w:after="0" w:line="81" w:lineRule="exact"/>
        <w:rPr>
          <w:rFonts w:ascii="Times New Roman" w:cs="Times New Roman" w:eastAsia="Times New Roman" w:hAnsi="Times New Roman"/>
          <w:sz w:val="18"/>
          <w:szCs w:val="18"/>
          <w:color w:val="auto"/>
        </w:rPr>
      </w:pPr>
    </w:p>
    <w:p>
      <w:pPr>
        <w:ind w:left="544" w:right="20" w:hanging="544"/>
        <w:spacing w:after="0" w:line="261" w:lineRule="auto"/>
        <w:tabs>
          <w:tab w:leader="none" w:pos="54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party to this Agreement shall ensure (and each Obligor shall ensure that each of the other Obligors, each of their respective Subsidiaries, Group Members will ensure) that it shall not and shall not permit or authorise any other person to directly or indirectly use, lend, make payments of, contribute or otherwise make available all or any part of the proceeds of any financing or any transactions contemplated by or provided under or in connection with the Finance Documents to fund any trade, business or other activities:</w:t>
      </w:r>
    </w:p>
    <w:p>
      <w:pPr>
        <w:spacing w:after="0" w:line="85"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directly or indirectly involving or for the benefit of (i) any Asset Freeze Target, (ii) any other Sanctioned Person in violation of Sanctions or (iii) any Sanctioned Country;</w:t>
      </w:r>
    </w:p>
    <w:p>
      <w:pPr>
        <w:spacing w:after="0" w:line="67"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funding, financing or facilitating any activities, business or transaction of or with (i) any Asset Freeze Target, (ii) any other Sanctioned Person in violation of Sanctions, or (iii) in any Sanctioned Country;</w:t>
      </w:r>
    </w:p>
    <w:p>
      <w:pPr>
        <w:spacing w:after="0" w:line="67"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manner that might result in any Obligor, any of its Affiliates, Group Members, or any member of the Bank Group being in breach of any Sanctions or becoming a Sanctioned Person or permit or authorise any other person to do so; or</w:t>
      </w:r>
    </w:p>
    <w:p>
      <w:pPr>
        <w:spacing w:after="0" w:line="67"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way that could reasonably be expected to (either directly or indirectly) result in an Obligor, any of its Affiliates, Group Members or any member of the Bank Group being in breach of any Anti-Corruption Laws or AML/CTF Laws.</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4"/>
          </w:cols>
          <w:pgMar w:left="436" w:top="266" w:right="439" w:bottom="1440" w:gutter="0" w:footer="0" w:header="0"/>
        </w:sectPr>
      </w:pPr>
    </w:p>
    <w:bookmarkStart w:id="104" w:name="page105"/>
    <w:bookmarkEnd w:id="104"/>
    <w:p>
      <w:pPr>
        <w:ind w:left="544" w:right="340" w:hanging="544"/>
        <w:spacing w:after="0" w:line="266" w:lineRule="auto"/>
        <w:tabs>
          <w:tab w:leader="none" w:pos="54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not (and the Company shall ensure that none of the other Obligors, their respective Subsidiaries or Group Members will) fund directly or indirectly all or part of any payment pursuant to the Finance Documents or discharge any obligation under the Finance Documents out of proceeds derived from or otherwise directly or indirectly sourced from:</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Asset Freeze Target, (ii) any other Sanctioned Person in violation of Sanctions or (iii) any Sanctioned Country;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sanctioned or sanctionable activity or whose source is sanctioned; or</w:t>
      </w:r>
    </w:p>
    <w:p>
      <w:pPr>
        <w:spacing w:after="0" w:line="130" w:lineRule="exact"/>
        <w:rPr>
          <w:rFonts w:ascii="Times New Roman" w:cs="Times New Roman" w:eastAsia="Times New Roman" w:hAnsi="Times New Roman"/>
          <w:sz w:val="18"/>
          <w:szCs w:val="18"/>
          <w:color w:val="auto"/>
        </w:rPr>
      </w:pPr>
    </w:p>
    <w:p>
      <w:pPr>
        <w:ind w:left="1184" w:right="60" w:hanging="644"/>
        <w:spacing w:after="0" w:line="266" w:lineRule="auto"/>
        <w:tabs>
          <w:tab w:leader="none" w:pos="1184"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status which is prohibited by, or might cause any Obligor, any of their respective Affiliates, Group Members, any member of the Bank Group or any other person (including any person participating in the Loans, whether as administrative agent, arranger, issuing bank, lender, underwriter, advisor, investor or otherwise) to be in breach of, any Sanctions.</w:t>
      </w:r>
    </w:p>
    <w:p>
      <w:pPr>
        <w:spacing w:after="0" w:line="81" w:lineRule="exact"/>
        <w:rPr>
          <w:rFonts w:ascii="Times New Roman" w:cs="Times New Roman" w:eastAsia="Times New Roman" w:hAnsi="Times New Roman"/>
          <w:sz w:val="18"/>
          <w:szCs w:val="18"/>
          <w:color w:val="auto"/>
        </w:rPr>
      </w:pPr>
    </w:p>
    <w:p>
      <w:pPr>
        <w:ind w:left="544" w:right="200" w:hanging="544"/>
        <w:spacing w:after="0" w:line="261" w:lineRule="auto"/>
        <w:tabs>
          <w:tab w:leader="none" w:pos="54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the Company shall ensure that none of the other Obligors, their respective Subsidiaries or Group Members will) directly or indirectly use the proceeds of any Facility (including the furtherance of an offer, payment, promise to pay, or authorisation of the payment or giving of money, or anything else of value to any person) for any purpose which would breach applicable Anti-Corruption Laws or AML/CTF Laws.</w:t>
      </w:r>
    </w:p>
    <w:p>
      <w:pPr>
        <w:spacing w:after="0" w:line="85" w:lineRule="exact"/>
        <w:rPr>
          <w:rFonts w:ascii="Times New Roman" w:cs="Times New Roman" w:eastAsia="Times New Roman" w:hAnsi="Times New Roman"/>
          <w:sz w:val="18"/>
          <w:szCs w:val="18"/>
          <w:color w:val="auto"/>
        </w:rPr>
      </w:pPr>
    </w:p>
    <w:p>
      <w:pPr>
        <w:ind w:left="544" w:right="100" w:hanging="544"/>
        <w:spacing w:after="0" w:line="261" w:lineRule="auto"/>
        <w:tabs>
          <w:tab w:leader="none" w:pos="54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the Company shall ensure that each of the other Obligors, their respective Subsidiaries, and Group Members and their respective directors, Affiliates, officers, employees, and agents will, conduct its businesses in compliance with applicable Anti-Corruption Laws and AML/CTF Laws and not in breach of any Sanctions, and maintain and enforce policies and procedures designed to promote and achieve compliance with such laws and to avoid breaching any Sanctions.</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23.18  Taxation</w:t>
      </w:r>
    </w:p>
    <w:p>
      <w:pPr>
        <w:spacing w:after="0" w:line="135" w:lineRule="exact"/>
        <w:rPr>
          <w:sz w:val="20"/>
          <w:szCs w:val="20"/>
          <w:color w:val="auto"/>
        </w:rPr>
      </w:pPr>
    </w:p>
    <w:p>
      <w:pPr>
        <w:ind w:left="544" w:right="140" w:hanging="544"/>
        <w:spacing w:after="0" w:line="282" w:lineRule="auto"/>
        <w:tabs>
          <w:tab w:leader="none" w:pos="544"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Guarantor shall (and the Company shall ensure that each Group Member will) pay and discharge all Taxes imposed upon it or its assets within the time period allowed without incurring penalties unless and only to the extent that:</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payment is being contested in good faith;</w:t>
      </w:r>
    </w:p>
    <w:p>
      <w:pPr>
        <w:spacing w:after="0" w:line="130" w:lineRule="exact"/>
        <w:rPr>
          <w:rFonts w:ascii="Times New Roman" w:cs="Times New Roman" w:eastAsia="Times New Roman" w:hAnsi="Times New Roman"/>
          <w:sz w:val="18"/>
          <w:szCs w:val="18"/>
          <w:color w:val="auto"/>
        </w:rPr>
      </w:pPr>
    </w:p>
    <w:p>
      <w:pPr>
        <w:ind w:left="1184" w:right="320" w:hanging="644"/>
        <w:spacing w:after="0" w:line="282" w:lineRule="auto"/>
        <w:tabs>
          <w:tab w:leader="none" w:pos="1184"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reserves are being maintained for those Taxes and the costs required to contest them which have been disclosed in its latest financial statements delivered to the Agent under Clause 21.1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184" w:right="520" w:hanging="644"/>
        <w:spacing w:after="0" w:line="282" w:lineRule="auto"/>
        <w:tabs>
          <w:tab w:leader="none" w:pos="1184"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payment can be lawfully withheld and failure to pay those Taxes does not have or is not reasonably likely to have a Material Adverse Effect.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Member may change its residence for Tax purposes.</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23.19  Pari passu ranking</w:t>
      </w:r>
    </w:p>
    <w:p>
      <w:pPr>
        <w:spacing w:after="0" w:line="121" w:lineRule="exact"/>
        <w:rPr>
          <w:sz w:val="20"/>
          <w:szCs w:val="20"/>
          <w:color w:val="auto"/>
        </w:rPr>
      </w:pPr>
    </w:p>
    <w:p>
      <w:pPr>
        <w:ind w:left="544" w:right="100"/>
        <w:spacing w:after="0" w:line="266" w:lineRule="auto"/>
        <w:rPr>
          <w:sz w:val="20"/>
          <w:szCs w:val="20"/>
          <w:color w:val="auto"/>
        </w:rPr>
      </w:pPr>
      <w:r>
        <w:rPr>
          <w:rFonts w:ascii="Times New Roman" w:cs="Times New Roman" w:eastAsia="Times New Roman" w:hAnsi="Times New Roman"/>
          <w:sz w:val="18"/>
          <w:szCs w:val="18"/>
          <w:color w:val="auto"/>
        </w:rPr>
        <w:t xml:space="preserve">The Borrower and the Guarantor shall ensure that at all times any unsecured and unsubordinated claims of a Secured Party against it under the Finance Documents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claims of all its other unsecured and unsubordinated creditors except those creditors whose claims are mandatorily preferred by laws of general application to companies.</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24"/>
          </w:cols>
          <w:pgMar w:left="436" w:top="270" w:right="439" w:bottom="1440" w:gutter="0" w:footer="0" w:header="0"/>
        </w:sectPr>
      </w:pPr>
    </w:p>
    <w:bookmarkStart w:id="105" w:name="page106"/>
    <w:bookmarkEnd w:id="10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23.20  Access</w:t>
      </w:r>
    </w:p>
    <w:p>
      <w:pPr>
        <w:spacing w:after="0" w:line="121" w:lineRule="exact"/>
        <w:rPr>
          <w:sz w:val="20"/>
          <w:szCs w:val="20"/>
          <w:color w:val="auto"/>
        </w:rPr>
      </w:pPr>
    </w:p>
    <w:p>
      <w:pPr>
        <w:ind w:left="544" w:right="60"/>
        <w:spacing w:after="0" w:line="256" w:lineRule="auto"/>
        <w:rPr>
          <w:sz w:val="20"/>
          <w:szCs w:val="20"/>
          <w:color w:val="auto"/>
        </w:rPr>
      </w:pPr>
      <w:r>
        <w:rPr>
          <w:rFonts w:ascii="Times New Roman" w:cs="Times New Roman" w:eastAsia="Times New Roman" w:hAnsi="Times New Roman"/>
          <w:sz w:val="18"/>
          <w:szCs w:val="18"/>
          <w:color w:val="auto"/>
        </w:rPr>
        <w:t>The Borrower and the Guarantor shall, and the Borrower shall ensure that each Group Member will, (not more than once in every Financial Year unless the Agent reasonably suspects a Default is continuing or may occur) permit the Agent and/or the Security Agent and/or if reasonably necessary, any accountants or other professional advisers and contractors of the Agent and/or the Security Agent free access at all reasonable times and on reasonable notice at the risk and cost of the Obligor or Borrower to (a) following the occurrence of an Event of Default or where the Lenders reasonably suspect an Event of Default has occurred or is likely to occur, the premises, assets, books, accounts and records of each member of the Group and (b) meet and discuss matters with management of the Group following reasonable notice and at agreed times.</w:t>
      </w:r>
    </w:p>
    <w:p>
      <w:pPr>
        <w:spacing w:after="0" w:line="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23.21  Subordination</w:t>
      </w:r>
    </w:p>
    <w:p>
      <w:pPr>
        <w:spacing w:after="0" w:line="121" w:lineRule="exact"/>
        <w:rPr>
          <w:sz w:val="20"/>
          <w:szCs w:val="20"/>
          <w:color w:val="auto"/>
        </w:rPr>
      </w:pPr>
    </w:p>
    <w:p>
      <w:pPr>
        <w:ind w:left="544" w:right="20"/>
        <w:spacing w:after="0" w:line="258" w:lineRule="auto"/>
        <w:rPr>
          <w:sz w:val="20"/>
          <w:szCs w:val="20"/>
          <w:color w:val="auto"/>
        </w:rPr>
      </w:pPr>
      <w:r>
        <w:rPr>
          <w:rFonts w:ascii="Times New Roman" w:cs="Times New Roman" w:eastAsia="Times New Roman" w:hAnsi="Times New Roman"/>
          <w:sz w:val="18"/>
          <w:szCs w:val="18"/>
          <w:color w:val="auto"/>
        </w:rPr>
        <w:t>The Borrower must ensure that all present or future Subordinated Debt shall be, or become subordinated to, the Facilities by procuring that any creditor in respect of such Subordinated Debt becomes a party to the Subordination Deed as a “Subordinated Creditor” (as defined therein) on or before the Signing Date (or, if any Subordinated Debt is incurred after the Signing Date, by no later than the date on which such Subordinated Debt is incurred, in each case on terms as set out in the Subordination Deed) and in each case provided that Subordinated Debt falling under limb (c) of the defined term shall only be required to be subordinated to the Facilities following an Event of Default that is continuing.</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23.22  Centre of main interests and establishments</w:t>
      </w:r>
    </w:p>
    <w:p>
      <w:pPr>
        <w:spacing w:after="0" w:line="121" w:lineRule="exact"/>
        <w:rPr>
          <w:sz w:val="20"/>
          <w:szCs w:val="20"/>
          <w:color w:val="auto"/>
        </w:rPr>
      </w:pPr>
    </w:p>
    <w:p>
      <w:pPr>
        <w:ind w:left="544" w:right="40"/>
        <w:spacing w:after="0" w:line="261" w:lineRule="auto"/>
        <w:rPr>
          <w:sz w:val="20"/>
          <w:szCs w:val="20"/>
          <w:color w:val="auto"/>
        </w:rPr>
      </w:pPr>
      <w:r>
        <w:rPr>
          <w:rFonts w:ascii="Times New Roman" w:cs="Times New Roman" w:eastAsia="Times New Roman" w:hAnsi="Times New Roman"/>
          <w:sz w:val="18"/>
          <w:szCs w:val="18"/>
          <w:color w:val="auto"/>
        </w:rPr>
        <w:t>The Borrower must procure that each Obligor shall maintain its centre of main interest (as that term is used in Article 3(1) of Regulation (EU) 2015/848 of 20 May 2015 on insolvency proceedings (recast) (the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and/or (where relevant) the Regulation as it may form part the laws of the United Kingdom (“</w:t>
      </w:r>
      <w:r>
        <w:rPr>
          <w:rFonts w:ascii="Times New Roman" w:cs="Times New Roman" w:eastAsia="Times New Roman" w:hAnsi="Times New Roman"/>
          <w:sz w:val="18"/>
          <w:szCs w:val="18"/>
          <w:b w:val="1"/>
          <w:bCs w:val="1"/>
          <w:color w:val="auto"/>
        </w:rPr>
        <w:t>COMI</w:t>
      </w:r>
      <w:r>
        <w:rPr>
          <w:rFonts w:ascii="Times New Roman" w:cs="Times New Roman" w:eastAsia="Times New Roman" w:hAnsi="Times New Roman"/>
          <w:sz w:val="18"/>
          <w:szCs w:val="18"/>
          <w:color w:val="auto"/>
        </w:rPr>
        <w:t>”) in its Original Jurisdiction and shall not register any “establishment” (as that term is used in Article 2(10) of the Regulation) in any other jurisdiction.</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23.23  Further assurance</w:t>
      </w:r>
    </w:p>
    <w:p>
      <w:pPr>
        <w:spacing w:after="0" w:line="135" w:lineRule="exact"/>
        <w:rPr>
          <w:sz w:val="20"/>
          <w:szCs w:val="20"/>
          <w:color w:val="auto"/>
        </w:rPr>
      </w:pPr>
    </w:p>
    <w:p>
      <w:pPr>
        <w:ind w:left="544" w:right="20" w:hanging="544"/>
        <w:spacing w:after="0" w:line="266" w:lineRule="auto"/>
        <w:tabs>
          <w:tab w:leader="none" w:pos="54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(and the Borrower shall procure that each other Group Member will) promptly do all such acts or execute all such documents (including assignments, transfers, mortgages, charges, notices and instructions) as the Security Agent may reasonably specify (and in such form as the Security Agent may reasonably require in favour of the Security Agent or its nominee(s)):</w:t>
      </w:r>
    </w:p>
    <w:p>
      <w:pPr>
        <w:spacing w:after="0" w:line="81" w:lineRule="exact"/>
        <w:rPr>
          <w:rFonts w:ascii="Times New Roman" w:cs="Times New Roman" w:eastAsia="Times New Roman" w:hAnsi="Times New Roman"/>
          <w:sz w:val="18"/>
          <w:szCs w:val="18"/>
          <w:color w:val="auto"/>
        </w:rPr>
      </w:pPr>
    </w:p>
    <w:p>
      <w:pPr>
        <w:ind w:left="1184" w:right="20" w:hanging="644"/>
        <w:spacing w:after="0" w:line="261" w:lineRule="auto"/>
        <w:tabs>
          <w:tab w:leader="none" w:pos="1184"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perfect the Security created or intended to be created under or evidenced by the Security Documents (which may include the execution of a mortgage, charge, assignment or other Security over all or any of the assets which are, or are intended to be, the subject of the Transaction Security) or for the exercise of any rights, powers and remedies of the Security Agent or the Secured Parties provided by or pursuant to the Finance Documents or by law;</w:t>
      </w:r>
    </w:p>
    <w:p>
      <w:pPr>
        <w:spacing w:after="0" w:line="11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4"/>
          </w:cols>
          <w:pgMar w:left="436" w:top="266" w:right="439" w:bottom="1440" w:gutter="0" w:footer="0" w:header="0"/>
        </w:sectPr>
      </w:pPr>
    </w:p>
    <w:bookmarkStart w:id="106" w:name="page107"/>
    <w:bookmarkEnd w:id="106"/>
    <w:p>
      <w:pPr>
        <w:ind w:left="1184" w:right="320" w:hanging="644"/>
        <w:spacing w:after="0" w:line="282" w:lineRule="auto"/>
        <w:tabs>
          <w:tab w:leader="none" w:pos="118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confer on the Security Agent or confer on the Secured Parties Security over any property and assets of that Obligor located in any jurisdiction equivalent or similar to the Security intended to be conferred by or pursuant to the Security Documents; and/or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realisation of the assets which are, or are intended to be, the subject of the Transaction Security.</w:t>
      </w:r>
    </w:p>
    <w:p>
      <w:pPr>
        <w:spacing w:after="0" w:line="131" w:lineRule="exact"/>
        <w:rPr>
          <w:sz w:val="20"/>
          <w:szCs w:val="20"/>
          <w:color w:val="auto"/>
        </w:rPr>
      </w:pPr>
    </w:p>
    <w:p>
      <w:pPr>
        <w:jc w:val="both"/>
        <w:ind w:left="544" w:right="100" w:hanging="544"/>
        <w:spacing w:after="0" w:line="266" w:lineRule="auto"/>
        <w:tabs>
          <w:tab w:leader="none" w:pos="54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(and the Borrower shall procure that each Group Member will) take all such action as is available to it (including making all filings and registrations) as may be necessary for the purpose of the creation, perfection, protection or maintenance of any Security conferred or intended to be conferred on the Security Agent or the Secured Parties by or pursuant to the Finance Documents.</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23.24  NDRC reporting</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To the extent that the Facilities have been registered with NDRC in accordance with the NDRC Order No. 56, the Borrower shall:</w:t>
      </w:r>
    </w:p>
    <w:p>
      <w:pPr>
        <w:spacing w:after="0" w:line="131" w:lineRule="exact"/>
        <w:rPr>
          <w:sz w:val="20"/>
          <w:szCs w:val="20"/>
          <w:color w:val="auto"/>
        </w:rPr>
      </w:pPr>
    </w:p>
    <w:p>
      <w:pPr>
        <w:ind w:left="1184" w:right="260" w:hanging="644"/>
        <w:spacing w:after="0" w:line="266" w:lineRule="auto"/>
        <w:tabs>
          <w:tab w:leader="none" w:pos="118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any reporting requirements under NDRC Order No. 56 in relation to the Facilities are complied with, and deliver to the Agent a copy of the evidence of the completion of such reporting requirement (which evidence may be in the form of a screenshot of the NDRC system showing that such reporting has been duly made);</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submit an amendment application to the NDRC prior to the occurrence of any following circumstances: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currency of the Facilities to be utilised;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the type of debt instrument;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purpose of the Facilities; and</w:t>
      </w:r>
    </w:p>
    <w:p>
      <w:pPr>
        <w:spacing w:after="0" w:line="130" w:lineRule="exact"/>
        <w:rPr>
          <w:rFonts w:ascii="Times New Roman" w:cs="Times New Roman" w:eastAsia="Times New Roman" w:hAnsi="Times New Roman"/>
          <w:sz w:val="18"/>
          <w:szCs w:val="18"/>
          <w:color w:val="auto"/>
        </w:rPr>
      </w:pPr>
    </w:p>
    <w:p>
      <w:pPr>
        <w:ind w:left="1744" w:right="660" w:hanging="543"/>
        <w:spacing w:after="0" w:line="282" w:lineRule="auto"/>
        <w:tabs>
          <w:tab w:leader="none" w:pos="1744"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circumstances which may result in any material amendment and/or update of the items recorded in the NDRC Registration Certificate from time to time being required under the NDRC Order No. 56,</w:t>
      </w:r>
    </w:p>
    <w:p>
      <w:pPr>
        <w:spacing w:after="0" w:line="50"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(any of the above, an “</w:t>
      </w:r>
      <w:r>
        <w:rPr>
          <w:rFonts w:ascii="Times New Roman" w:cs="Times New Roman" w:eastAsia="Times New Roman" w:hAnsi="Times New Roman"/>
          <w:sz w:val="18"/>
          <w:szCs w:val="18"/>
          <w:b w:val="1"/>
          <w:bCs w:val="1"/>
          <w:color w:val="auto"/>
        </w:rPr>
        <w:t>NDRC Approval Change</w:t>
      </w:r>
      <w:r>
        <w:rPr>
          <w:rFonts w:ascii="Times New Roman" w:cs="Times New Roman" w:eastAsia="Times New Roman" w:hAnsi="Times New Roman"/>
          <w:sz w:val="18"/>
          <w:szCs w:val="18"/>
          <w:color w:val="auto"/>
        </w:rPr>
        <w:t>”); and</w:t>
      </w:r>
    </w:p>
    <w:p>
      <w:pPr>
        <w:spacing w:after="0" w:line="148" w:lineRule="exact"/>
        <w:rPr>
          <w:sz w:val="20"/>
          <w:szCs w:val="20"/>
          <w:color w:val="auto"/>
        </w:rPr>
      </w:pPr>
    </w:p>
    <w:p>
      <w:pPr>
        <w:ind w:left="1184" w:right="100" w:hanging="644"/>
        <w:spacing w:after="0" w:line="232" w:lineRule="exact"/>
        <w:tabs>
          <w:tab w:leader="none" w:pos="1184"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deliver to the Agent a copy of the updated Enterprise Foreign Debt Filing/Registration (</w:t>
      </w:r>
      <w:r>
        <w:rPr>
          <w:rFonts w:ascii="SimSun" w:cs="SimSun" w:eastAsia="SimSun" w:hAnsi="SimSun"/>
          <w:sz w:val="18"/>
          <w:szCs w:val="18"/>
          <w:color w:val="auto"/>
        </w:rPr>
        <w:t>企业借用外债审核登记证明</w:t>
      </w:r>
      <w:r>
        <w:rPr>
          <w:rFonts w:ascii="Times New Roman" w:cs="Times New Roman" w:eastAsia="Times New Roman" w:hAnsi="Times New Roman"/>
          <w:sz w:val="18"/>
          <w:szCs w:val="18"/>
          <w:color w:val="auto"/>
        </w:rPr>
        <w:t>) or such other evidence that the NDRC Approval Change has been approved by NDRC.</w:t>
      </w:r>
    </w:p>
    <w:p>
      <w:pPr>
        <w:spacing w:after="0" w:line="1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23.25  Interest reserve</w:t>
      </w:r>
    </w:p>
    <w:p>
      <w:pPr>
        <w:spacing w:after="0" w:line="135" w:lineRule="exact"/>
        <w:rPr>
          <w:sz w:val="20"/>
          <w:szCs w:val="20"/>
          <w:color w:val="auto"/>
        </w:rPr>
      </w:pPr>
    </w:p>
    <w:p>
      <w:pPr>
        <w:ind w:left="544" w:right="320" w:hanging="544"/>
        <w:spacing w:after="0" w:line="282" w:lineRule="auto"/>
        <w:tabs>
          <w:tab w:leader="none" w:pos="54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maintain each of the Interest Reserve Accounts with the Account Bank and provide to the Agent, promptly on its request, any information relating to any Interest Reserve Account including the balance standing to its credit and account statements.</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maintain, in respect of any day on and following the Initial Utilisation Date: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Interest Reserve Account (EUR), an aggregate amount equal to or greater than the Interest Reserve Amount (EUR); and</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24"/>
          </w:cols>
          <w:pgMar w:left="436" w:top="270" w:right="439" w:bottom="1440" w:gutter="0" w:footer="0" w:header="0"/>
        </w:sectPr>
      </w:pPr>
    </w:p>
    <w:bookmarkStart w:id="107" w:name="page108"/>
    <w:bookmarkEnd w:id="107"/>
    <w:p>
      <w:pPr>
        <w:ind w:left="544" w:right="1060" w:hanging="4"/>
        <w:spacing w:after="0" w:line="383" w:lineRule="auto"/>
        <w:tabs>
          <w:tab w:leader="none" w:pos="1181"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Interest Reserve Account (USD), an aggregate amount equal to or greater than the Interest Reserve Amount (USD), in respect of that day.</w:t>
      </w:r>
    </w:p>
    <w:p>
      <w:pPr>
        <w:ind w:left="544" w:right="180" w:hanging="544"/>
        <w:spacing w:after="0" w:line="261" w:lineRule="auto"/>
        <w:tabs>
          <w:tab w:leader="none" w:pos="54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no Event of Default has occurred, the Borrower may withdraw or transfer any amount standing to the credit of any of the Interest Reserve Accounts for the purposes of paying any amount due from it under the Finance Documents, provided that the balance standing to the credit of any of the Interest Reserve Accounts will not be less than any applicable Interest Reserve Amount, immediately after such withdrawal or transfer provided further that no Interest Reserve Account shall go into overdraft as a result of such withdrawal or transfer.</w:t>
      </w:r>
    </w:p>
    <w:p>
      <w:pPr>
        <w:spacing w:after="0" w:line="85" w:lineRule="exact"/>
        <w:rPr>
          <w:rFonts w:ascii="Times New Roman" w:cs="Times New Roman" w:eastAsia="Times New Roman" w:hAnsi="Times New Roman"/>
          <w:sz w:val="18"/>
          <w:szCs w:val="18"/>
          <w:color w:val="auto"/>
        </w:rPr>
      </w:pPr>
    </w:p>
    <w:p>
      <w:pPr>
        <w:ind w:left="544" w:right="160" w:hanging="544"/>
        <w:spacing w:after="0" w:line="261" w:lineRule="auto"/>
        <w:tabs>
          <w:tab w:leader="none" w:pos="54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 Event of Default has occurred, the Security Agent may, and is hereby unconditionally and irrevocably authorised by the Borrower, to have sole signing rights in respect of each of the Interest Reserve Accounts and to operate each of the Interest Reserve Accounts, including giving or withdrawal instructions to the Account Bank for the withdrawal or transfer of any amount from each of the Interest Reserve Accounts for the purpose of satisfying any amount that is then due and payable by the Borrower under the Finance Documents.</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23.26  BELR</w:t>
      </w:r>
    </w:p>
    <w:p>
      <w:pPr>
        <w:spacing w:after="0" w:line="121" w:lineRule="exact"/>
        <w:rPr>
          <w:sz w:val="20"/>
          <w:szCs w:val="20"/>
          <w:color w:val="auto"/>
        </w:rPr>
      </w:pPr>
    </w:p>
    <w:p>
      <w:pPr>
        <w:ind w:left="544" w:right="60"/>
        <w:spacing w:after="0" w:line="258" w:lineRule="auto"/>
        <w:rPr>
          <w:sz w:val="20"/>
          <w:szCs w:val="20"/>
          <w:color w:val="auto"/>
        </w:rPr>
      </w:pPr>
      <w:r>
        <w:rPr>
          <w:rFonts w:ascii="Times New Roman" w:cs="Times New Roman" w:eastAsia="Times New Roman" w:hAnsi="Times New Roman"/>
          <w:sz w:val="18"/>
          <w:szCs w:val="18"/>
          <w:color w:val="auto"/>
        </w:rPr>
        <w:t>The Borrower shall supply to a Lender which is an authorized institution (within the meaning of the Banking Ordinance (Cap. 155 of the Laws of Hong Kong)), immediately, notice in writing if, to the best of its knowledge, it is or becomes in any way related or connected (within the meaning of the Banking (Exposure Limits) Rules (Cap. 155S of the laws of Hong Kong) and regulations in respect thereof in Hong Kong) to the Bank Group of which that Lender is a member and, in the absence of any such notice, that Lender may assume that the Borrower is not so related or connected.</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23.27  Loan proceeds to be applied towards PPAB Group</w:t>
      </w:r>
    </w:p>
    <w:p>
      <w:pPr>
        <w:spacing w:after="0" w:line="121" w:lineRule="exact"/>
        <w:rPr>
          <w:sz w:val="20"/>
          <w:szCs w:val="20"/>
          <w:color w:val="auto"/>
        </w:rPr>
      </w:pPr>
    </w:p>
    <w:p>
      <w:pPr>
        <w:ind w:left="544" w:right="160"/>
        <w:spacing w:after="0" w:line="282" w:lineRule="auto"/>
        <w:rPr>
          <w:sz w:val="20"/>
          <w:szCs w:val="20"/>
          <w:color w:val="auto"/>
        </w:rPr>
      </w:pPr>
      <w:r>
        <w:rPr>
          <w:rFonts w:ascii="Times New Roman" w:cs="Times New Roman" w:eastAsia="Times New Roman" w:hAnsi="Times New Roman"/>
          <w:sz w:val="18"/>
          <w:szCs w:val="18"/>
          <w:color w:val="auto"/>
        </w:rPr>
        <w:t>The Borrower shall, within 30 days of the Utilisation Date of a Loan, apply an amount not less than 50 per cent. of the proceeds of that Loan to the Guarantor for use by any member of the PPAB Group towards a purpose that is compliant with Clause 43 (</w:t>
      </w:r>
      <w:r>
        <w:rPr>
          <w:rFonts w:ascii="Times New Roman" w:cs="Times New Roman" w:eastAsia="Times New Roman" w:hAnsi="Times New Roman"/>
          <w:sz w:val="18"/>
          <w:szCs w:val="18"/>
          <w:i w:val="1"/>
          <w:iCs w:val="1"/>
          <w:color w:val="auto"/>
        </w:rPr>
        <w:t>Green Loan</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544" w:hanging="544"/>
        <w:spacing w:after="0"/>
        <w:tabs>
          <w:tab w:leader="none" w:pos="544"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119"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events or circumstances set out in Clause 24 is an Event of Default (save for Clause 24.19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7"/>
          <w:szCs w:val="17"/>
          <w:b w:val="1"/>
          <w:bCs w:val="1"/>
          <w:color w:val="auto"/>
        </w:rPr>
        <w:t>Non-payment</w:t>
      </w:r>
    </w:p>
    <w:p>
      <w:pPr>
        <w:spacing w:after="0" w:line="121" w:lineRule="exact"/>
        <w:rPr>
          <w:sz w:val="20"/>
          <w:szCs w:val="20"/>
          <w:color w:val="auto"/>
        </w:rPr>
      </w:pPr>
    </w:p>
    <w:p>
      <w:pPr>
        <w:ind w:left="544" w:right="20"/>
        <w:spacing w:after="0" w:line="282" w:lineRule="auto"/>
        <w:rPr>
          <w:sz w:val="20"/>
          <w:szCs w:val="20"/>
          <w:color w:val="auto"/>
        </w:rPr>
      </w:pPr>
      <w:r>
        <w:rPr>
          <w:rFonts w:ascii="Times New Roman" w:cs="Times New Roman" w:eastAsia="Times New Roman" w:hAnsi="Times New Roman"/>
          <w:sz w:val="18"/>
          <w:szCs w:val="18"/>
          <w:color w:val="auto"/>
        </w:rPr>
        <w:t>An Obligor or the Keepwell Provider does not pay on the due date any amount payable pursuant to a Finance Document at the place at and in the currency in which it is expressed to be payable unless:</w:t>
      </w:r>
    </w:p>
    <w:p>
      <w:pPr>
        <w:spacing w:after="0" w:line="67" w:lineRule="exact"/>
        <w:rPr>
          <w:sz w:val="20"/>
          <w:szCs w:val="20"/>
          <w:color w:val="auto"/>
        </w:rPr>
      </w:pPr>
    </w:p>
    <w:p>
      <w:pPr>
        <w:ind w:left="1184" w:hanging="644"/>
        <w:spacing w:after="0"/>
        <w:tabs>
          <w:tab w:leader="none" w:pos="118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is made within three (3) Business Days of its due date.</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24"/>
          </w:cols>
          <w:pgMar w:left="436" w:top="270" w:right="439" w:bottom="1440" w:gutter="0" w:footer="0" w:header="0"/>
        </w:sectPr>
      </w:pPr>
    </w:p>
    <w:bookmarkStart w:id="108" w:name="page109"/>
    <w:bookmarkEnd w:id="108"/>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24.2</w:t>
      </w:r>
      <w:r>
        <w:rPr>
          <w:sz w:val="20"/>
          <w:szCs w:val="20"/>
          <w:color w:val="auto"/>
        </w:rPr>
        <w:tab/>
      </w:r>
      <w:r>
        <w:rPr>
          <w:rFonts w:ascii="Times New Roman" w:cs="Times New Roman" w:eastAsia="Times New Roman" w:hAnsi="Times New Roman"/>
          <w:sz w:val="17"/>
          <w:szCs w:val="17"/>
          <w:b w:val="1"/>
          <w:bCs w:val="1"/>
          <w:color w:val="auto"/>
        </w:rPr>
        <w:t>Financial covenants</w:t>
      </w:r>
    </w:p>
    <w:p>
      <w:pPr>
        <w:spacing w:after="0" w:line="119" w:lineRule="exact"/>
        <w:rPr>
          <w:sz w:val="20"/>
          <w:szCs w:val="20"/>
          <w:color w:val="auto"/>
        </w:rPr>
      </w:pPr>
    </w:p>
    <w:p>
      <w:pPr>
        <w:ind w:left="544" w:right="520"/>
        <w:spacing w:after="0" w:line="284" w:lineRule="auto"/>
        <w:rPr>
          <w:sz w:val="20"/>
          <w:szCs w:val="20"/>
          <w:color w:val="auto"/>
        </w:rPr>
      </w:pPr>
      <w:r>
        <w:rPr>
          <w:rFonts w:ascii="Times New Roman" w:cs="Times New Roman" w:eastAsia="Times New Roman" w:hAnsi="Times New Roman"/>
          <w:sz w:val="18"/>
          <w:szCs w:val="18"/>
          <w:color w:val="auto"/>
        </w:rPr>
        <w:t>Any requirement of Clause 22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of this Agreement or Clause 6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under the Keepwell Deed is not satisfied.</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7"/>
          <w:szCs w:val="17"/>
          <w:b w:val="1"/>
          <w:bCs w:val="1"/>
          <w:color w:val="auto"/>
        </w:rPr>
        <w:t>Other obligations</w:t>
      </w:r>
    </w:p>
    <w:p>
      <w:pPr>
        <w:spacing w:after="0" w:line="135" w:lineRule="exact"/>
        <w:rPr>
          <w:sz w:val="20"/>
          <w:szCs w:val="20"/>
          <w:color w:val="auto"/>
        </w:rPr>
      </w:pPr>
    </w:p>
    <w:p>
      <w:pPr>
        <w:ind w:left="544" w:right="160" w:hanging="544"/>
        <w:spacing w:after="0" w:line="266" w:lineRule="auto"/>
        <w:tabs>
          <w:tab w:leader="none" w:pos="54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the Keepwell Provider or a Subordinated Creditor does not comply with any provision of the Finance Documents (other than those referred to in Clause 24.1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 Clause 24.2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of this Agreement and Clause 6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under the Keepwell Deed).</w:t>
      </w:r>
    </w:p>
    <w:p>
      <w:pPr>
        <w:spacing w:after="0" w:line="81" w:lineRule="exact"/>
        <w:rPr>
          <w:rFonts w:ascii="Times New Roman" w:cs="Times New Roman" w:eastAsia="Times New Roman" w:hAnsi="Times New Roman"/>
          <w:sz w:val="18"/>
          <w:szCs w:val="18"/>
          <w:color w:val="auto"/>
        </w:rPr>
      </w:pPr>
    </w:p>
    <w:p>
      <w:pPr>
        <w:ind w:left="544" w:right="60" w:hanging="544"/>
        <w:spacing w:after="0" w:line="282" w:lineRule="auto"/>
        <w:tabs>
          <w:tab w:leader="none" w:pos="54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paragraph (a) above will occur if the failure to comply is capable of remedy and is remedied within 10 Business Days of the earlier of (i) the Agent giving notice to the Borrower and (ii) the Borrower becoming aware of the failure to comply.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24.4</w:t>
      </w:r>
      <w:r>
        <w:rPr>
          <w:sz w:val="20"/>
          <w:szCs w:val="20"/>
          <w:color w:val="auto"/>
        </w:rPr>
        <w:tab/>
      </w:r>
      <w:r>
        <w:rPr>
          <w:rFonts w:ascii="Times New Roman" w:cs="Times New Roman" w:eastAsia="Times New Roman" w:hAnsi="Times New Roman"/>
          <w:sz w:val="17"/>
          <w:szCs w:val="17"/>
          <w:b w:val="1"/>
          <w:bCs w:val="1"/>
          <w:color w:val="auto"/>
        </w:rPr>
        <w:t>Misrepresentation</w:t>
      </w:r>
    </w:p>
    <w:p>
      <w:pPr>
        <w:spacing w:after="0" w:line="135" w:lineRule="exact"/>
        <w:rPr>
          <w:sz w:val="20"/>
          <w:szCs w:val="20"/>
          <w:color w:val="auto"/>
        </w:rPr>
      </w:pPr>
    </w:p>
    <w:p>
      <w:pPr>
        <w:ind w:left="544" w:right="260" w:hanging="544"/>
        <w:spacing w:after="0" w:line="258" w:lineRule="auto"/>
        <w:tabs>
          <w:tab w:leader="none" w:pos="54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statement made or deemed to be made by an Obligor, the Keepwell Provider or a Subordinated Creditor in the Finance Documents to which it is a party or any other document delivered by or on behalf of any Obligor, the Keepwell Provider (for the avoidance of doubt, to be limited to the Keepwell Deed and any other documents delivered by or on behalf of the Keepwell Provider under the Keepwell Deed) or Subordinated Creditor under or in connection with any Finance Document is or proves to have been incorrect or misleading in any material respect when made or deemed to be made.</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24.5</w:t>
      </w:r>
      <w:r>
        <w:rPr>
          <w:sz w:val="20"/>
          <w:szCs w:val="20"/>
          <w:color w:val="auto"/>
        </w:rPr>
        <w:tab/>
      </w:r>
      <w:r>
        <w:rPr>
          <w:rFonts w:ascii="Times New Roman" w:cs="Times New Roman" w:eastAsia="Times New Roman" w:hAnsi="Times New Roman"/>
          <w:sz w:val="17"/>
          <w:szCs w:val="17"/>
          <w:b w:val="1"/>
          <w:bCs w:val="1"/>
          <w:color w:val="auto"/>
        </w:rPr>
        <w:t>Cross default</w:t>
      </w:r>
    </w:p>
    <w:p>
      <w:pPr>
        <w:spacing w:after="0" w:line="135" w:lineRule="exact"/>
        <w:rPr>
          <w:sz w:val="20"/>
          <w:szCs w:val="20"/>
          <w:color w:val="auto"/>
        </w:rPr>
      </w:pPr>
    </w:p>
    <w:p>
      <w:pPr>
        <w:ind w:left="544" w:right="240" w:hanging="544"/>
        <w:spacing w:after="0" w:line="282" w:lineRule="auto"/>
        <w:tabs>
          <w:tab w:leader="none" w:pos="54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of any Group Member, Geely Automobile, Geely International, the Keepwell Provider or any other Obligor is not paid when due nor within any originally applicable grace period.</w:t>
      </w:r>
    </w:p>
    <w:p>
      <w:pPr>
        <w:spacing w:after="0" w:line="67" w:lineRule="exact"/>
        <w:rPr>
          <w:rFonts w:ascii="Times New Roman" w:cs="Times New Roman" w:eastAsia="Times New Roman" w:hAnsi="Times New Roman"/>
          <w:sz w:val="18"/>
          <w:szCs w:val="18"/>
          <w:color w:val="auto"/>
        </w:rPr>
      </w:pPr>
    </w:p>
    <w:p>
      <w:pPr>
        <w:ind w:left="544" w:right="20" w:hanging="544"/>
        <w:spacing w:after="0" w:line="282" w:lineRule="auto"/>
        <w:tabs>
          <w:tab w:leader="none" w:pos="54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apply in respect of trade or other receivables which may from time to time be outstanding from any Group Member for the supply of goods and services to a Group Member, which are due and payable to any person:</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(as at the time such trade or other receivables arise) is its Affiliate; or</w:t>
      </w:r>
    </w:p>
    <w:p>
      <w:pPr>
        <w:spacing w:after="0" w:line="130" w:lineRule="exact"/>
        <w:rPr>
          <w:rFonts w:ascii="Times New Roman" w:cs="Times New Roman" w:eastAsia="Times New Roman" w:hAnsi="Times New Roman"/>
          <w:sz w:val="18"/>
          <w:szCs w:val="18"/>
          <w:color w:val="auto"/>
        </w:rPr>
      </w:pPr>
    </w:p>
    <w:p>
      <w:pPr>
        <w:ind w:left="1184" w:right="420" w:hanging="644"/>
        <w:spacing w:after="0" w:line="282" w:lineRule="auto"/>
        <w:tabs>
          <w:tab w:leader="none" w:pos="1184"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(as at the time such trade or other receivables arise) Mr. Li directly or indirectly holds at least 51 per cent. of the shares or equity interests or which is otherwise Controlled by Mr. Li,</w:t>
      </w:r>
    </w:p>
    <w:p>
      <w:pPr>
        <w:spacing w:after="0" w:line="54" w:lineRule="exact"/>
        <w:rPr>
          <w:sz w:val="20"/>
          <w:szCs w:val="20"/>
          <w:color w:val="auto"/>
        </w:rPr>
      </w:pPr>
    </w:p>
    <w:p>
      <w:pPr>
        <w:ind w:left="544" w:right="140"/>
        <w:spacing w:after="0" w:line="266" w:lineRule="auto"/>
        <w:rPr>
          <w:sz w:val="20"/>
          <w:szCs w:val="20"/>
          <w:color w:val="auto"/>
        </w:rPr>
      </w:pPr>
      <w:r>
        <w:rPr>
          <w:rFonts w:ascii="Times New Roman" w:cs="Times New Roman" w:eastAsia="Times New Roman" w:hAnsi="Times New Roman"/>
          <w:sz w:val="18"/>
          <w:szCs w:val="18"/>
          <w:color w:val="auto"/>
        </w:rPr>
        <w:t>including any such person which is a supplier to the Guarantor, including for the avoidance of doubt Asia Euro Automobile Manufacturing (Taizhou) Co. Ltd., in each case provided that no event of default (however described) has been called by the relevant creditor and payment has not been formally demanded by the relevant creditor.</w:t>
      </w:r>
    </w:p>
    <w:p>
      <w:pPr>
        <w:spacing w:after="0" w:line="81" w:lineRule="exact"/>
        <w:rPr>
          <w:sz w:val="20"/>
          <w:szCs w:val="20"/>
          <w:color w:val="auto"/>
        </w:rPr>
      </w:pPr>
    </w:p>
    <w:p>
      <w:pPr>
        <w:ind w:left="544" w:right="220" w:hanging="544"/>
        <w:spacing w:after="0" w:line="261" w:lineRule="auto"/>
        <w:tabs>
          <w:tab w:leader="none" w:pos="54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of any Group Member, Geely Automobile, Geely International, The Keepwell Provider or any other Obligor is declared to be or otherwise becomes due and payable prior to its specified maturity as a result of an event of default (however described). This paragraph (b) shall not apply in respect of any Financial Indebtedness incurred by any Group Member owing to any Restricted Person to the extent such Financial Indebtedness is subordinated to the Facilities on terms satisfactory to the Lenders.</w:t>
      </w:r>
    </w:p>
    <w:p>
      <w:pPr>
        <w:spacing w:after="0" w:line="11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24"/>
          </w:cols>
          <w:pgMar w:left="436" w:top="266" w:right="439" w:bottom="1440" w:gutter="0" w:footer="0" w:header="0"/>
        </w:sectPr>
      </w:pPr>
    </w:p>
    <w:bookmarkStart w:id="109" w:name="page110"/>
    <w:bookmarkEnd w:id="109"/>
    <w:p>
      <w:pPr>
        <w:ind w:left="544" w:right="320" w:hanging="544"/>
        <w:spacing w:after="0" w:line="282" w:lineRule="auto"/>
        <w:tabs>
          <w:tab w:leader="none" w:pos="54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commitment for any Financial Indebtedness of any Group Member, the Keepwell Provider, or an Obligor is cancelled or suspended by a creditor of that Group Member, the Keepwell Provider or that Obligor as a result of an event of default (however described).</w:t>
      </w:r>
    </w:p>
    <w:p>
      <w:pPr>
        <w:spacing w:after="0" w:line="67" w:lineRule="exact"/>
        <w:rPr>
          <w:rFonts w:ascii="Times New Roman" w:cs="Times New Roman" w:eastAsia="Times New Roman" w:hAnsi="Times New Roman"/>
          <w:sz w:val="18"/>
          <w:szCs w:val="18"/>
          <w:color w:val="auto"/>
        </w:rPr>
      </w:pPr>
    </w:p>
    <w:p>
      <w:pPr>
        <w:ind w:left="544" w:right="160" w:hanging="544"/>
        <w:spacing w:after="0" w:line="282" w:lineRule="auto"/>
        <w:tabs>
          <w:tab w:leader="none" w:pos="54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creditor of any Group Member, the Keepwell Provider or an Obligor becomes entitled to declare any Financial Indebtedness of that Group Member or Obligor due and payable prior to its specified maturity as a result of an event of default (however described).</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will occur under this Clause 24.5:</w:t>
      </w:r>
    </w:p>
    <w:p>
      <w:pPr>
        <w:spacing w:after="0" w:line="130"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Financial Indebtedness incurred by the Guarantor owing to Polestar Automotive (Singapore) Pte. Ltd as at the Signing Date to the extent Polestar Automotive (Singapore) Pte. Ltd. executes the Subordination Deed by the Initial Utilisation Date.</w:t>
      </w:r>
    </w:p>
    <w:p>
      <w:pPr>
        <w:spacing w:after="0" w:line="67"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of Financial Indebtedness or commitment for Financial Indebtedness falling within paragraphs (a) to (e) above in respect of any PPAB Group Member is less than EUR15,000,000 (or its equivalent in any other currency or currencies);</w:t>
      </w:r>
    </w:p>
    <w:p>
      <w:pPr>
        <w:spacing w:after="0" w:line="67" w:lineRule="exact"/>
        <w:rPr>
          <w:rFonts w:ascii="Times New Roman" w:cs="Times New Roman" w:eastAsia="Times New Roman" w:hAnsi="Times New Roman"/>
          <w:sz w:val="18"/>
          <w:szCs w:val="18"/>
          <w:color w:val="auto"/>
        </w:rPr>
      </w:pPr>
    </w:p>
    <w:p>
      <w:pPr>
        <w:ind w:left="1184" w:right="140" w:hanging="644"/>
        <w:spacing w:after="0" w:line="266" w:lineRule="auto"/>
        <w:tabs>
          <w:tab w:leader="none" w:pos="118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of Financial Indebtedness or commitment for Financial Indebtedness falling within paragraphs (a) to (e) above in respect of any Group Member that is not a PPAB Group Member (when aggregated with the amount of the Financial Indebtedness falling under paragraph (ii) above) is less than EUR30,000,000 (or its equivalent in any other currency or currencies);</w:t>
      </w:r>
    </w:p>
    <w:p>
      <w:pPr>
        <w:spacing w:after="0" w:line="81" w:lineRule="exact"/>
        <w:rPr>
          <w:rFonts w:ascii="Times New Roman" w:cs="Times New Roman" w:eastAsia="Times New Roman" w:hAnsi="Times New Roman"/>
          <w:sz w:val="18"/>
          <w:szCs w:val="18"/>
          <w:color w:val="auto"/>
        </w:rPr>
      </w:pPr>
    </w:p>
    <w:p>
      <w:pPr>
        <w:ind w:left="1184" w:right="20" w:hanging="644"/>
        <w:spacing w:after="0" w:line="266" w:lineRule="auto"/>
        <w:tabs>
          <w:tab w:leader="none" w:pos="118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of Financial Indebtedness or commitment for Financial Indebtedness falling within paragraphs (a) to (e) above in respect of the Keepwell Provider, Geely Automobile or Geely International is less than EUR50,000,000 (or its equivalent in any other currency or currencies); or</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if such event is capable of remedy and is remedied within 10 Business Days of its occurrence.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24.6</w:t>
      </w:r>
      <w:r>
        <w:rPr>
          <w:sz w:val="20"/>
          <w:szCs w:val="20"/>
          <w:color w:val="auto"/>
        </w:rPr>
        <w:tab/>
      </w:r>
      <w:r>
        <w:rPr>
          <w:rFonts w:ascii="Times New Roman" w:cs="Times New Roman" w:eastAsia="Times New Roman" w:hAnsi="Times New Roman"/>
          <w:sz w:val="17"/>
          <w:szCs w:val="17"/>
          <w:b w:val="1"/>
          <w:bCs w:val="1"/>
          <w:color w:val="auto"/>
        </w:rPr>
        <w:t>Insolvency</w:t>
      </w:r>
    </w:p>
    <w:p>
      <w:pPr>
        <w:spacing w:after="0" w:line="135" w:lineRule="exact"/>
        <w:rPr>
          <w:sz w:val="20"/>
          <w:szCs w:val="20"/>
          <w:color w:val="auto"/>
        </w:rPr>
      </w:pPr>
    </w:p>
    <w:p>
      <w:pPr>
        <w:ind w:left="544" w:hanging="544"/>
        <w:spacing w:after="0"/>
        <w:tabs>
          <w:tab w:leader="none" w:pos="54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Group Member, the Keepwell Provider or an Obligor: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unable or admits inability to pay its debts as they fall due;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suspends making payments on any of its debts; or</w:t>
      </w:r>
    </w:p>
    <w:p>
      <w:pPr>
        <w:spacing w:after="0" w:line="130" w:lineRule="exact"/>
        <w:rPr>
          <w:rFonts w:ascii="Times New Roman" w:cs="Times New Roman" w:eastAsia="Times New Roman" w:hAnsi="Times New Roman"/>
          <w:sz w:val="18"/>
          <w:szCs w:val="18"/>
          <w:color w:val="auto"/>
        </w:rPr>
      </w:pPr>
    </w:p>
    <w:p>
      <w:pPr>
        <w:ind w:left="1184" w:right="600" w:hanging="644"/>
        <w:spacing w:after="0" w:line="282" w:lineRule="auto"/>
        <w:tabs>
          <w:tab w:leader="none" w:pos="118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67" w:lineRule="exact"/>
        <w:rPr>
          <w:rFonts w:ascii="Times New Roman" w:cs="Times New Roman" w:eastAsia="Times New Roman" w:hAnsi="Times New Roman"/>
          <w:sz w:val="18"/>
          <w:szCs w:val="18"/>
          <w:color w:val="auto"/>
        </w:rPr>
      </w:pPr>
    </w:p>
    <w:p>
      <w:pPr>
        <w:ind w:left="544" w:right="20" w:hanging="544"/>
        <w:spacing w:after="0" w:line="282" w:lineRule="auto"/>
        <w:tabs>
          <w:tab w:leader="none" w:pos="54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apply in respect of trade or other receivables which may from time to time be outstanding from any Group Member for the supply of goods and services to a Group Member, which are due and payable to any person:</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(as at the time such trade or other receivables arise) is its Affiliate; or</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24"/>
          </w:cols>
          <w:pgMar w:left="436" w:top="270" w:right="439" w:bottom="1440" w:gutter="0" w:footer="0" w:header="0"/>
        </w:sectPr>
      </w:pPr>
    </w:p>
    <w:bookmarkStart w:id="110" w:name="page111"/>
    <w:bookmarkEnd w:id="110"/>
    <w:p>
      <w:pPr>
        <w:ind w:left="1184" w:right="180" w:hanging="644"/>
        <w:spacing w:after="0" w:line="282" w:lineRule="auto"/>
        <w:tabs>
          <w:tab w:leader="none" w:pos="118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which (as at the time such trade or other receivables arise) Mr. Li holds directly or indirectly holds at least 51 per cent. of the shares or equity interests or which is otherwise Controlled by Mr. Li,</w:t>
      </w:r>
    </w:p>
    <w:p>
      <w:pPr>
        <w:spacing w:after="0" w:line="54" w:lineRule="exact"/>
        <w:rPr>
          <w:sz w:val="20"/>
          <w:szCs w:val="20"/>
          <w:color w:val="auto"/>
        </w:rPr>
      </w:pPr>
    </w:p>
    <w:p>
      <w:pPr>
        <w:ind w:left="544" w:right="140"/>
        <w:spacing w:after="0" w:line="266" w:lineRule="auto"/>
        <w:rPr>
          <w:sz w:val="20"/>
          <w:szCs w:val="20"/>
          <w:color w:val="auto"/>
        </w:rPr>
      </w:pPr>
      <w:r>
        <w:rPr>
          <w:rFonts w:ascii="Times New Roman" w:cs="Times New Roman" w:eastAsia="Times New Roman" w:hAnsi="Times New Roman"/>
          <w:sz w:val="18"/>
          <w:szCs w:val="18"/>
          <w:color w:val="auto"/>
        </w:rPr>
        <w:t>including any such person which is a supplier to the Guarantor, including for the avoidance of doubt Asia Euro Automobile Manufacturing (Taizhou) Co. Ltd., in each case provided that no event of default (however described) has been called by the relevant creditor and payment has not been formally demanded by the relevant creditor.</w:t>
      </w:r>
    </w:p>
    <w:p>
      <w:pPr>
        <w:spacing w:after="0" w:line="81" w:lineRule="exact"/>
        <w:rPr>
          <w:sz w:val="20"/>
          <w:szCs w:val="20"/>
          <w:color w:val="auto"/>
        </w:rPr>
      </w:pPr>
    </w:p>
    <w:p>
      <w:pPr>
        <w:ind w:left="544" w:hanging="544"/>
        <w:spacing w:after="0"/>
        <w:tabs>
          <w:tab w:leader="none" w:pos="544"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moratorium is declared in respect of any indebtedness of any Group Member, the Keepwell Provider or Obligor.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24.7</w:t>
      </w:r>
      <w:r>
        <w:rPr>
          <w:sz w:val="20"/>
          <w:szCs w:val="20"/>
          <w:color w:val="auto"/>
        </w:rPr>
        <w:tab/>
      </w:r>
      <w:r>
        <w:rPr>
          <w:rFonts w:ascii="Times New Roman" w:cs="Times New Roman" w:eastAsia="Times New Roman" w:hAnsi="Times New Roman"/>
          <w:sz w:val="17"/>
          <w:szCs w:val="17"/>
          <w:b w:val="1"/>
          <w:bCs w:val="1"/>
          <w:color w:val="auto"/>
        </w:rPr>
        <w:t>Insolvency proceedings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Any corporate action, legal proceedings or other procedure or step is taken in relation to:</w:t>
      </w:r>
    </w:p>
    <w:p>
      <w:pPr>
        <w:spacing w:after="0" w:line="131" w:lineRule="exact"/>
        <w:rPr>
          <w:sz w:val="20"/>
          <w:szCs w:val="20"/>
          <w:color w:val="auto"/>
        </w:rPr>
      </w:pPr>
    </w:p>
    <w:p>
      <w:pPr>
        <w:ind w:left="1184" w:right="180" w:hanging="644"/>
        <w:spacing w:after="0" w:line="282" w:lineRule="auto"/>
        <w:tabs>
          <w:tab w:leader="none" w:pos="118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payments, a moratorium of any indebtedness, winding-up, dissolution, administration, or reorganisation (by way of voluntary arrangement, scheme of arrangement or otherwise) of any Group Member, the Keepwell Provider or an Obligor;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composition, compromise, assignment or arrangement with any creditor of any Group Member, the Keepwell Provider or an Obligor;</w:t>
      </w:r>
    </w:p>
    <w:p>
      <w:pPr>
        <w:spacing w:after="0" w:line="130" w:lineRule="exact"/>
        <w:rPr>
          <w:rFonts w:ascii="Times New Roman" w:cs="Times New Roman" w:eastAsia="Times New Roman" w:hAnsi="Times New Roman"/>
          <w:sz w:val="18"/>
          <w:szCs w:val="18"/>
          <w:color w:val="auto"/>
        </w:rPr>
      </w:pPr>
    </w:p>
    <w:p>
      <w:pPr>
        <w:jc w:val="both"/>
        <w:ind w:left="1184" w:right="160" w:hanging="644"/>
        <w:spacing w:after="0" w:line="312" w:lineRule="auto"/>
        <w:tabs>
          <w:tab w:leader="none" w:pos="1184"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appointment of a liquidator, receiver, administrative receiver, administrator, compulsory manager or other similar officer in respect of any Group Member, the Keepwell Provider or Obligor or any of a Group Member, the Keepwell Provider or an Obligor’s assets; or</w:t>
      </w:r>
    </w:p>
    <w:p>
      <w:pPr>
        <w:spacing w:after="0" w:line="45" w:lineRule="exact"/>
        <w:rPr>
          <w:rFonts w:ascii="Times New Roman" w:cs="Times New Roman" w:eastAsia="Times New Roman" w:hAnsi="Times New Roman"/>
          <w:sz w:val="17"/>
          <w:szCs w:val="17"/>
          <w:color w:val="auto"/>
        </w:rPr>
      </w:pPr>
    </w:p>
    <w:p>
      <w:pPr>
        <w:ind w:left="1184" w:hanging="644"/>
        <w:spacing w:after="0"/>
        <w:tabs>
          <w:tab w:leader="none" w:pos="118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any Security over any assets of any Group Member, the Keepwell Provider or an Obligor,</w:t>
      </w:r>
    </w:p>
    <w:p>
      <w:pPr>
        <w:spacing w:after="0" w:line="117" w:lineRule="exact"/>
        <w:rPr>
          <w:sz w:val="20"/>
          <w:szCs w:val="20"/>
          <w:color w:val="auto"/>
        </w:rPr>
      </w:pPr>
    </w:p>
    <w:p>
      <w:pPr>
        <w:ind w:left="544" w:right="40"/>
        <w:spacing w:after="0" w:line="282" w:lineRule="auto"/>
        <w:rPr>
          <w:sz w:val="20"/>
          <w:szCs w:val="20"/>
          <w:color w:val="auto"/>
        </w:rPr>
      </w:pPr>
      <w:r>
        <w:rPr>
          <w:rFonts w:ascii="Times New Roman" w:cs="Times New Roman" w:eastAsia="Times New Roman" w:hAnsi="Times New Roman"/>
          <w:sz w:val="18"/>
          <w:szCs w:val="18"/>
          <w:color w:val="auto"/>
        </w:rPr>
        <w:t>or any analogous procedure or step is taken in any jurisdiction, provided that this Clause 24.7 shall not apply to any winding-up petition which is frivolous or vexatious and is discharged, stayed or dismissed within 30 days of commencement.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24.8</w:t>
      </w:r>
      <w:r>
        <w:rPr>
          <w:sz w:val="20"/>
          <w:szCs w:val="20"/>
          <w:color w:val="auto"/>
        </w:rPr>
        <w:tab/>
      </w:r>
      <w:r>
        <w:rPr>
          <w:rFonts w:ascii="Times New Roman" w:cs="Times New Roman" w:eastAsia="Times New Roman" w:hAnsi="Times New Roman"/>
          <w:sz w:val="17"/>
          <w:szCs w:val="17"/>
          <w:b w:val="1"/>
          <w:bCs w:val="1"/>
          <w:color w:val="auto"/>
        </w:rPr>
        <w:t>Creditors’ process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Any expropriation, attachment, sequestration, distress or execution or any analogous process in any jurisdiction affects any asset or assets of:</w:t>
      </w:r>
    </w:p>
    <w:p>
      <w:pPr>
        <w:spacing w:after="0" w:line="131" w:lineRule="exact"/>
        <w:rPr>
          <w:sz w:val="20"/>
          <w:szCs w:val="20"/>
          <w:color w:val="auto"/>
        </w:rPr>
      </w:pPr>
    </w:p>
    <w:p>
      <w:pPr>
        <w:ind w:left="1184" w:hanging="644"/>
        <w:spacing w:after="0"/>
        <w:tabs>
          <w:tab w:leader="none" w:pos="118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PPAB Group Member having an aggregate value of EUR15,000,000;</w:t>
      </w:r>
    </w:p>
    <w:p>
      <w:pPr>
        <w:spacing w:after="0" w:line="130"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Group Member that is not a PPAB Group Member having an aggregate value of EUR30,000,000 (when aggregated with the value of the assets falling under paragraph (a) above);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Keepwell Provider having an aggregate value of EUR50,000,000,</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and in each case, is not discharged within 14 days.</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24"/>
          </w:cols>
          <w:pgMar w:left="436" w:top="270" w:right="439" w:bottom="1440" w:gutter="0" w:footer="0" w:header="0"/>
        </w:sectPr>
      </w:pPr>
    </w:p>
    <w:bookmarkStart w:id="111" w:name="page112"/>
    <w:bookmarkEnd w:id="111"/>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24.9</w:t>
      </w:r>
      <w:r>
        <w:rPr>
          <w:sz w:val="20"/>
          <w:szCs w:val="20"/>
          <w:color w:val="auto"/>
        </w:rPr>
        <w:tab/>
      </w:r>
      <w:r>
        <w:rPr>
          <w:rFonts w:ascii="Times New Roman" w:cs="Times New Roman" w:eastAsia="Times New Roman" w:hAnsi="Times New Roman"/>
          <w:sz w:val="17"/>
          <w:szCs w:val="17"/>
          <w:b w:val="1"/>
          <w:bCs w:val="1"/>
          <w:color w:val="auto"/>
        </w:rPr>
        <w:t>Failure to comply with court judgment or arbitral award</w:t>
      </w:r>
    </w:p>
    <w:p>
      <w:pPr>
        <w:spacing w:after="0" w:line="135" w:lineRule="exact"/>
        <w:rPr>
          <w:sz w:val="20"/>
          <w:szCs w:val="20"/>
          <w:color w:val="auto"/>
        </w:rPr>
      </w:pPr>
    </w:p>
    <w:p>
      <w:pPr>
        <w:ind w:left="544" w:right="400" w:hanging="544"/>
        <w:spacing w:after="0" w:line="282" w:lineRule="auto"/>
        <w:tabs>
          <w:tab w:leader="none" w:pos="54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Group Member, the Keepwell Provider or Obligor fails to comply with or pay by the required time any sum due from it under any final judgment or any final order made or given by a court or arbitral tribunal or other arbitral body, in each case of competent jurisdiction.</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paragraph (a) above will occur:</w:t>
      </w:r>
    </w:p>
    <w:p>
      <w:pPr>
        <w:spacing w:after="0" w:line="130" w:lineRule="exact"/>
        <w:rPr>
          <w:rFonts w:ascii="Times New Roman" w:cs="Times New Roman" w:eastAsia="Times New Roman" w:hAnsi="Times New Roman"/>
          <w:sz w:val="18"/>
          <w:szCs w:val="18"/>
          <w:color w:val="auto"/>
        </w:rPr>
      </w:pPr>
    </w:p>
    <w:p>
      <w:pPr>
        <w:ind w:left="1184" w:right="600" w:hanging="644"/>
        <w:spacing w:after="0" w:line="282" w:lineRule="auto"/>
        <w:tabs>
          <w:tab w:leader="none" w:pos="1184"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liability under that judgment or order in respect of any PPAB Group Member is less than EUR15,000,000 (or its equivalent in any other currency or currencies);</w:t>
      </w:r>
    </w:p>
    <w:p>
      <w:pPr>
        <w:spacing w:after="0" w:line="67"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liability under that judgment or order in respect of any Group Member that is not a PPAB Group Member (when aggregated with the liability under judgment or order falling under paragraph (i) above) is less than EUR30,000,000 (or its equivalent in any other currency or currencies); or</w:t>
      </w:r>
    </w:p>
    <w:p>
      <w:pPr>
        <w:spacing w:after="0" w:line="81"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liability under that judgment or order in respect of the Keepwell Provider is less than EUR50,000,000 (or its equivalent in any other currency or currencies).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24.10  Unlawfulness and invalidity</w:t>
      </w:r>
    </w:p>
    <w:p>
      <w:pPr>
        <w:spacing w:after="0" w:line="135" w:lineRule="exact"/>
        <w:rPr>
          <w:sz w:val="20"/>
          <w:szCs w:val="20"/>
          <w:color w:val="auto"/>
        </w:rPr>
      </w:pPr>
    </w:p>
    <w:p>
      <w:pPr>
        <w:ind w:left="544" w:right="200" w:hanging="544"/>
        <w:spacing w:after="0" w:line="261" w:lineRule="auto"/>
        <w:tabs>
          <w:tab w:leader="none" w:pos="544"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or becomes unlawful for an Obligor, the Keepwell Provider or a Subordinated Creditor to perform any of its obligations under the Finance Documents or any Transaction Security created or expressed to be created or evidenced by the Security Documents ceases to be effective, (subject to the Legal Reservations) does not or ceases to have the ranking and priority it is expressed to have or the subordination arrangement under the Subordination Deed is or becomes unlawful.</w:t>
      </w:r>
    </w:p>
    <w:p>
      <w:pPr>
        <w:spacing w:after="0" w:line="85" w:lineRule="exact"/>
        <w:rPr>
          <w:rFonts w:ascii="Times New Roman" w:cs="Times New Roman" w:eastAsia="Times New Roman" w:hAnsi="Times New Roman"/>
          <w:sz w:val="18"/>
          <w:szCs w:val="18"/>
          <w:color w:val="auto"/>
        </w:rPr>
      </w:pPr>
    </w:p>
    <w:p>
      <w:pPr>
        <w:ind w:left="544" w:hanging="544"/>
        <w:spacing w:after="0" w:line="266" w:lineRule="auto"/>
        <w:tabs>
          <w:tab w:leader="none" w:pos="544"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or obligations of any Obligor, the Keepwell Provider or a Subordinated Creditor under any Finance Documents are not (subject to the Legal Reservations) or cease to be legal, valid, binding or enforceable and the cessation individually or cumulatively materially and adversely affects the interests of the Lenders under the Finance Documents.</w:t>
      </w:r>
    </w:p>
    <w:p>
      <w:pPr>
        <w:spacing w:after="0" w:line="81" w:lineRule="exact"/>
        <w:rPr>
          <w:rFonts w:ascii="Times New Roman" w:cs="Times New Roman" w:eastAsia="Times New Roman" w:hAnsi="Times New Roman"/>
          <w:sz w:val="18"/>
          <w:szCs w:val="18"/>
          <w:color w:val="auto"/>
        </w:rPr>
      </w:pPr>
    </w:p>
    <w:p>
      <w:pPr>
        <w:jc w:val="both"/>
        <w:ind w:left="544" w:right="300" w:hanging="544"/>
        <w:spacing w:after="0" w:line="312" w:lineRule="auto"/>
        <w:tabs>
          <w:tab w:leader="none" w:pos="544"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Finance Document ceases to be in full force and effect or any Transaction Security or any subordination created under the Subordination Deed ceases to be legal, valid, binding, enforceable or effective or is alleged by a party to it (other than the Secured Parties) to be ineffective.</w:t>
      </w:r>
    </w:p>
    <w:p>
      <w:pPr>
        <w:spacing w:after="0" w:line="4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24.11</w:t>
      </w:r>
      <w:r>
        <w:rPr>
          <w:sz w:val="20"/>
          <w:szCs w:val="20"/>
          <w:color w:val="auto"/>
        </w:rPr>
        <w:tab/>
      </w:r>
      <w:r>
        <w:rPr>
          <w:rFonts w:ascii="Times New Roman" w:cs="Times New Roman" w:eastAsia="Times New Roman" w:hAnsi="Times New Roman"/>
          <w:sz w:val="17"/>
          <w:szCs w:val="17"/>
          <w:b w:val="1"/>
          <w:bCs w:val="1"/>
          <w:color w:val="auto"/>
        </w:rPr>
        <w:t>Repudiation and rescission of agreements</w:t>
      </w:r>
    </w:p>
    <w:p>
      <w:pPr>
        <w:spacing w:after="0" w:line="121" w:lineRule="exact"/>
        <w:rPr>
          <w:sz w:val="20"/>
          <w:szCs w:val="20"/>
          <w:color w:val="auto"/>
        </w:rPr>
      </w:pPr>
    </w:p>
    <w:p>
      <w:pPr>
        <w:ind w:left="544" w:right="120"/>
        <w:spacing w:after="0" w:line="312" w:lineRule="auto"/>
        <w:rPr>
          <w:sz w:val="20"/>
          <w:szCs w:val="20"/>
          <w:color w:val="auto"/>
        </w:rPr>
      </w:pPr>
      <w:r>
        <w:rPr>
          <w:rFonts w:ascii="Times New Roman" w:cs="Times New Roman" w:eastAsia="Times New Roman" w:hAnsi="Times New Roman"/>
          <w:sz w:val="17"/>
          <w:szCs w:val="17"/>
          <w:color w:val="auto"/>
        </w:rPr>
        <w:t>An Obligor, the Keepwell Provider or Subordinated Creditor rescinds or purports to rescind or repudiates or purports to repudiate a Finance Document or any of the Transaction Security or evidences an intention to rescind or repudiate a Finance Document or any Transaction Security.</w:t>
      </w:r>
    </w:p>
    <w:p>
      <w:pPr>
        <w:spacing w:after="0" w:line="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24.12  Cessation of business</w:t>
      </w:r>
    </w:p>
    <w:p>
      <w:pPr>
        <w:spacing w:after="0" w:line="121" w:lineRule="exact"/>
        <w:rPr>
          <w:sz w:val="20"/>
          <w:szCs w:val="20"/>
          <w:color w:val="auto"/>
        </w:rPr>
      </w:pPr>
    </w:p>
    <w:p>
      <w:pPr>
        <w:jc w:val="both"/>
        <w:ind w:left="544" w:right="460"/>
        <w:spacing w:after="0" w:line="266" w:lineRule="auto"/>
        <w:rPr>
          <w:sz w:val="20"/>
          <w:szCs w:val="20"/>
          <w:color w:val="auto"/>
        </w:rPr>
      </w:pPr>
      <w:r>
        <w:rPr>
          <w:rFonts w:ascii="Times New Roman" w:cs="Times New Roman" w:eastAsia="Times New Roman" w:hAnsi="Times New Roman"/>
          <w:sz w:val="18"/>
          <w:szCs w:val="18"/>
          <w:color w:val="auto"/>
        </w:rPr>
        <w:t>Any Group Member, the Keepwell Provider or Obligor suspends or ceases to carry on (or threatens to suspend or cease to carry on) all or a material part of its business unless (in the case of any Group Member that is not an Obligor) such business is transferred to another Group Member.</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24"/>
          </w:cols>
          <w:pgMar w:left="436" w:top="266" w:right="439" w:bottom="1440" w:gutter="0" w:footer="0" w:header="0"/>
        </w:sectPr>
      </w:pPr>
    </w:p>
    <w:bookmarkStart w:id="112" w:name="page113"/>
    <w:bookmarkEnd w:id="1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24.13  Audit qualification</w:t>
      </w:r>
    </w:p>
    <w:p>
      <w:pPr>
        <w:spacing w:after="0" w:line="135" w:lineRule="exact"/>
        <w:rPr>
          <w:sz w:val="20"/>
          <w:szCs w:val="20"/>
          <w:color w:val="auto"/>
        </w:rPr>
      </w:pPr>
    </w:p>
    <w:p>
      <w:pPr>
        <w:ind w:left="544" w:hanging="544"/>
        <w:spacing w:after="0"/>
        <w:tabs>
          <w:tab w:leader="none" w:pos="54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of the Group qualify the audited annual consolidated financial statements of the Borrower.</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of the Keepwell Provider qualify the audited annual consolidated financial statements of the Keepwell Provider.</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24.14  Litigation</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Any litigation, arbitration, administrative, governmental, regulatory or other investigation, proceeding or dispute is commenced or threatened:</w:t>
      </w:r>
    </w:p>
    <w:p>
      <w:pPr>
        <w:spacing w:after="0" w:line="131" w:lineRule="exact"/>
        <w:rPr>
          <w:sz w:val="20"/>
          <w:szCs w:val="20"/>
          <w:color w:val="auto"/>
        </w:rPr>
      </w:pPr>
    </w:p>
    <w:p>
      <w:pPr>
        <w:ind w:left="1184" w:hanging="644"/>
        <w:spacing w:after="0"/>
        <w:tabs>
          <w:tab w:leader="none" w:pos="118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Finance Documents or the transactions contemplated in the Finance Documents; or</w:t>
      </w:r>
    </w:p>
    <w:p>
      <w:pPr>
        <w:spacing w:after="0" w:line="130" w:lineRule="exact"/>
        <w:rPr>
          <w:rFonts w:ascii="Times New Roman" w:cs="Times New Roman" w:eastAsia="Times New Roman" w:hAnsi="Times New Roman"/>
          <w:sz w:val="18"/>
          <w:szCs w:val="18"/>
          <w:color w:val="auto"/>
        </w:rPr>
      </w:pPr>
    </w:p>
    <w:p>
      <w:pPr>
        <w:ind w:left="1184" w:right="220" w:hanging="644"/>
        <w:spacing w:after="0" w:line="282" w:lineRule="auto"/>
        <w:tabs>
          <w:tab w:leader="none" w:pos="118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against any Obligor, the Keepwell Provider or any Group Member or its assets (or against the directors of such Obligor, the Keepwell Provider or Group Member),</w:t>
      </w:r>
    </w:p>
    <w:p>
      <w:pPr>
        <w:spacing w:after="0" w:line="54" w:lineRule="exact"/>
        <w:rPr>
          <w:sz w:val="20"/>
          <w:szCs w:val="20"/>
          <w:color w:val="auto"/>
        </w:rPr>
      </w:pPr>
    </w:p>
    <w:p>
      <w:pPr>
        <w:ind w:left="544" w:right="380"/>
        <w:spacing w:after="0" w:line="282" w:lineRule="auto"/>
        <w:rPr>
          <w:sz w:val="20"/>
          <w:szCs w:val="20"/>
          <w:color w:val="auto"/>
        </w:rPr>
      </w:pPr>
      <w:r>
        <w:rPr>
          <w:rFonts w:ascii="Times New Roman" w:cs="Times New Roman" w:eastAsia="Times New Roman" w:hAnsi="Times New Roman"/>
          <w:sz w:val="18"/>
          <w:szCs w:val="18"/>
          <w:color w:val="auto"/>
        </w:rPr>
        <w:t>which (in each case) is reasonably likely to be adversely determined and, if adversely determined, will have or is reasonably likely to have a Material Adverse Effect.</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24.15  Expropriation</w:t>
      </w:r>
    </w:p>
    <w:p>
      <w:pPr>
        <w:spacing w:after="0" w:line="121" w:lineRule="exact"/>
        <w:rPr>
          <w:sz w:val="20"/>
          <w:szCs w:val="20"/>
          <w:color w:val="auto"/>
        </w:rPr>
      </w:pPr>
    </w:p>
    <w:p>
      <w:pPr>
        <w:ind w:left="544" w:right="40"/>
        <w:spacing w:after="0" w:line="258" w:lineRule="auto"/>
        <w:rPr>
          <w:sz w:val="20"/>
          <w:szCs w:val="20"/>
          <w:color w:val="auto"/>
        </w:rPr>
      </w:pPr>
      <w:r>
        <w:rPr>
          <w:rFonts w:ascii="Times New Roman" w:cs="Times New Roman" w:eastAsia="Times New Roman" w:hAnsi="Times New Roman"/>
          <w:sz w:val="18"/>
          <w:szCs w:val="18"/>
          <w:color w:val="auto"/>
        </w:rPr>
        <w:t>The authority or ability of any Group Member, the Keepwell Provider or an Obligor to conduct its business is limited or wholly or substantially curtailed by any seizure, expropriation, nationalisation, compulsory acquisition, intervention, restriction or other action by or on behalf of any governmental, regulatory or other authority or other person in relation to that Group Member, the Keepwell Provider, that Obligor or any of their assets or the shares in that Group Member, the Keepwell Provider or that Obligor (including without limitation the displacement of all or part of the management of any Group Member, the Keepwell Provider or any Obligor).</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24.16  Material Licences</w:t>
      </w:r>
    </w:p>
    <w:p>
      <w:pPr>
        <w:spacing w:after="0" w:line="135" w:lineRule="exact"/>
        <w:rPr>
          <w:sz w:val="20"/>
          <w:szCs w:val="20"/>
          <w:color w:val="auto"/>
        </w:rPr>
      </w:pPr>
    </w:p>
    <w:p>
      <w:pPr>
        <w:ind w:left="544" w:right="360" w:hanging="544"/>
        <w:spacing w:after="0" w:line="282" w:lineRule="auto"/>
        <w:tabs>
          <w:tab w:leader="none" w:pos="54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Licence is terminated, cancelled, suspended or revoked (whether wholly or in part). No Event of Default shall occur under this paragraph (a) if:</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Event of Default is capable of being remedied; and</w:t>
      </w:r>
    </w:p>
    <w:p>
      <w:pPr>
        <w:spacing w:after="0" w:line="130"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Material Licence is reinstated in full or replaced by a similar Material Licence (as applicable) within ten (10) days of the date of termination, cancellation, suspension or revocation.</w:t>
      </w:r>
    </w:p>
    <w:p>
      <w:pPr>
        <w:spacing w:after="0" w:line="67" w:lineRule="exact"/>
        <w:rPr>
          <w:rFonts w:ascii="Times New Roman" w:cs="Times New Roman" w:eastAsia="Times New Roman" w:hAnsi="Times New Roman"/>
          <w:sz w:val="18"/>
          <w:szCs w:val="18"/>
          <w:color w:val="auto"/>
        </w:rPr>
      </w:pPr>
    </w:p>
    <w:p>
      <w:pPr>
        <w:ind w:left="544" w:right="40" w:hanging="544"/>
        <w:spacing w:after="0" w:line="282" w:lineRule="auto"/>
        <w:tabs>
          <w:tab w:leader="none" w:pos="54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conditions are imposed on any Material Licence in a way that is adverse in any material respect to the interests of the relevant Group Member.</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Licence is modified or varied in a way that is adverse in any material respect to the interests of the relevant Group Member.</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Licence expires and is not renewed on substantially the same terms.</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24.17  Material adverse change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Any event or circumstance occurs which the Majority Lenders reasonably believe has or is reasonably likely to have a Material Adverse Effect.</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24"/>
          </w:cols>
          <w:pgMar w:left="436" w:top="266" w:right="439" w:bottom="1440" w:gutter="0" w:footer="0" w:header="0"/>
        </w:sectPr>
      </w:pPr>
    </w:p>
    <w:bookmarkStart w:id="113" w:name="page114"/>
    <w:bookmarkEnd w:id="113"/>
    <w:p>
      <w:pPr>
        <w:jc w:val="center"/>
        <w:ind w:right="9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24.18  Listing Status</w:t>
      </w:r>
    </w:p>
    <w:p>
      <w:pPr>
        <w:spacing w:after="0" w:line="121" w:lineRule="exact"/>
        <w:rPr>
          <w:sz w:val="20"/>
          <w:szCs w:val="20"/>
          <w:color w:val="auto"/>
        </w:rPr>
      </w:pPr>
    </w:p>
    <w:p>
      <w:pPr>
        <w:jc w:val="center"/>
        <w:ind w:right="9440"/>
        <w:spacing w:after="0"/>
        <w:rPr>
          <w:sz w:val="20"/>
          <w:szCs w:val="20"/>
          <w:color w:val="auto"/>
        </w:rPr>
      </w:pPr>
      <w:r>
        <w:rPr>
          <w:rFonts w:ascii="Times New Roman" w:cs="Times New Roman" w:eastAsia="Times New Roman" w:hAnsi="Times New Roman"/>
          <w:sz w:val="18"/>
          <w:szCs w:val="18"/>
          <w:color w:val="auto"/>
        </w:rPr>
        <w:t>Either:</w:t>
      </w:r>
    </w:p>
    <w:p>
      <w:pPr>
        <w:spacing w:after="0" w:line="131" w:lineRule="exact"/>
        <w:rPr>
          <w:sz w:val="20"/>
          <w:szCs w:val="20"/>
          <w:color w:val="auto"/>
        </w:rPr>
      </w:pPr>
    </w:p>
    <w:p>
      <w:pPr>
        <w:ind w:left="1180" w:right="80" w:hanging="644"/>
        <w:spacing w:after="0" w:line="261" w:lineRule="auto"/>
        <w:tabs>
          <w:tab w:leader="none" w:pos="11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Listco Class A ADSs or the Listco Class C-1 ADSs ceases to be listed on the Exchange (unless the Listco Class A ADSs or the Listco Class C-1 ADSs are (or the Agent is satisfied that the Listco Class A ADSs or the Listco Class C-1 ADSs will be) immediately re-listed, re-traded or re-quoted on a substitute exchange or quotation system located in the United States acceptable to the Agent); or</w:t>
      </w:r>
    </w:p>
    <w:p>
      <w:pPr>
        <w:spacing w:after="0" w:line="85" w:lineRule="exact"/>
        <w:rPr>
          <w:rFonts w:ascii="Times New Roman" w:cs="Times New Roman" w:eastAsia="Times New Roman" w:hAnsi="Times New Roman"/>
          <w:sz w:val="18"/>
          <w:szCs w:val="18"/>
          <w:color w:val="auto"/>
        </w:rPr>
      </w:pPr>
    </w:p>
    <w:p>
      <w:pPr>
        <w:ind w:left="1180" w:right="240" w:hanging="644"/>
        <w:spacing w:after="0" w:line="282" w:lineRule="auto"/>
        <w:tabs>
          <w:tab w:leader="none" w:pos="11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of any of the Listco Class A ADSs or the Listco Class C-1 ADSs on the Exchange is suspended for a period of 15 or more consecutive Exchange Business Days,</w:t>
      </w:r>
    </w:p>
    <w:p>
      <w:pPr>
        <w:spacing w:after="0" w:line="54"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in each case unless the Borrower continues to be, or becomes substantially simultaneously with such delisting or suspension, listed on any other exchange or quotation system approved by the Agent (acting reasonably and on the instructions of all Lenders).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24.19  Acceleration</w:t>
      </w:r>
    </w:p>
    <w:p>
      <w:pPr>
        <w:spacing w:after="0" w:line="121" w:lineRule="exact"/>
        <w:rPr>
          <w:sz w:val="20"/>
          <w:szCs w:val="20"/>
          <w:color w:val="auto"/>
        </w:rPr>
      </w:pPr>
    </w:p>
    <w:p>
      <w:pPr>
        <w:ind w:left="540" w:right="540"/>
        <w:spacing w:after="0" w:line="282" w:lineRule="auto"/>
        <w:rPr>
          <w:sz w:val="20"/>
          <w:szCs w:val="20"/>
          <w:color w:val="auto"/>
        </w:rPr>
      </w:pPr>
      <w:r>
        <w:rPr>
          <w:rFonts w:ascii="Times New Roman" w:cs="Times New Roman" w:eastAsia="Times New Roman" w:hAnsi="Times New Roman"/>
          <w:sz w:val="18"/>
          <w:szCs w:val="18"/>
          <w:color w:val="auto"/>
        </w:rPr>
        <w:t>On and at any time after the occurrence of an Event of Default which is continuing the Agent may, and shall if so directed by the Majority Lenders, by notice to the Borrower:</w:t>
      </w:r>
    </w:p>
    <w:p>
      <w:pPr>
        <w:spacing w:after="0" w:line="67" w:lineRule="exact"/>
        <w:rPr>
          <w:sz w:val="20"/>
          <w:szCs w:val="20"/>
          <w:color w:val="auto"/>
        </w:rPr>
      </w:pPr>
    </w:p>
    <w:p>
      <w:pPr>
        <w:ind w:left="1180" w:right="260" w:hanging="644"/>
        <w:spacing w:after="0" w:line="282" w:lineRule="auto"/>
        <w:tabs>
          <w:tab w:leader="none" w:pos="11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each Available Commitment of each Lender whereupon each such Available Commitment shall immediately be cancelled and each Facility shall immediately cease to be available for further utilisation;</w:t>
      </w:r>
    </w:p>
    <w:p>
      <w:pPr>
        <w:spacing w:after="0" w:line="67" w:lineRule="exact"/>
        <w:rPr>
          <w:rFonts w:ascii="Times New Roman" w:cs="Times New Roman" w:eastAsia="Times New Roman" w:hAnsi="Times New Roman"/>
          <w:sz w:val="18"/>
          <w:szCs w:val="18"/>
          <w:color w:val="auto"/>
        </w:rPr>
      </w:pPr>
    </w:p>
    <w:p>
      <w:pPr>
        <w:ind w:left="1180" w:right="420" w:hanging="644"/>
        <w:spacing w:after="0" w:line="282" w:lineRule="auto"/>
        <w:tabs>
          <w:tab w:leader="none" w:pos="11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Loans, together with accrued interest, and all other amounts accrued or outstanding under the Finance Documents be immediately due and payable, whereupon they shall become immediately due and payable;</w:t>
      </w:r>
    </w:p>
    <w:p>
      <w:pPr>
        <w:spacing w:after="0" w:line="67" w:lineRule="exact"/>
        <w:rPr>
          <w:rFonts w:ascii="Times New Roman" w:cs="Times New Roman" w:eastAsia="Times New Roman" w:hAnsi="Times New Roman"/>
          <w:sz w:val="18"/>
          <w:szCs w:val="18"/>
          <w:color w:val="auto"/>
        </w:rPr>
      </w:pPr>
    </w:p>
    <w:p>
      <w:pPr>
        <w:ind w:left="1180" w:right="60" w:hanging="644"/>
        <w:spacing w:after="0" w:line="282" w:lineRule="auto"/>
        <w:tabs>
          <w:tab w:leader="none" w:pos="11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Loans be payable on demand, whereupon they shall immediately become payable on demand by the Agent on the instructions of the Majority Lenders; and/or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direct the Security Agent to exercise any or all of its rights, remedies, powers or discretions under the Finance Documents.</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20"/>
          </w:cols>
          <w:pgMar w:left="440" w:top="266" w:right="439" w:bottom="1440" w:gutter="0" w:footer="0" w:header="0"/>
        </w:sectPr>
      </w:pPr>
    </w:p>
    <w:bookmarkStart w:id="114" w:name="page115"/>
    <w:bookmarkEnd w:id="11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CHANGES TO PARTIES</w:t>
      </w:r>
    </w:p>
    <w:p>
      <w:pPr>
        <w:spacing w:after="0" w:line="252" w:lineRule="exact"/>
        <w:rPr>
          <w:sz w:val="20"/>
          <w:szCs w:val="20"/>
          <w:color w:val="auto"/>
        </w:rPr>
      </w:pPr>
    </w:p>
    <w:p>
      <w:pPr>
        <w:ind w:left="544" w:hanging="544"/>
        <w:spacing w:after="0"/>
        <w:tabs>
          <w:tab w:leader="none" w:pos="544" w:val="left"/>
        </w:tabs>
        <w:numPr>
          <w:ilvl w:val="0"/>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LENDERS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25.1</w:t>
      </w:r>
      <w:r>
        <w:rPr>
          <w:sz w:val="20"/>
          <w:szCs w:val="20"/>
          <w:color w:val="auto"/>
        </w:rPr>
        <w:tab/>
      </w:r>
      <w:r>
        <w:rPr>
          <w:rFonts w:ascii="Times New Roman" w:cs="Times New Roman" w:eastAsia="Times New Roman" w:hAnsi="Times New Roman"/>
          <w:sz w:val="17"/>
          <w:szCs w:val="17"/>
          <w:color w:val="auto"/>
        </w:rPr>
        <w:t>Assignments and transfers by the Lenders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Subject to this Clause 25 and Clause 26 (</w:t>
      </w:r>
      <w:r>
        <w:rPr>
          <w:rFonts w:ascii="Times New Roman" w:cs="Times New Roman" w:eastAsia="Times New Roman" w:hAnsi="Times New Roman"/>
          <w:sz w:val="18"/>
          <w:szCs w:val="18"/>
          <w:i w:val="1"/>
          <w:iCs w:val="1"/>
          <w:color w:val="auto"/>
        </w:rPr>
        <w:t>Restriction on Debt Purchase Transactions</w:t>
      </w:r>
      <w:r>
        <w:rPr>
          <w:rFonts w:ascii="Times New Roman" w:cs="Times New Roman" w:eastAsia="Times New Roman" w:hAnsi="Times New Roman"/>
          <w:sz w:val="18"/>
          <w:szCs w:val="18"/>
          <w:color w:val="auto"/>
        </w:rPr>
        <w:t>), a Lender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may:</w:t>
      </w:r>
    </w:p>
    <w:p>
      <w:pPr>
        <w:spacing w:after="0" w:line="135" w:lineRule="exact"/>
        <w:rPr>
          <w:sz w:val="20"/>
          <w:szCs w:val="20"/>
          <w:color w:val="auto"/>
        </w:rPr>
      </w:pPr>
    </w:p>
    <w:p>
      <w:pPr>
        <w:ind w:left="1184" w:hanging="644"/>
        <w:spacing w:after="0"/>
        <w:tabs>
          <w:tab w:leader="none" w:pos="118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any of its rights;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by novation any of its rights and obligations,</w:t>
      </w:r>
    </w:p>
    <w:p>
      <w:pPr>
        <w:spacing w:after="0" w:line="117" w:lineRule="exact"/>
        <w:rPr>
          <w:sz w:val="20"/>
          <w:szCs w:val="20"/>
          <w:color w:val="auto"/>
        </w:rPr>
      </w:pPr>
    </w:p>
    <w:p>
      <w:pPr>
        <w:ind w:left="544" w:right="180"/>
        <w:spacing w:after="0" w:line="282" w:lineRule="auto"/>
        <w:rPr>
          <w:sz w:val="20"/>
          <w:szCs w:val="20"/>
          <w:color w:val="auto"/>
        </w:rPr>
      </w:pPr>
      <w:r>
        <w:rPr>
          <w:rFonts w:ascii="Times New Roman" w:cs="Times New Roman" w:eastAsia="Times New Roman" w:hAnsi="Times New Roman"/>
          <w:sz w:val="18"/>
          <w:szCs w:val="18"/>
          <w:color w:val="auto"/>
        </w:rPr>
        <w:t>to another bank or financial institution or to a trust, fund or other entity which is regularly engaged in or established for the purpose of making, purchasing or investing in loans, securities or other financial assets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25.2</w:t>
      </w:r>
      <w:r>
        <w:rPr>
          <w:sz w:val="20"/>
          <w:szCs w:val="20"/>
          <w:color w:val="auto"/>
        </w:rPr>
        <w:tab/>
      </w:r>
      <w:r>
        <w:rPr>
          <w:rFonts w:ascii="Times New Roman" w:cs="Times New Roman" w:eastAsia="Times New Roman" w:hAnsi="Times New Roman"/>
          <w:sz w:val="17"/>
          <w:szCs w:val="17"/>
          <w:b w:val="1"/>
          <w:bCs w:val="1"/>
          <w:color w:val="auto"/>
        </w:rPr>
        <w:t>Conditions of assignment or transfer</w:t>
      </w:r>
    </w:p>
    <w:p>
      <w:pPr>
        <w:spacing w:after="0" w:line="135" w:lineRule="exact"/>
        <w:rPr>
          <w:sz w:val="20"/>
          <w:szCs w:val="20"/>
          <w:color w:val="auto"/>
        </w:rPr>
      </w:pPr>
    </w:p>
    <w:p>
      <w:pPr>
        <w:ind w:left="544" w:right="160" w:hanging="544"/>
        <w:spacing w:after="0" w:line="266" w:lineRule="auto"/>
        <w:tabs>
          <w:tab w:leader="none" w:pos="54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any Obligor or the Keepwell Provider is not required for any assignment or transfer in respect of any Commitment or any Loan, unless that assignment or transfer is made to a Distressed Investor or a Competitor prior to the occurrence of an Event of Default which is continuing (in which case, the Existing Lender intending to make the assignment or transfer would be obliged to obtain such consent).</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will only be effective on:</w:t>
      </w:r>
    </w:p>
    <w:p>
      <w:pPr>
        <w:spacing w:after="0" w:line="130" w:lineRule="exact"/>
        <w:rPr>
          <w:rFonts w:ascii="Times New Roman" w:cs="Times New Roman" w:eastAsia="Times New Roman" w:hAnsi="Times New Roman"/>
          <w:sz w:val="18"/>
          <w:szCs w:val="18"/>
          <w:color w:val="auto"/>
        </w:rPr>
      </w:pPr>
    </w:p>
    <w:p>
      <w:pPr>
        <w:ind w:left="1184" w:right="100" w:hanging="644"/>
        <w:spacing w:after="0" w:line="266" w:lineRule="auto"/>
        <w:tabs>
          <w:tab w:leader="none" w:pos="1184"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Agent (whether in the Assignment Agreement or otherwise) of written confirmation from the New Lender (in form and substance satisfactory to the Agent) that the New Lender will assume the same obligations to the other Finance Parties as it would have been under if it had been an Original Lender; and</w:t>
      </w:r>
    </w:p>
    <w:p>
      <w:pPr>
        <w:spacing w:after="0" w:line="81" w:lineRule="exact"/>
        <w:rPr>
          <w:rFonts w:ascii="Times New Roman" w:cs="Times New Roman" w:eastAsia="Times New Roman" w:hAnsi="Times New Roman"/>
          <w:sz w:val="18"/>
          <w:szCs w:val="18"/>
          <w:color w:val="auto"/>
        </w:rPr>
      </w:pPr>
    </w:p>
    <w:p>
      <w:pPr>
        <w:jc w:val="both"/>
        <w:ind w:left="1184" w:right="240" w:hanging="644"/>
        <w:spacing w:after="0" w:line="266" w:lineRule="auto"/>
        <w:tabs>
          <w:tab w:leader="none" w:pos="1184"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spacing w:after="0" w:line="7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will only be effective if the procedure set out in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is complied with.</w:t>
      </w:r>
    </w:p>
    <w:p>
      <w:pPr>
        <w:spacing w:after="0" w:line="13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assigns or transfers any of its rights or obligations under the Finance Documents or changes its Facility Office; and</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66" w:lineRule="auto"/>
        <w:tabs>
          <w:tab w:leader="none" w:pos="1184"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circumstances existing at the date the assignment, transfer or change occurs, an Obligor would be obliged to make a payment to the New Lender or Lender acting through its new Facility Office under Clause 14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 or Clause 15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24"/>
          </w:cols>
          <w:pgMar w:left="436" w:top="266" w:right="439" w:bottom="1440" w:gutter="0" w:footer="0" w:header="0"/>
        </w:sectPr>
      </w:pPr>
    </w:p>
    <w:bookmarkStart w:id="115" w:name="page116"/>
    <w:bookmarkEnd w:id="115"/>
    <w:p>
      <w:pPr>
        <w:ind w:left="54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 This paragraph (d) shall not apply:</w:t>
      </w:r>
    </w:p>
    <w:p>
      <w:pPr>
        <w:spacing w:after="0" w:line="81" w:lineRule="exact"/>
        <w:rPr>
          <w:sz w:val="20"/>
          <w:szCs w:val="20"/>
          <w:color w:val="auto"/>
        </w:rPr>
      </w:pPr>
    </w:p>
    <w:p>
      <w:pPr>
        <w:ind w:left="1184" w:hanging="644"/>
        <w:spacing w:after="0"/>
        <w:tabs>
          <w:tab w:leader="none" w:pos="118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assignment or transfer made in the ordinary course of the primary syndication of any Facility; or</w:t>
      </w:r>
    </w:p>
    <w:p>
      <w:pPr>
        <w:spacing w:after="0" w:line="128" w:lineRule="exact"/>
        <w:rPr>
          <w:rFonts w:ascii="Times New Roman" w:cs="Times New Roman" w:eastAsia="Times New Roman" w:hAnsi="Times New Roman"/>
          <w:sz w:val="18"/>
          <w:szCs w:val="18"/>
          <w:color w:val="auto"/>
        </w:rPr>
      </w:pPr>
    </w:p>
    <w:p>
      <w:pPr>
        <w:ind w:left="1184" w:right="20" w:hanging="644"/>
        <w:spacing w:after="0" w:line="261" w:lineRule="auto"/>
        <w:tabs>
          <w:tab w:leader="none" w:pos="118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Clause 14.2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to a Treaty Lender that has included a confirmation of its scheme reference number and its jurisdiction of tax residence in accordance with paragraph (g)(ii)(B) of Clause 14.2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if the Obligor making the payment has not made a Borrower DTTP Filing in respect of that Treaty Lender unless such confirmation was received by the Borrower less than 10 Business Days before the date on which the relevant payment was made.</w:t>
      </w:r>
    </w:p>
    <w:p>
      <w:pPr>
        <w:spacing w:after="0" w:line="87" w:lineRule="exact"/>
        <w:rPr>
          <w:sz w:val="20"/>
          <w:szCs w:val="20"/>
          <w:color w:val="auto"/>
        </w:rPr>
      </w:pPr>
    </w:p>
    <w:p>
      <w:pPr>
        <w:ind w:left="544" w:right="40" w:hanging="544"/>
        <w:spacing w:after="0" w:line="261" w:lineRule="auto"/>
        <w:tabs>
          <w:tab w:leader="none" w:pos="544"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by executing the relevant Transfer Certificate or Assignment Agreement,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25.3</w:t>
      </w:r>
      <w:r>
        <w:rPr>
          <w:sz w:val="20"/>
          <w:szCs w:val="20"/>
          <w:color w:val="auto"/>
        </w:rPr>
        <w:tab/>
      </w:r>
      <w:r>
        <w:rPr>
          <w:rFonts w:ascii="Times New Roman" w:cs="Times New Roman" w:eastAsia="Times New Roman" w:hAnsi="Times New Roman"/>
          <w:sz w:val="17"/>
          <w:szCs w:val="17"/>
          <w:b w:val="1"/>
          <w:bCs w:val="1"/>
          <w:color w:val="auto"/>
        </w:rPr>
        <w:t>Assignment or transfer fee</w:t>
      </w:r>
    </w:p>
    <w:p>
      <w:pPr>
        <w:spacing w:after="0" w:line="121"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The New Lender shall, on the date upon which an assignment or transfer takes effect, pay to the Agent (for its own account) a fee of EUR2,000 (in respect of any assignment or transfer under Facility A) or USD2,000 (in respect of any assignment or transfer under Facility B).</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25.4</w:t>
      </w:r>
      <w:r>
        <w:rPr>
          <w:sz w:val="20"/>
          <w:szCs w:val="20"/>
          <w:color w:val="auto"/>
        </w:rPr>
        <w:tab/>
      </w:r>
      <w:r>
        <w:rPr>
          <w:rFonts w:ascii="Times New Roman" w:cs="Times New Roman" w:eastAsia="Times New Roman" w:hAnsi="Times New Roman"/>
          <w:sz w:val="17"/>
          <w:szCs w:val="17"/>
          <w:b w:val="1"/>
          <w:bCs w:val="1"/>
          <w:color w:val="auto"/>
        </w:rPr>
        <w:t>Limitation of responsibility of Existing Lenders</w:t>
      </w:r>
    </w:p>
    <w:p>
      <w:pPr>
        <w:spacing w:after="0" w:line="135" w:lineRule="exact"/>
        <w:rPr>
          <w:sz w:val="20"/>
          <w:szCs w:val="20"/>
          <w:color w:val="auto"/>
        </w:rPr>
      </w:pPr>
    </w:p>
    <w:p>
      <w:pPr>
        <w:ind w:left="544" w:right="80" w:hanging="544"/>
        <w:spacing w:after="0" w:line="282" w:lineRule="auto"/>
        <w:tabs>
          <w:tab w:leader="none" w:pos="54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agreed to the contrary, an Existing Lender makes no representation or warranty and assumes no responsibility to a New Lender for: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the Finance Documents or any other documents;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any Obligor;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observance by any Obligor of its obligations under the Finance Documents or any other documents; or</w:t>
      </w:r>
    </w:p>
    <w:p>
      <w:pPr>
        <w:spacing w:after="0" w:line="130" w:lineRule="exact"/>
        <w:rPr>
          <w:rFonts w:ascii="Times New Roman" w:cs="Times New Roman" w:eastAsia="Times New Roman" w:hAnsi="Times New Roman"/>
          <w:sz w:val="18"/>
          <w:szCs w:val="18"/>
          <w:color w:val="auto"/>
        </w:rPr>
      </w:pPr>
    </w:p>
    <w:p>
      <w:pPr>
        <w:ind w:left="544" w:right="180" w:hanging="4"/>
        <w:spacing w:after="0" w:line="383" w:lineRule="auto"/>
        <w:tabs>
          <w:tab w:leader="none" w:pos="1181"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any statements (whether written or oral) made in or in connection with any Finance Document or any other document, and any representations or warranties implied by law are excluded.</w:t>
      </w:r>
    </w:p>
    <w:p>
      <w:pPr>
        <w:ind w:left="544" w:hanging="544"/>
        <w:spacing w:after="0"/>
        <w:tabs>
          <w:tab w:leader="none" w:pos="54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confirms to the Existing Lender and the other Finance Parties that it:</w:t>
      </w:r>
    </w:p>
    <w:p>
      <w:pPr>
        <w:spacing w:after="0" w:line="130" w:lineRule="exact"/>
        <w:rPr>
          <w:rFonts w:ascii="Times New Roman" w:cs="Times New Roman" w:eastAsia="Times New Roman" w:hAnsi="Times New Roman"/>
          <w:sz w:val="18"/>
          <w:szCs w:val="18"/>
          <w:color w:val="auto"/>
        </w:rPr>
      </w:pPr>
    </w:p>
    <w:p>
      <w:pPr>
        <w:jc w:val="both"/>
        <w:ind w:left="1184" w:right="160" w:hanging="644"/>
        <w:spacing w:after="0" w:line="266" w:lineRule="auto"/>
        <w:tabs>
          <w:tab w:leader="none" w:pos="1184"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24"/>
          </w:cols>
          <w:pgMar w:left="436" w:top="270" w:right="439" w:bottom="1440" w:gutter="0" w:footer="0" w:header="0"/>
        </w:sectPr>
      </w:pPr>
    </w:p>
    <w:bookmarkStart w:id="116" w:name="page117"/>
    <w:bookmarkEnd w:id="116"/>
    <w:p>
      <w:pPr>
        <w:ind w:left="1184" w:right="60" w:hanging="644"/>
        <w:spacing w:after="0" w:line="282" w:lineRule="auto"/>
        <w:tabs>
          <w:tab w:leader="none" w:pos="1184"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continue to make its own independent appraisal of the creditworthiness of each Obligor and its related entities whilst any amount is or may be outstanding under the Finance Documents or any Commitment is in force.</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obliges an Existing Lender to:</w:t>
      </w:r>
    </w:p>
    <w:p>
      <w:pPr>
        <w:spacing w:after="0" w:line="130"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 re-transfer or re-assignment from a New Lender of any of the rights and obligations assigned or transferred under this Clause 25; or</w:t>
      </w:r>
    </w:p>
    <w:p>
      <w:pPr>
        <w:spacing w:after="0" w:line="67" w:lineRule="exact"/>
        <w:rPr>
          <w:sz w:val="20"/>
          <w:szCs w:val="20"/>
          <w:color w:val="auto"/>
        </w:rPr>
      </w:pPr>
    </w:p>
    <w:p>
      <w:pPr>
        <w:ind w:left="1184" w:right="40" w:hanging="644"/>
        <w:spacing w:after="0" w:line="282" w:lineRule="auto"/>
        <w:tabs>
          <w:tab w:leader="none" w:pos="1184"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any losses directly or indirectly incurred by the New Lender by reason of the non-performance by any Obligor of its obligations under the Finance Documents or otherwise.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25.5</w:t>
      </w:r>
      <w:r>
        <w:rPr>
          <w:sz w:val="20"/>
          <w:szCs w:val="20"/>
          <w:color w:val="auto"/>
        </w:rPr>
        <w:tab/>
      </w:r>
      <w:r>
        <w:rPr>
          <w:rFonts w:ascii="Times New Roman" w:cs="Times New Roman" w:eastAsia="Times New Roman" w:hAnsi="Times New Roman"/>
          <w:sz w:val="17"/>
          <w:szCs w:val="17"/>
          <w:b w:val="1"/>
          <w:bCs w:val="1"/>
          <w:color w:val="auto"/>
        </w:rPr>
        <w:t>Procedure for transfer</w:t>
      </w:r>
    </w:p>
    <w:p>
      <w:pPr>
        <w:spacing w:after="0" w:line="133" w:lineRule="exact"/>
        <w:rPr>
          <w:sz w:val="20"/>
          <w:szCs w:val="20"/>
          <w:color w:val="auto"/>
        </w:rPr>
      </w:pPr>
    </w:p>
    <w:p>
      <w:pPr>
        <w:ind w:left="544" w:hanging="544"/>
        <w:spacing w:after="0"/>
        <w:tabs>
          <w:tab w:leader="none" w:pos="544"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set out in Clause 25.2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 a transfer is effected in accordance with paragraph</w:t>
      </w:r>
    </w:p>
    <w:p>
      <w:pPr>
        <w:spacing w:after="0" w:line="29" w:lineRule="exact"/>
        <w:rPr>
          <w:rFonts w:ascii="Times New Roman" w:cs="Times New Roman" w:eastAsia="Times New Roman" w:hAnsi="Times New Roman"/>
          <w:sz w:val="18"/>
          <w:szCs w:val="18"/>
          <w:color w:val="auto"/>
        </w:rPr>
      </w:pPr>
    </w:p>
    <w:p>
      <w:pPr>
        <w:ind w:left="544" w:right="100" w:hanging="4"/>
        <w:spacing w:after="0" w:line="253" w:lineRule="auto"/>
        <w:tabs>
          <w:tab w:leader="none" w:pos="789"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94" w:lineRule="exact"/>
        <w:rPr>
          <w:rFonts w:ascii="Times New Roman" w:cs="Times New Roman" w:eastAsia="Times New Roman" w:hAnsi="Times New Roman"/>
          <w:sz w:val="18"/>
          <w:szCs w:val="18"/>
          <w:color w:val="auto"/>
        </w:rPr>
      </w:pPr>
    </w:p>
    <w:p>
      <w:pPr>
        <w:ind w:left="544" w:right="20" w:hanging="544"/>
        <w:spacing w:after="0" w:line="266" w:lineRule="auto"/>
        <w:tabs>
          <w:tab w:leader="none" w:pos="544"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7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25.9 (</w:t>
      </w:r>
      <w:r>
        <w:rPr>
          <w:rFonts w:ascii="Times New Roman" w:cs="Times New Roman" w:eastAsia="Times New Roman" w:hAnsi="Times New Roman"/>
          <w:sz w:val="18"/>
          <w:szCs w:val="18"/>
          <w:i w:val="1"/>
          <w:iCs w:val="1"/>
          <w:color w:val="auto"/>
        </w:rPr>
        <w:t>Pro rata interest settlement</w:t>
      </w:r>
      <w:r>
        <w:rPr>
          <w:rFonts w:ascii="Times New Roman" w:cs="Times New Roman" w:eastAsia="Times New Roman" w:hAnsi="Times New Roman"/>
          <w:sz w:val="18"/>
          <w:szCs w:val="18"/>
          <w:color w:val="auto"/>
        </w:rPr>
        <w:t>), on the Transfer Date:</w:t>
      </w:r>
    </w:p>
    <w:p>
      <w:pPr>
        <w:spacing w:after="0" w:line="132"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in the Transfer Certificate the Existing Lender seeks to transfer by novation its rights and obligations under the Finance Documents each of the Obligors and the Existing Lender shall be released from further obligations towards one another under the Finance Documents and their respective rights against one another under the Finance Documents shall be cancelled (being the “</w:t>
      </w:r>
      <w:r>
        <w:rPr>
          <w:rFonts w:ascii="Times New Roman" w:cs="Times New Roman" w:eastAsia="Times New Roman" w:hAnsi="Times New Roman"/>
          <w:sz w:val="18"/>
          <w:szCs w:val="18"/>
          <w:b w:val="1"/>
          <w:bCs w:val="1"/>
          <w:color w:val="auto"/>
        </w:rPr>
        <w:t>Discharged Rights and Obligations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1184" w:right="100" w:hanging="644"/>
        <w:spacing w:after="0" w:line="266" w:lineRule="auto"/>
        <w:tabs>
          <w:tab w:leader="none" w:pos="1184"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81" w:lineRule="exact"/>
        <w:rPr>
          <w:rFonts w:ascii="Times New Roman" w:cs="Times New Roman" w:eastAsia="Times New Roman" w:hAnsi="Times New Roman"/>
          <w:sz w:val="18"/>
          <w:szCs w:val="18"/>
          <w:color w:val="auto"/>
        </w:rPr>
      </w:pPr>
    </w:p>
    <w:p>
      <w:pPr>
        <w:ind w:left="1184" w:right="120" w:hanging="644"/>
        <w:spacing w:after="0" w:line="256" w:lineRule="auto"/>
        <w:tabs>
          <w:tab w:leader="none" w:pos="1184"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the Global Coordinators, the Joint Green Loan Lead Coordinators, the Green Loan Coordinator, the MLABs, the MLAs, the Security Agent, the New Lender and other Lenders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the Global Coordinators, the Joint Green Loan Lead Coordinators, the Green Loan Coordinator, the MLABs, the MLAs, the Security Agent and the Existing Lender shall each be released from further obligations to each other under the Finance Documents; and</w:t>
      </w:r>
    </w:p>
    <w:p>
      <w:pPr>
        <w:spacing w:after="0" w:line="120"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24"/>
          </w:cols>
          <w:pgMar w:left="436" w:top="270" w:right="439" w:bottom="1440" w:gutter="0" w:footer="0" w:header="0"/>
        </w:sectPr>
      </w:pPr>
    </w:p>
    <w:bookmarkStart w:id="117" w:name="page118"/>
    <w:bookmarkEnd w:id="117"/>
    <w:p>
      <w:pPr>
        <w:ind w:left="1184" w:hanging="644"/>
        <w:spacing w:after="0"/>
        <w:tabs>
          <w:tab w:leader="none" w:pos="1184"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New Lender shall become a Party as a “Lender”.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25.6</w:t>
      </w:r>
      <w:r>
        <w:rPr>
          <w:sz w:val="20"/>
          <w:szCs w:val="20"/>
          <w:color w:val="auto"/>
        </w:rPr>
        <w:tab/>
      </w:r>
      <w:r>
        <w:rPr>
          <w:rFonts w:ascii="Times New Roman" w:cs="Times New Roman" w:eastAsia="Times New Roman" w:hAnsi="Times New Roman"/>
          <w:sz w:val="17"/>
          <w:szCs w:val="17"/>
          <w:b w:val="1"/>
          <w:bCs w:val="1"/>
          <w:color w:val="auto"/>
        </w:rPr>
        <w:t>Procedure for assignment</w:t>
      </w:r>
    </w:p>
    <w:p>
      <w:pPr>
        <w:spacing w:after="0" w:line="133" w:lineRule="exact"/>
        <w:rPr>
          <w:sz w:val="20"/>
          <w:szCs w:val="20"/>
          <w:color w:val="auto"/>
        </w:rPr>
      </w:pPr>
    </w:p>
    <w:p>
      <w:pPr>
        <w:ind w:left="544" w:right="20" w:hanging="544"/>
        <w:spacing w:after="0" w:line="258" w:lineRule="auto"/>
        <w:tabs>
          <w:tab w:leader="none" w:pos="544"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set out in Clause 25.2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 an assignment may be effected in accordance with paragraph (c) below when the Agent executes an otherwise duly 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90" w:lineRule="exact"/>
        <w:rPr>
          <w:rFonts w:ascii="Times New Roman" w:cs="Times New Roman" w:eastAsia="Times New Roman" w:hAnsi="Times New Roman"/>
          <w:sz w:val="18"/>
          <w:szCs w:val="18"/>
          <w:color w:val="auto"/>
        </w:rPr>
      </w:pPr>
    </w:p>
    <w:p>
      <w:pPr>
        <w:ind w:left="544" w:right="80" w:hanging="544"/>
        <w:spacing w:after="0" w:line="266" w:lineRule="auto"/>
        <w:tabs>
          <w:tab w:leader="none" w:pos="544"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7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25.9 (</w:t>
      </w:r>
      <w:r>
        <w:rPr>
          <w:rFonts w:ascii="Times New Roman" w:cs="Times New Roman" w:eastAsia="Times New Roman" w:hAnsi="Times New Roman"/>
          <w:sz w:val="18"/>
          <w:szCs w:val="18"/>
          <w:i w:val="1"/>
          <w:iCs w:val="1"/>
          <w:color w:val="auto"/>
        </w:rPr>
        <w:t>Pro rata interest settlement</w:t>
      </w:r>
      <w:r>
        <w:rPr>
          <w:rFonts w:ascii="Times New Roman" w:cs="Times New Roman" w:eastAsia="Times New Roman" w:hAnsi="Times New Roman"/>
          <w:sz w:val="18"/>
          <w:szCs w:val="18"/>
          <w:color w:val="auto"/>
        </w:rPr>
        <w:t>), on the Transfer Date:</w:t>
      </w:r>
    </w:p>
    <w:p>
      <w:pPr>
        <w:spacing w:after="0" w:line="132"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will assign absolutely to the New Lender the rights under the Finance Documents expressed to be the subject of the assignment in the Assignment Agreement;</w:t>
      </w:r>
    </w:p>
    <w:p>
      <w:pPr>
        <w:spacing w:after="0" w:line="63" w:lineRule="exact"/>
        <w:rPr>
          <w:rFonts w:ascii="Times New Roman" w:cs="Times New Roman" w:eastAsia="Times New Roman" w:hAnsi="Times New Roman"/>
          <w:sz w:val="18"/>
          <w:szCs w:val="18"/>
          <w:color w:val="auto"/>
        </w:rPr>
      </w:pPr>
    </w:p>
    <w:p>
      <w:pPr>
        <w:ind w:left="1184" w:right="460" w:hanging="644"/>
        <w:spacing w:after="0" w:line="286" w:lineRule="auto"/>
        <w:tabs>
          <w:tab w:leader="none" w:pos="1184"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will be released by each Obligor and the other Finance Parties from the obligations owed by it (the “</w:t>
      </w:r>
      <w:r>
        <w:rPr>
          <w:rFonts w:ascii="Times New Roman" w:cs="Times New Roman" w:eastAsia="Times New Roman" w:hAnsi="Times New Roman"/>
          <w:sz w:val="18"/>
          <w:szCs w:val="18"/>
          <w:b w:val="1"/>
          <w:bCs w:val="1"/>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and expressed to be the subject of the release in the Assignment Agreement; and</w:t>
      </w:r>
    </w:p>
    <w:p>
      <w:pPr>
        <w:spacing w:after="0" w:line="64"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become a Party as a “Lender” and will be bound by obligations equivalent to the Relevant Obligations.</w:t>
      </w:r>
    </w:p>
    <w:p>
      <w:pPr>
        <w:spacing w:after="0" w:line="130" w:lineRule="exact"/>
        <w:rPr>
          <w:rFonts w:ascii="Times New Roman" w:cs="Times New Roman" w:eastAsia="Times New Roman" w:hAnsi="Times New Roman"/>
          <w:sz w:val="18"/>
          <w:szCs w:val="18"/>
          <w:color w:val="auto"/>
        </w:rPr>
      </w:pPr>
    </w:p>
    <w:p>
      <w:pPr>
        <w:ind w:left="544" w:right="20" w:hanging="544"/>
        <w:spacing w:after="0" w:line="261" w:lineRule="auto"/>
        <w:tabs>
          <w:tab w:leader="none" w:pos="544"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may utilise procedures other than those set out in this Clause 25.6 to assign their rights under the Finance Documents (but not, without the consent of the relevant Obligor or unless in accordance with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xml:space="preserve">), to obtain a release by that Obligor from the obligations owed to that Obligor by the Lenders nor the assumption of equivalent obligations by a New Lender)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they comply with the conditions set out in Clause 25.2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25.7</w:t>
      </w:r>
      <w:r>
        <w:rPr>
          <w:sz w:val="20"/>
          <w:szCs w:val="20"/>
          <w:color w:val="auto"/>
        </w:rPr>
        <w:tab/>
      </w:r>
      <w:r>
        <w:rPr>
          <w:rFonts w:ascii="Times New Roman" w:cs="Times New Roman" w:eastAsia="Times New Roman" w:hAnsi="Times New Roman"/>
          <w:sz w:val="17"/>
          <w:szCs w:val="17"/>
          <w:b w:val="1"/>
          <w:bCs w:val="1"/>
          <w:color w:val="auto"/>
        </w:rPr>
        <w:t>Copy of Transfer Certificate Assignment Agreement</w:t>
      </w:r>
    </w:p>
    <w:p>
      <w:pPr>
        <w:spacing w:after="0" w:line="121" w:lineRule="exact"/>
        <w:rPr>
          <w:sz w:val="20"/>
          <w:szCs w:val="20"/>
          <w:color w:val="auto"/>
        </w:rPr>
      </w:pPr>
    </w:p>
    <w:p>
      <w:pPr>
        <w:ind w:left="544" w:right="760"/>
        <w:spacing w:after="0" w:line="282" w:lineRule="auto"/>
        <w:rPr>
          <w:sz w:val="20"/>
          <w:szCs w:val="20"/>
          <w:color w:val="auto"/>
        </w:rPr>
      </w:pPr>
      <w:r>
        <w:rPr>
          <w:rFonts w:ascii="Times New Roman" w:cs="Times New Roman" w:eastAsia="Times New Roman" w:hAnsi="Times New Roman"/>
          <w:sz w:val="18"/>
          <w:szCs w:val="18"/>
          <w:color w:val="auto"/>
        </w:rPr>
        <w:t>The Agent shall, as soon as reasonably practicable after it has executed a Transfer Certificate or an Assignment Agreement, send to the Company a copy of that Transfer Certificate or Assignment Agreement.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25.8</w:t>
      </w:r>
      <w:r>
        <w:rPr>
          <w:sz w:val="20"/>
          <w:szCs w:val="20"/>
          <w:color w:val="auto"/>
        </w:rPr>
        <w:tab/>
      </w:r>
      <w:r>
        <w:rPr>
          <w:rFonts w:ascii="Times New Roman" w:cs="Times New Roman" w:eastAsia="Times New Roman" w:hAnsi="Times New Roman"/>
          <w:sz w:val="17"/>
          <w:szCs w:val="17"/>
          <w:b w:val="1"/>
          <w:bCs w:val="1"/>
          <w:color w:val="auto"/>
        </w:rPr>
        <w:t>Security over Lenders’ rights</w:t>
      </w:r>
    </w:p>
    <w:p>
      <w:pPr>
        <w:spacing w:after="0" w:line="121" w:lineRule="exact"/>
        <w:rPr>
          <w:sz w:val="20"/>
          <w:szCs w:val="20"/>
          <w:color w:val="auto"/>
        </w:rPr>
      </w:pPr>
    </w:p>
    <w:p>
      <w:pPr>
        <w:ind w:left="544" w:right="60"/>
        <w:spacing w:after="0" w:line="266" w:lineRule="auto"/>
        <w:rPr>
          <w:sz w:val="20"/>
          <w:szCs w:val="20"/>
          <w:color w:val="auto"/>
        </w:rPr>
      </w:pPr>
      <w:r>
        <w:rPr>
          <w:rFonts w:ascii="Times New Roman" w:cs="Times New Roman" w:eastAsia="Times New Roman" w:hAnsi="Times New Roman"/>
          <w:sz w:val="18"/>
          <w:szCs w:val="18"/>
          <w:color w:val="auto"/>
        </w:rPr>
        <w:t>In addition to the other rights provided to Lenders under this Clause 25,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w:t>
      </w:r>
    </w:p>
    <w:p>
      <w:pPr>
        <w:spacing w:after="0" w:line="81" w:lineRule="exact"/>
        <w:rPr>
          <w:sz w:val="20"/>
          <w:szCs w:val="20"/>
          <w:color w:val="auto"/>
        </w:rPr>
      </w:pPr>
    </w:p>
    <w:p>
      <w:pPr>
        <w:ind w:left="1184" w:hanging="644"/>
        <w:spacing w:after="0"/>
        <w:tabs>
          <w:tab w:leader="none" w:pos="1184"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assignment or other Security to secure obligations to a federal reserve or central bank; and</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24"/>
          </w:cols>
          <w:pgMar w:left="436" w:top="270" w:right="439" w:bottom="1440" w:gutter="0" w:footer="0" w:header="0"/>
        </w:sectPr>
      </w:pPr>
    </w:p>
    <w:bookmarkStart w:id="118" w:name="page119"/>
    <w:bookmarkEnd w:id="118"/>
    <w:p>
      <w:pPr>
        <w:ind w:left="1184" w:right="620" w:hanging="644"/>
        <w:spacing w:after="0" w:line="282" w:lineRule="auto"/>
        <w:tabs>
          <w:tab w:leader="none" w:pos="118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charge, assignment or other Security granted to any holders (or trustee or representatives of holders) of obligations owed, or securities issued, by that Lender as security for those obligations or securities,</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except that no such charge, assignment or Security shall:</w:t>
      </w:r>
    </w:p>
    <w:p>
      <w:pPr>
        <w:spacing w:after="0" w:line="131" w:lineRule="exact"/>
        <w:rPr>
          <w:sz w:val="20"/>
          <w:szCs w:val="20"/>
          <w:color w:val="auto"/>
        </w:rPr>
      </w:pPr>
    </w:p>
    <w:p>
      <w:pPr>
        <w:ind w:left="1744" w:right="260" w:hanging="543"/>
        <w:spacing w:after="0" w:line="282" w:lineRule="auto"/>
        <w:tabs>
          <w:tab w:leader="none" w:pos="1744"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 Lender from any of its obligations under the Finance Documents or substitute the beneficiary of the relevant charge, assignment or Security for the Lender as a party to any of the Finance Documents; or</w:t>
      </w:r>
    </w:p>
    <w:p>
      <w:pPr>
        <w:spacing w:after="0" w:line="67" w:lineRule="exact"/>
        <w:rPr>
          <w:rFonts w:ascii="Times New Roman" w:cs="Times New Roman" w:eastAsia="Times New Roman" w:hAnsi="Times New Roman"/>
          <w:sz w:val="18"/>
          <w:szCs w:val="18"/>
          <w:color w:val="auto"/>
        </w:rPr>
      </w:pPr>
    </w:p>
    <w:p>
      <w:pPr>
        <w:ind w:left="1744" w:right="20" w:hanging="543"/>
        <w:spacing w:after="0" w:line="282" w:lineRule="auto"/>
        <w:tabs>
          <w:tab w:leader="none" w:pos="1744"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25.9</w:t>
      </w:r>
      <w:r>
        <w:rPr>
          <w:sz w:val="20"/>
          <w:szCs w:val="20"/>
          <w:color w:val="auto"/>
        </w:rPr>
        <w:tab/>
      </w:r>
      <w:r>
        <w:rPr>
          <w:rFonts w:ascii="Times New Roman" w:cs="Times New Roman" w:eastAsia="Times New Roman" w:hAnsi="Times New Roman"/>
          <w:sz w:val="17"/>
          <w:szCs w:val="17"/>
          <w:b w:val="1"/>
          <w:bCs w:val="1"/>
          <w:color w:val="auto"/>
        </w:rPr>
        <w:t>Pro rata interest settlement</w:t>
      </w:r>
    </w:p>
    <w:p>
      <w:pPr>
        <w:spacing w:after="0" w:line="135" w:lineRule="exact"/>
        <w:rPr>
          <w:sz w:val="20"/>
          <w:szCs w:val="20"/>
          <w:color w:val="auto"/>
        </w:rPr>
      </w:pPr>
    </w:p>
    <w:p>
      <w:pPr>
        <w:ind w:left="544" w:right="20" w:hanging="544"/>
        <w:spacing w:after="0" w:line="266" w:lineRule="auto"/>
        <w:tabs>
          <w:tab w:leader="none" w:pos="54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has notified the Lenders that it is able to distribute interest payments on a “pro rata basis” to Existing Lenders and New Lenders then (in respect of any transfer pursuant to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or any assignment pursuant to Clause 25.6 (</w:t>
      </w:r>
      <w:r>
        <w:rPr>
          <w:rFonts w:ascii="Times New Roman" w:cs="Times New Roman" w:eastAsia="Times New Roman" w:hAnsi="Times New Roman"/>
          <w:sz w:val="18"/>
          <w:szCs w:val="18"/>
          <w:i w:val="1"/>
          <w:iCs w:val="1"/>
          <w:color w:val="auto"/>
        </w:rPr>
        <w:t>Procedure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the Transfer Date of which, in each case, is after the date of such notification and is not on the last day of an Interest Period):</w:t>
      </w:r>
    </w:p>
    <w:p>
      <w:pPr>
        <w:spacing w:after="0" w:line="81" w:lineRule="exact"/>
        <w:rPr>
          <w:rFonts w:ascii="Times New Roman" w:cs="Times New Roman" w:eastAsia="Times New Roman" w:hAnsi="Times New Roman"/>
          <w:sz w:val="18"/>
          <w:szCs w:val="18"/>
          <w:color w:val="auto"/>
        </w:rPr>
      </w:pPr>
    </w:p>
    <w:p>
      <w:pPr>
        <w:ind w:left="1184" w:right="20" w:hanging="644"/>
        <w:spacing w:after="0" w:line="258" w:lineRule="auto"/>
        <w:tabs>
          <w:tab w:leader="none" w:pos="1184"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fees in respect of the relevant participation which are expressed to accrue by reference to the lapse of time shall continue to accrue in favour of the Existing Lender up to but excluding the Transfer Date (“</w:t>
      </w:r>
      <w:r>
        <w:rPr>
          <w:rFonts w:ascii="Times New Roman" w:cs="Times New Roman" w:eastAsia="Times New Roman" w:hAnsi="Times New Roman"/>
          <w:sz w:val="18"/>
          <w:szCs w:val="18"/>
          <w:b w:val="1"/>
          <w:bCs w:val="1"/>
          <w:color w:val="auto"/>
        </w:rPr>
        <w:t>Accrued Amounts</w:t>
      </w:r>
      <w:r>
        <w:rPr>
          <w:rFonts w:ascii="Times New Roman" w:cs="Times New Roman" w:eastAsia="Times New Roman" w:hAnsi="Times New Roman"/>
          <w:sz w:val="18"/>
          <w:szCs w:val="18"/>
          <w:color w:val="auto"/>
        </w:rPr>
        <w:t>”) and shall become due and payable to the Existing Lender (without further interest accruing on them) on the last day of the current Interest Period (or, if the Interest Period is longer than six Months, on the next of the dates which falls at six Monthly intervals after the first day of that Interest Period); and</w:t>
      </w:r>
    </w:p>
    <w:p>
      <w:pPr>
        <w:spacing w:after="0" w:line="88"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assigned or transferred by the Existing Lender will not include the right to the Accrued Amounts, so that, for the avoidance of doubt:</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Accrued Amounts become payable, those Accrued Amounts will be payable to the Existing Lender; and</w:t>
      </w:r>
    </w:p>
    <w:p>
      <w:pPr>
        <w:spacing w:after="0" w:line="130" w:lineRule="exact"/>
        <w:rPr>
          <w:rFonts w:ascii="Times New Roman" w:cs="Times New Roman" w:eastAsia="Times New Roman" w:hAnsi="Times New Roman"/>
          <w:sz w:val="18"/>
          <w:szCs w:val="18"/>
          <w:color w:val="auto"/>
        </w:rPr>
      </w:pPr>
    </w:p>
    <w:p>
      <w:pPr>
        <w:ind w:left="1744" w:right="100" w:hanging="543"/>
        <w:spacing w:after="0" w:line="282" w:lineRule="auto"/>
        <w:tabs>
          <w:tab w:leader="none" w:pos="1744" w:val="left"/>
        </w:tabs>
        <w:numPr>
          <w:ilvl w:val="2"/>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payable to the New Lender on that date will be the amount which would, but for the application of this Clause 25.9, have been payable to it on that date, but after deduction of the Accrued Amounts.</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25.9 references to “Interest Period” shall be construed to include a reference to any other period for accrual of fees.</w:t>
      </w:r>
    </w:p>
    <w:p>
      <w:pPr>
        <w:spacing w:after="0" w:line="130" w:lineRule="exact"/>
        <w:rPr>
          <w:rFonts w:ascii="Times New Roman" w:cs="Times New Roman" w:eastAsia="Times New Roman" w:hAnsi="Times New Roman"/>
          <w:sz w:val="18"/>
          <w:szCs w:val="18"/>
          <w:color w:val="auto"/>
        </w:rPr>
      </w:pPr>
    </w:p>
    <w:p>
      <w:pPr>
        <w:ind w:left="544" w:right="40" w:hanging="544"/>
        <w:spacing w:after="0" w:line="266" w:lineRule="auto"/>
        <w:tabs>
          <w:tab w:leader="none" w:pos="54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Lender which retains the right to the Accrued Amounts pursuant to this Clause 25.9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24"/>
          </w:cols>
          <w:pgMar w:left="436" w:top="270" w:right="439" w:bottom="1440" w:gutter="0" w:footer="0" w:header="0"/>
        </w:sectPr>
      </w:pPr>
    </w:p>
    <w:bookmarkStart w:id="119" w:name="page120"/>
    <w:bookmarkEnd w:id="119"/>
    <w:p>
      <w:pPr>
        <w:ind w:left="4" w:right="5860" w:hanging="4"/>
        <w:spacing w:after="0" w:line="408" w:lineRule="auto"/>
        <w:tabs>
          <w:tab w:leader="none" w:pos="544" w:val="left"/>
        </w:tabs>
        <w:numPr>
          <w:ilvl w:val="0"/>
          <w:numId w:val="3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 ON DEBT PURCHASE TRANSACTIONS 26.1 Prohibition on Debt Purchase Transactions by the Group</w:t>
      </w:r>
    </w:p>
    <w:p>
      <w:pPr>
        <w:spacing w:after="0" w:line="1" w:lineRule="exact"/>
        <w:rPr>
          <w:sz w:val="20"/>
          <w:szCs w:val="20"/>
          <w:color w:val="auto"/>
        </w:rPr>
      </w:pPr>
    </w:p>
    <w:p>
      <w:pPr>
        <w:ind w:left="544" w:right="40"/>
        <w:spacing w:after="0" w:line="266" w:lineRule="auto"/>
        <w:rPr>
          <w:sz w:val="20"/>
          <w:szCs w:val="20"/>
          <w:color w:val="auto"/>
        </w:rPr>
      </w:pPr>
      <w:r>
        <w:rPr>
          <w:rFonts w:ascii="Times New Roman" w:cs="Times New Roman" w:eastAsia="Times New Roman" w:hAnsi="Times New Roman"/>
          <w:sz w:val="18"/>
          <w:szCs w:val="18"/>
          <w:color w:val="auto"/>
        </w:rPr>
        <w:t>The Borrower shall not, and shall procure that each other Group Member shall not, enter into any Debt Purchase Transaction or beneficially own all or any part of the share capital of a company that is a Lender or a party to a Debt Purchase Transaction of the type referred to in paragraphs (b) or (c) of the definition of “Debt Purchase Transaction”.</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26.2</w:t>
      </w:r>
      <w:r>
        <w:rPr>
          <w:sz w:val="20"/>
          <w:szCs w:val="20"/>
          <w:color w:val="auto"/>
        </w:rPr>
        <w:tab/>
      </w:r>
      <w:r>
        <w:rPr>
          <w:rFonts w:ascii="Times New Roman" w:cs="Times New Roman" w:eastAsia="Times New Roman" w:hAnsi="Times New Roman"/>
          <w:sz w:val="17"/>
          <w:szCs w:val="17"/>
          <w:b w:val="1"/>
          <w:bCs w:val="1"/>
          <w:color w:val="auto"/>
        </w:rPr>
        <w:t>Disenfranchisement of Sponsor Affiliates</w:t>
      </w:r>
    </w:p>
    <w:p>
      <w:pPr>
        <w:spacing w:after="0" w:line="135" w:lineRule="exact"/>
        <w:rPr>
          <w:sz w:val="20"/>
          <w:szCs w:val="20"/>
          <w:color w:val="auto"/>
        </w:rPr>
      </w:pPr>
    </w:p>
    <w:p>
      <w:pPr>
        <w:ind w:left="544" w:hanging="544"/>
        <w:spacing w:after="0"/>
        <w:tabs>
          <w:tab w:leader="none" w:pos="544"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 Sponsor Affiliate: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a Commitment; or</w:t>
      </w:r>
    </w:p>
    <w:p>
      <w:pPr>
        <w:spacing w:after="0" w:line="130" w:lineRule="exact"/>
        <w:rPr>
          <w:rFonts w:ascii="Times New Roman" w:cs="Times New Roman" w:eastAsia="Times New Roman" w:hAnsi="Times New Roman"/>
          <w:sz w:val="18"/>
          <w:szCs w:val="18"/>
          <w:color w:val="auto"/>
        </w:rPr>
      </w:pPr>
    </w:p>
    <w:p>
      <w:pPr>
        <w:ind w:left="1184" w:right="460" w:hanging="644"/>
        <w:spacing w:after="0" w:line="282" w:lineRule="auto"/>
        <w:tabs>
          <w:tab w:leader="none" w:pos="1184"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entered into a sub-participation agreement relating to a Commitment or other agreement or arrangement having a substantially similar economic effect and such agreement or arrangement has not been terminated,</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ascertaining:</w:t>
      </w:r>
    </w:p>
    <w:p>
      <w:pPr>
        <w:spacing w:after="0" w:line="131" w:lineRule="exact"/>
        <w:rPr>
          <w:sz w:val="20"/>
          <w:szCs w:val="20"/>
          <w:color w:val="auto"/>
        </w:rPr>
      </w:pPr>
    </w:p>
    <w:p>
      <w:pPr>
        <w:ind w:left="1744" w:hanging="543"/>
        <w:spacing w:after="0"/>
        <w:tabs>
          <w:tab w:leader="none" w:pos="174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or any group or percentage of Lenders (including, for the avoidance of doubt, all the Lenders);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given percentage (including, for the avoidance of doubt, unanimity) of the Total Commitments; or</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any specified group of Lenders,</w:t>
      </w:r>
    </w:p>
    <w:p>
      <w:pPr>
        <w:spacing w:after="0" w:line="117" w:lineRule="exact"/>
        <w:rPr>
          <w:sz w:val="20"/>
          <w:szCs w:val="20"/>
          <w:color w:val="auto"/>
        </w:rPr>
      </w:pPr>
    </w:p>
    <w:p>
      <w:pPr>
        <w:ind w:left="544" w:right="120"/>
        <w:spacing w:after="0" w:line="261" w:lineRule="auto"/>
        <w:rPr>
          <w:sz w:val="20"/>
          <w:szCs w:val="20"/>
          <w:color w:val="auto"/>
        </w:rPr>
      </w:pPr>
      <w:r>
        <w:rPr>
          <w:rFonts w:ascii="Times New Roman" w:cs="Times New Roman" w:eastAsia="Times New Roman" w:hAnsi="Times New Roman"/>
          <w:sz w:val="18"/>
          <w:szCs w:val="18"/>
          <w:color w:val="auto"/>
        </w:rPr>
        <w:t>has been obtained to approve any request for a consent, waiver, amendment or other vote under the Finance Documents such Commitment shall be deemed to be zero and such Sponsor Affiliate or the person with whom it has entered into such sub-participation, other agreement or arrangement shall be deemed not to be a Lender for the purposes of paragraphs (A) and (B) above (unless in the case of a person not being a Sponsor Affiliate it is a Lender by virtue otherwise than by beneficially owning the relevant Commitment).</w:t>
      </w:r>
    </w:p>
    <w:p>
      <w:pPr>
        <w:spacing w:after="0" w:line="85" w:lineRule="exact"/>
        <w:rPr>
          <w:sz w:val="20"/>
          <w:szCs w:val="20"/>
          <w:color w:val="auto"/>
        </w:rPr>
      </w:pPr>
    </w:p>
    <w:p>
      <w:pPr>
        <w:ind w:left="544" w:right="440" w:hanging="544"/>
        <w:spacing w:after="0" w:line="266" w:lineRule="auto"/>
        <w:tabs>
          <w:tab w:leader="none" w:pos="544"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unless such Debt Purchase Transaction is an assignment or transfer, promptly notify the Agent in writing if it knowingly enters into a Debt Purchase Transaction with a Sponsor Affiliate (a “</w:t>
      </w:r>
      <w:r>
        <w:rPr>
          <w:rFonts w:ascii="Times New Roman" w:cs="Times New Roman" w:eastAsia="Times New Roman" w:hAnsi="Times New Roman"/>
          <w:sz w:val="18"/>
          <w:szCs w:val="18"/>
          <w:b w:val="1"/>
          <w:bCs w:val="1"/>
          <w:color w:val="auto"/>
        </w:rPr>
        <w:t>Notifiable Debt Purchase Transaction</w:t>
      </w:r>
      <w:r>
        <w:rPr>
          <w:rFonts w:ascii="Times New Roman" w:cs="Times New Roman" w:eastAsia="Times New Roman" w:hAnsi="Times New Roman"/>
          <w:sz w:val="18"/>
          <w:szCs w:val="18"/>
          <w:color w:val="auto"/>
        </w:rPr>
        <w:t>”), such notification to be substantially in the form set out in Part I of Schedule 8 (</w:t>
      </w:r>
      <w:r>
        <w:rPr>
          <w:rFonts w:ascii="Times New Roman" w:cs="Times New Roman" w:eastAsia="Times New Roman" w:hAnsi="Times New Roman"/>
          <w:sz w:val="18"/>
          <w:szCs w:val="18"/>
          <w:i w:val="1"/>
          <w:iCs w:val="1"/>
          <w:color w:val="auto"/>
        </w:rPr>
        <w:t>Forms of Notifiable Debt Purchase Transaction Notice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shall promptly notify the Agent if a Notifiable Debt Purchase Transaction to which it is a party: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terminated;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be with a Sponsor Affiliate,</w:t>
      </w:r>
    </w:p>
    <w:p>
      <w:pPr>
        <w:spacing w:after="0" w:line="11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such notification to be substantially in the form set out in Part II of Schedule 8 (</w:t>
      </w:r>
      <w:r>
        <w:rPr>
          <w:rFonts w:ascii="Times New Roman" w:cs="Times New Roman" w:eastAsia="Times New Roman" w:hAnsi="Times New Roman"/>
          <w:sz w:val="18"/>
          <w:szCs w:val="18"/>
          <w:i w:val="1"/>
          <w:iCs w:val="1"/>
          <w:color w:val="auto"/>
        </w:rPr>
        <w:t>Forms of Notifiable Debt Purchase Transaction Notice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24"/>
          </w:cols>
          <w:pgMar w:left="436" w:top="266" w:right="439" w:bottom="1440" w:gutter="0" w:footer="0" w:header="0"/>
        </w:sectPr>
      </w:pPr>
    </w:p>
    <w:bookmarkStart w:id="120" w:name="page121"/>
    <w:bookmarkEnd w:id="120"/>
    <w:p>
      <w:pPr>
        <w:ind w:left="544" w:hanging="544"/>
        <w:spacing w:after="0"/>
        <w:tabs>
          <w:tab w:leader="none" w:pos="54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Sponsor Affiliate that is a Lender agrees that:</w:t>
      </w:r>
    </w:p>
    <w:p>
      <w:pPr>
        <w:spacing w:after="0" w:line="130" w:lineRule="exact"/>
        <w:rPr>
          <w:rFonts w:ascii="Times New Roman" w:cs="Times New Roman" w:eastAsia="Times New Roman" w:hAnsi="Times New Roman"/>
          <w:sz w:val="18"/>
          <w:szCs w:val="18"/>
          <w:color w:val="auto"/>
        </w:rPr>
      </w:pPr>
    </w:p>
    <w:p>
      <w:pPr>
        <w:ind w:left="1184" w:right="60" w:hanging="644"/>
        <w:spacing w:after="0" w:line="266" w:lineRule="auto"/>
        <w:tabs>
          <w:tab w:leader="none" w:pos="1184"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meeting or conference call to which all the Lenders are invited to attend or participate, it shall not attend or participate in the same if so requested by the Agent or, unless the Agent otherwise agrees, be entitled to receive the agenda or any minutes of the same; and</w:t>
      </w:r>
    </w:p>
    <w:p>
      <w:pPr>
        <w:spacing w:after="0" w:line="81"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as Lender, unless the Agent otherwise agrees, it shall not be entitled to receive any report or other document prepared at the behest of, or on the instructions of, the Agent or one or more of the Lenders.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26.3</w:t>
      </w:r>
      <w:r>
        <w:rPr>
          <w:sz w:val="20"/>
          <w:szCs w:val="20"/>
          <w:color w:val="auto"/>
        </w:rPr>
        <w:tab/>
      </w:r>
      <w:r>
        <w:rPr>
          <w:rFonts w:ascii="Times New Roman" w:cs="Times New Roman" w:eastAsia="Times New Roman" w:hAnsi="Times New Roman"/>
          <w:sz w:val="17"/>
          <w:szCs w:val="17"/>
          <w:b w:val="1"/>
          <w:bCs w:val="1"/>
          <w:color w:val="auto"/>
        </w:rPr>
        <w:t>Sponsor Affiliates’ notification to other Lenders of Debt Purchase Transactions</w:t>
      </w:r>
    </w:p>
    <w:p>
      <w:pPr>
        <w:spacing w:after="0" w:line="121" w:lineRule="exact"/>
        <w:rPr>
          <w:sz w:val="20"/>
          <w:szCs w:val="20"/>
          <w:color w:val="auto"/>
        </w:rPr>
      </w:pPr>
    </w:p>
    <w:p>
      <w:pPr>
        <w:ind w:left="544" w:right="140"/>
        <w:spacing w:after="0" w:line="261" w:lineRule="auto"/>
        <w:rPr>
          <w:sz w:val="20"/>
          <w:szCs w:val="20"/>
          <w:color w:val="auto"/>
        </w:rPr>
      </w:pPr>
      <w:r>
        <w:rPr>
          <w:rFonts w:ascii="Times New Roman" w:cs="Times New Roman" w:eastAsia="Times New Roman" w:hAnsi="Times New Roman"/>
          <w:sz w:val="18"/>
          <w:szCs w:val="18"/>
          <w:color w:val="auto"/>
        </w:rPr>
        <w:t>Any Sponsor Affiliate which is or becomes a Lender and which enters into a Debt Purchase Transaction as a purchaser or a participant shall, by 5:00 pm on the Business Day following the day on which it entered into that Debt Purchase Transaction, notify the Agent of the extent of the Commitment(s) or amount outstanding to which that Debt Purchase Transaction relates. The Agent shall promptly disclose such information to the Lenders.</w:t>
      </w:r>
    </w:p>
    <w:p>
      <w:pPr>
        <w:spacing w:after="0" w:line="324" w:lineRule="exact"/>
        <w:rPr>
          <w:sz w:val="20"/>
          <w:szCs w:val="20"/>
          <w:color w:val="auto"/>
        </w:rPr>
      </w:pPr>
    </w:p>
    <w:p>
      <w:pPr>
        <w:ind w:left="4" w:right="7560" w:hanging="4"/>
        <w:spacing w:after="0" w:line="385" w:lineRule="auto"/>
        <w:tabs>
          <w:tab w:leader="none" w:pos="544" w:val="left"/>
        </w:tabs>
        <w:numPr>
          <w:ilvl w:val="0"/>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OBLIGORS 27.1 Assignments and transfer by Obligors</w:t>
      </w:r>
    </w:p>
    <w:p>
      <w:pPr>
        <w:spacing w:after="0" w:line="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Obligor may assign any of its rights or transfer any of its rights or obligations under the Finance Documents.</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24"/>
          </w:cols>
          <w:pgMar w:left="436" w:top="270" w:right="439" w:bottom="1440" w:gutter="0" w:footer="0" w:header="0"/>
        </w:sectPr>
      </w:pPr>
    </w:p>
    <w:bookmarkStart w:id="121" w:name="page122"/>
    <w:bookmarkEnd w:id="12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FINANCE PARTIES</w:t>
      </w:r>
    </w:p>
    <w:p>
      <w:pPr>
        <w:spacing w:after="0" w:line="252" w:lineRule="exact"/>
        <w:rPr>
          <w:sz w:val="20"/>
          <w:szCs w:val="20"/>
          <w:color w:val="auto"/>
        </w:rPr>
      </w:pPr>
    </w:p>
    <w:p>
      <w:pPr>
        <w:ind w:left="4" w:right="7580" w:hanging="4"/>
        <w:spacing w:after="0" w:line="416" w:lineRule="auto"/>
        <w:tabs>
          <w:tab w:leader="none" w:pos="544" w:val="left"/>
        </w:tabs>
        <w:numPr>
          <w:ilvl w:val="0"/>
          <w:numId w:val="3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ROLE OF THE FINANCE PARTIES 28.1 The Agent and the Security Agent</w:t>
      </w:r>
    </w:p>
    <w:p>
      <w:pPr>
        <w:spacing w:after="0" w:line="1" w:lineRule="exact"/>
        <w:rPr>
          <w:sz w:val="20"/>
          <w:szCs w:val="20"/>
          <w:color w:val="auto"/>
        </w:rPr>
      </w:pPr>
    </w:p>
    <w:p>
      <w:pPr>
        <w:ind w:left="544" w:right="80" w:hanging="544"/>
        <w:spacing w:after="0" w:line="282" w:lineRule="auto"/>
        <w:tabs>
          <w:tab w:leader="none" w:pos="54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Global Coordinators, the MLABs, the MLAs and the Lenders appoints the Agent to act as its agent under and in connection with the Finance Documents.</w:t>
      </w:r>
    </w:p>
    <w:p>
      <w:pPr>
        <w:spacing w:after="0" w:line="67" w:lineRule="exact"/>
        <w:rPr>
          <w:rFonts w:ascii="Times New Roman" w:cs="Times New Roman" w:eastAsia="Times New Roman" w:hAnsi="Times New Roman"/>
          <w:sz w:val="18"/>
          <w:szCs w:val="18"/>
          <w:color w:val="auto"/>
        </w:rPr>
      </w:pPr>
    </w:p>
    <w:p>
      <w:pPr>
        <w:ind w:left="544" w:right="200" w:hanging="544"/>
        <w:spacing w:after="0" w:line="282" w:lineRule="auto"/>
        <w:tabs>
          <w:tab w:leader="none" w:pos="54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Global Coordinators, the MLABs, the MLAs, the Lenders and the Agent appoints the Security Agent to act as security agent under and in connection with the Finance Documents.</w:t>
      </w:r>
    </w:p>
    <w:p>
      <w:pPr>
        <w:spacing w:after="0" w:line="67" w:lineRule="exact"/>
        <w:rPr>
          <w:rFonts w:ascii="Times New Roman" w:cs="Times New Roman" w:eastAsia="Times New Roman" w:hAnsi="Times New Roman"/>
          <w:sz w:val="18"/>
          <w:szCs w:val="18"/>
          <w:color w:val="auto"/>
        </w:rPr>
      </w:pPr>
    </w:p>
    <w:p>
      <w:pPr>
        <w:jc w:val="both"/>
        <w:ind w:left="544" w:right="520" w:hanging="544"/>
        <w:spacing w:after="0" w:line="266" w:lineRule="auto"/>
        <w:tabs>
          <w:tab w:leader="none" w:pos="54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“security agent” means that the Security Agent is acting as security agent and security trustee, and the Security Agent declares that it holds the Charged Property on trust as security trustee for the Secured Parties on the terms contained in this Agreement.</w:t>
      </w:r>
    </w:p>
    <w:p>
      <w:pPr>
        <w:spacing w:after="0" w:line="81" w:lineRule="exact"/>
        <w:rPr>
          <w:rFonts w:ascii="Times New Roman" w:cs="Times New Roman" w:eastAsia="Times New Roman" w:hAnsi="Times New Roman"/>
          <w:sz w:val="18"/>
          <w:szCs w:val="18"/>
          <w:color w:val="auto"/>
        </w:rPr>
      </w:pPr>
    </w:p>
    <w:p>
      <w:pPr>
        <w:ind w:left="544" w:right="240" w:hanging="544"/>
        <w:spacing w:after="0" w:line="282" w:lineRule="auto"/>
        <w:tabs>
          <w:tab w:leader="none" w:pos="54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security trusts established by this Agreement are not effective to confer the benefit of any Transaction Security upon any Secured Party:</w:t>
      </w:r>
    </w:p>
    <w:p>
      <w:pPr>
        <w:spacing w:after="0" w:line="67"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shall act as security agent, and not as security trustee, for the relevant Secured Party in respect of that Transaction Security;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(c) shall not apply to that Transaction Security.</w:t>
      </w:r>
    </w:p>
    <w:p>
      <w:pPr>
        <w:spacing w:after="0" w:line="130" w:lineRule="exact"/>
        <w:rPr>
          <w:rFonts w:ascii="Times New Roman" w:cs="Times New Roman" w:eastAsia="Times New Roman" w:hAnsi="Times New Roman"/>
          <w:sz w:val="18"/>
          <w:szCs w:val="18"/>
          <w:color w:val="auto"/>
        </w:rPr>
      </w:pPr>
    </w:p>
    <w:p>
      <w:pPr>
        <w:ind w:left="544" w:right="20" w:hanging="544"/>
        <w:spacing w:after="0" w:line="266" w:lineRule="auto"/>
        <w:tabs>
          <w:tab w:leader="none" w:pos="54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Secured Parties authorises the Agent and the Security Agent to perform the duties, obligations and responsibilities and to exercise the rights, powers, authorities and discretions specifically given to the Agent and the Security Agent (as applicable) under or in connection with the Finance Documents together with any other incidental rights, powers, authorities and discretions.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28.2</w:t>
      </w:r>
      <w:r>
        <w:rPr>
          <w:sz w:val="20"/>
          <w:szCs w:val="20"/>
          <w:color w:val="auto"/>
        </w:rPr>
        <w:tab/>
      </w:r>
      <w:r>
        <w:rPr>
          <w:rFonts w:ascii="Times New Roman" w:cs="Times New Roman" w:eastAsia="Times New Roman" w:hAnsi="Times New Roman"/>
          <w:sz w:val="17"/>
          <w:szCs w:val="17"/>
          <w:b w:val="1"/>
          <w:bCs w:val="1"/>
          <w:color w:val="auto"/>
        </w:rPr>
        <w:t>Enforcement through Security Agent only</w:t>
      </w:r>
    </w:p>
    <w:p>
      <w:pPr>
        <w:spacing w:after="0" w:line="121" w:lineRule="exact"/>
        <w:rPr>
          <w:sz w:val="20"/>
          <w:szCs w:val="20"/>
          <w:color w:val="auto"/>
        </w:rPr>
      </w:pPr>
    </w:p>
    <w:p>
      <w:pPr>
        <w:ind w:left="544" w:right="380"/>
        <w:spacing w:after="0" w:line="282" w:lineRule="auto"/>
        <w:rPr>
          <w:sz w:val="20"/>
          <w:szCs w:val="20"/>
          <w:color w:val="auto"/>
        </w:rPr>
      </w:pPr>
      <w:r>
        <w:rPr>
          <w:rFonts w:ascii="Times New Roman" w:cs="Times New Roman" w:eastAsia="Times New Roman" w:hAnsi="Times New Roman"/>
          <w:sz w:val="18"/>
          <w:szCs w:val="18"/>
          <w:color w:val="auto"/>
        </w:rPr>
        <w:t>The Secured Parties shall not have any independent power to enforce, or have recourse to, any of the Transaction Security or to exercise any right, power, authority or discretion arising under the Security Documents except through the Security Agent.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28.3</w:t>
      </w:r>
      <w:r>
        <w:rPr>
          <w:sz w:val="20"/>
          <w:szCs w:val="20"/>
          <w:color w:val="auto"/>
        </w:rPr>
        <w:tab/>
      </w:r>
      <w:r>
        <w:rPr>
          <w:rFonts w:ascii="Times New Roman" w:cs="Times New Roman" w:eastAsia="Times New Roman" w:hAnsi="Times New Roman"/>
          <w:sz w:val="17"/>
          <w:szCs w:val="17"/>
          <w:b w:val="1"/>
          <w:bCs w:val="1"/>
          <w:color w:val="auto"/>
        </w:rPr>
        <w:t>Instructions</w:t>
      </w:r>
    </w:p>
    <w:p>
      <w:pPr>
        <w:spacing w:after="0" w:line="135" w:lineRule="exact"/>
        <w:rPr>
          <w:sz w:val="20"/>
          <w:szCs w:val="20"/>
          <w:color w:val="auto"/>
        </w:rPr>
      </w:pPr>
    </w:p>
    <w:p>
      <w:pPr>
        <w:ind w:left="544" w:hanging="544"/>
        <w:spacing w:after="0"/>
        <w:tabs>
          <w:tab w:leader="none" w:pos="544"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shall:</w:t>
      </w:r>
    </w:p>
    <w:p>
      <w:pPr>
        <w:spacing w:after="0" w:line="130"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a Finance Document, exercise or refrain from exercising any right, power, authority or discretion vested in it as Agent or Security Agent (as applicable) in accordance with any instructions given to it by:</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Lenders if the relevant Finance Document stipulates the matter is an all Lender decision;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Majority Lenders; and</w:t>
      </w:r>
    </w:p>
    <w:p>
      <w:pPr>
        <w:spacing w:after="0" w:line="130" w:lineRule="exact"/>
        <w:rPr>
          <w:rFonts w:ascii="Times New Roman" w:cs="Times New Roman" w:eastAsia="Times New Roman" w:hAnsi="Times New Roman"/>
          <w:sz w:val="18"/>
          <w:szCs w:val="18"/>
          <w:color w:val="auto"/>
        </w:rPr>
      </w:pPr>
    </w:p>
    <w:p>
      <w:pPr>
        <w:ind w:left="1184" w:right="180" w:hanging="644"/>
        <w:spacing w:after="0" w:line="266" w:lineRule="auto"/>
        <w:tabs>
          <w:tab w:leader="none" w:pos="1184"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for any act (or omission) if it acts (or refrains from acting) in accordance with paragraph (i) above (or, if this Agreement stipulates the matter is a decision for any other Finance Party or group of Finance Parties, from that Finance Party or group of Finance Parties).</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24"/>
          </w:cols>
          <w:pgMar w:left="436" w:top="266" w:right="439" w:bottom="1440" w:gutter="0" w:footer="0" w:header="0"/>
        </w:sectPr>
      </w:pPr>
    </w:p>
    <w:bookmarkStart w:id="122" w:name="page123"/>
    <w:bookmarkEnd w:id="122"/>
    <w:p>
      <w:pPr>
        <w:ind w:left="544" w:right="200" w:hanging="544"/>
        <w:spacing w:after="0" w:line="258" w:lineRule="auto"/>
        <w:tabs>
          <w:tab w:leader="none" w:pos="544"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Agent and the Security Agent shall be entitled to request instructions, or clarification of any instruction, from the Majority Lenders (or (i) if the relevant Finance Document stipulates the matter is a decision for any other Finance Party or group of Finance Parties, from that Finance Party or group of Finance Parties (ii) in the case of the Security Agent only, from the Agent) as to whether, and in what manner, it should exercise or refrain from exercising any right, power, authority or discretion and the Agent or Security Agent (as applicable) may refrain from acting unless and until it receives any such instructions or that clarification.</w:t>
      </w:r>
    </w:p>
    <w:p>
      <w:pPr>
        <w:spacing w:after="0" w:line="88" w:lineRule="exact"/>
        <w:rPr>
          <w:rFonts w:ascii="Times New Roman" w:cs="Times New Roman" w:eastAsia="Times New Roman" w:hAnsi="Times New Roman"/>
          <w:sz w:val="18"/>
          <w:szCs w:val="18"/>
          <w:color w:val="auto"/>
        </w:rPr>
      </w:pPr>
    </w:p>
    <w:p>
      <w:pPr>
        <w:ind w:left="544" w:right="60" w:hanging="544"/>
        <w:spacing w:after="0" w:line="289" w:lineRule="auto"/>
        <w:tabs>
          <w:tab w:leader="none" w:pos="544" w:val="left"/>
        </w:tabs>
        <w:numPr>
          <w:ilvl w:val="0"/>
          <w:numId w:val="3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Save in the case of decisions stipulated to be a matter for any other Finance Party or group of Finance Parties under the relevant Finance Document and unless a contrary indication appears in a Finance Document, any instructions given to the Agent or Security Agent (as applicable) by the Majority Lenders shall override any conflicting instructions given by any other Parties and will be binding on all Finance Parties.</w:t>
      </w:r>
    </w:p>
    <w:p>
      <w:pPr>
        <w:spacing w:after="0" w:line="63"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apply: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contrary indication appears in a Finance Document;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Finance Document requires the Agent or the Security Agent to act in a specified manner or to take a specified action;</w:t>
      </w:r>
    </w:p>
    <w:p>
      <w:pPr>
        <w:spacing w:after="0" w:line="130" w:lineRule="exact"/>
        <w:rPr>
          <w:rFonts w:ascii="Times New Roman" w:cs="Times New Roman" w:eastAsia="Times New Roman" w:hAnsi="Times New Roman"/>
          <w:sz w:val="18"/>
          <w:szCs w:val="18"/>
          <w:color w:val="auto"/>
        </w:rPr>
      </w:pPr>
    </w:p>
    <w:p>
      <w:pPr>
        <w:ind w:left="1184" w:right="60" w:hanging="644"/>
        <w:spacing w:after="0" w:line="261" w:lineRule="auto"/>
        <w:tabs>
          <w:tab w:leader="none" w:pos="1184"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provision which protects the Agent’s or Security Agent’s own position in its personal capacity as opposed to its role of Agent or Security Agent for the relevant Finance Parties or Secured Parties (as applicable) including, without limitation, Clause 28.6 (</w:t>
      </w:r>
      <w:r>
        <w:rPr>
          <w:rFonts w:ascii="Times New Roman" w:cs="Times New Roman" w:eastAsia="Times New Roman" w:hAnsi="Times New Roman"/>
          <w:sz w:val="18"/>
          <w:szCs w:val="18"/>
          <w:i w:val="1"/>
          <w:iCs w:val="1"/>
          <w:color w:val="auto"/>
        </w:rPr>
        <w:t>No fiduciary duties</w:t>
      </w:r>
      <w:r>
        <w:rPr>
          <w:rFonts w:ascii="Times New Roman" w:cs="Times New Roman" w:eastAsia="Times New Roman" w:hAnsi="Times New Roman"/>
          <w:sz w:val="18"/>
          <w:szCs w:val="18"/>
          <w:color w:val="auto"/>
        </w:rPr>
        <w:t>) to Clause 28.11 (</w:t>
      </w:r>
      <w:r>
        <w:rPr>
          <w:rFonts w:ascii="Times New Roman" w:cs="Times New Roman" w:eastAsia="Times New Roman" w:hAnsi="Times New Roman"/>
          <w:sz w:val="18"/>
          <w:szCs w:val="18"/>
          <w:i w:val="1"/>
          <w:iCs w:val="1"/>
          <w:color w:val="auto"/>
        </w:rPr>
        <w:t>Exclusion of liability</w:t>
      </w:r>
      <w:r>
        <w:rPr>
          <w:rFonts w:ascii="Times New Roman" w:cs="Times New Roman" w:eastAsia="Times New Roman" w:hAnsi="Times New Roman"/>
          <w:sz w:val="18"/>
          <w:szCs w:val="18"/>
          <w:color w:val="auto"/>
        </w:rPr>
        <w:t>), Clause 28.15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to Clause 28.22 (</w:t>
      </w:r>
      <w:r>
        <w:rPr>
          <w:rFonts w:ascii="Times New Roman" w:cs="Times New Roman" w:eastAsia="Times New Roman" w:hAnsi="Times New Roman"/>
          <w:sz w:val="18"/>
          <w:szCs w:val="18"/>
          <w:i w:val="1"/>
          <w:iCs w:val="1"/>
          <w:color w:val="auto"/>
        </w:rPr>
        <w:t>Custodians and nominees</w:t>
      </w:r>
      <w:r>
        <w:rPr>
          <w:rFonts w:ascii="Times New Roman" w:cs="Times New Roman" w:eastAsia="Times New Roman" w:hAnsi="Times New Roman"/>
          <w:sz w:val="18"/>
          <w:szCs w:val="18"/>
          <w:color w:val="auto"/>
        </w:rPr>
        <w:t>) and Clause 28.26 (</w:t>
      </w:r>
      <w:r>
        <w:rPr>
          <w:rFonts w:ascii="Times New Roman" w:cs="Times New Roman" w:eastAsia="Times New Roman" w:hAnsi="Times New Roman"/>
          <w:sz w:val="18"/>
          <w:szCs w:val="18"/>
          <w:i w:val="1"/>
          <w:iCs w:val="1"/>
          <w:color w:val="auto"/>
        </w:rPr>
        <w:t>Acceptance of title</w:t>
      </w:r>
      <w:r>
        <w:rPr>
          <w:rFonts w:ascii="Times New Roman" w:cs="Times New Roman" w:eastAsia="Times New Roman" w:hAnsi="Times New Roman"/>
          <w:sz w:val="18"/>
          <w:szCs w:val="18"/>
          <w:color w:val="auto"/>
        </w:rPr>
        <w:t>) to Clause 28.29 (</w:t>
      </w:r>
      <w:r>
        <w:rPr>
          <w:rFonts w:ascii="Times New Roman" w:cs="Times New Roman" w:eastAsia="Times New Roman" w:hAnsi="Times New Roman"/>
          <w:sz w:val="18"/>
          <w:szCs w:val="18"/>
          <w:i w:val="1"/>
          <w:iCs w:val="1"/>
          <w:color w:val="auto"/>
        </w:rPr>
        <w:t>Disapplication of Trustee Acts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exercise of the Security Agent’s discretion to exercise a right, power or authority under any of:</w:t>
      </w:r>
    </w:p>
    <w:p>
      <w:pPr>
        <w:spacing w:after="0" w:line="128"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29.1 (</w:t>
      </w:r>
      <w:r>
        <w:rPr>
          <w:rFonts w:ascii="Times New Roman" w:cs="Times New Roman" w:eastAsia="Times New Roman" w:hAnsi="Times New Roman"/>
          <w:sz w:val="18"/>
          <w:szCs w:val="18"/>
          <w:i w:val="1"/>
          <w:iCs w:val="1"/>
          <w:color w:val="auto"/>
        </w:rPr>
        <w:t>Order of application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29.2 (</w:t>
      </w:r>
      <w:r>
        <w:rPr>
          <w:rFonts w:ascii="Times New Roman" w:cs="Times New Roman" w:eastAsia="Times New Roman" w:hAnsi="Times New Roman"/>
          <w:sz w:val="18"/>
          <w:szCs w:val="18"/>
          <w:i w:val="1"/>
          <w:iCs w:val="1"/>
          <w:color w:val="auto"/>
        </w:rPr>
        <w:t>Prospective liabilities</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29.5 (</w:t>
      </w:r>
      <w:r>
        <w:rPr>
          <w:rFonts w:ascii="Times New Roman" w:cs="Times New Roman" w:eastAsia="Times New Roman" w:hAnsi="Times New Roman"/>
          <w:sz w:val="18"/>
          <w:szCs w:val="18"/>
          <w:i w:val="1"/>
          <w:iCs w:val="1"/>
          <w:color w:val="auto"/>
        </w:rPr>
        <w:t>Permitted Deductions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544" w:right="300" w:hanging="544"/>
        <w:spacing w:after="0" w:line="261" w:lineRule="auto"/>
        <w:tabs>
          <w:tab w:leader="none" w:pos="544"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giving effect to instructions given by the Majority Lenders would (in the Agent’s or (as applicable) the Security Agent’s opinion) have an effect equivalent to an amendment or waiver referred to in Clause 38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the Agent or (as applicable) Security Agent shall not act in accordance with those instructions unless consent to it so acting is obtained from each Party (other than the Agent or Security Agent) whose consent would have been required in respect of that amendment or waiver.</w:t>
      </w:r>
    </w:p>
    <w:p>
      <w:pPr>
        <w:spacing w:after="0" w:line="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exercising any discretion to exercise a right, power or authority under the Finance Documents where either: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received any instructions as to the exercise of that discretion; or</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24"/>
          </w:cols>
          <w:pgMar w:left="436" w:top="270" w:right="439" w:bottom="1440" w:gutter="0" w:footer="0" w:header="0"/>
        </w:sectPr>
      </w:pPr>
    </w:p>
    <w:bookmarkStart w:id="123" w:name="page124"/>
    <w:bookmarkEnd w:id="123"/>
    <w:p>
      <w:pPr>
        <w:ind w:left="1184" w:hanging="644"/>
        <w:spacing w:after="0"/>
        <w:tabs>
          <w:tab w:leader="none" w:pos="1184"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exercise of that discretion is subject to paragraph (d)(iv) above,</w:t>
      </w:r>
    </w:p>
    <w:p>
      <w:pPr>
        <w:spacing w:after="0" w:line="117" w:lineRule="exact"/>
        <w:rPr>
          <w:sz w:val="20"/>
          <w:szCs w:val="20"/>
          <w:color w:val="auto"/>
        </w:rPr>
      </w:pPr>
    </w:p>
    <w:p>
      <w:pPr>
        <w:ind w:left="544" w:right="160"/>
        <w:spacing w:after="0" w:line="282" w:lineRule="auto"/>
        <w:rPr>
          <w:sz w:val="20"/>
          <w:szCs w:val="20"/>
          <w:color w:val="auto"/>
        </w:rPr>
      </w:pPr>
      <w:r>
        <w:rPr>
          <w:rFonts w:ascii="Times New Roman" w:cs="Times New Roman" w:eastAsia="Times New Roman" w:hAnsi="Times New Roman"/>
          <w:sz w:val="18"/>
          <w:szCs w:val="18"/>
          <w:color w:val="auto"/>
        </w:rPr>
        <w:t>the Agent or Security Agent shall do so having regard to the interests of (in the case of the Agent) all the Finance Parties and (in the case of the Security Agent) all the Secured Parties.</w:t>
      </w:r>
    </w:p>
    <w:p>
      <w:pPr>
        <w:spacing w:after="0" w:line="67" w:lineRule="exact"/>
        <w:rPr>
          <w:sz w:val="20"/>
          <w:szCs w:val="20"/>
          <w:color w:val="auto"/>
        </w:rPr>
      </w:pPr>
    </w:p>
    <w:p>
      <w:pPr>
        <w:ind w:left="544" w:right="20" w:hanging="544"/>
        <w:spacing w:after="0" w:line="261" w:lineRule="auto"/>
        <w:tabs>
          <w:tab w:leader="none" w:pos="544"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or the Security Agent (as applicable) may refrain from acting in accordance with any instructions of any Finance Party or group of Finance Parties (except for the Account Bank)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83" w:lineRule="exact"/>
        <w:rPr>
          <w:rFonts w:ascii="Times New Roman" w:cs="Times New Roman" w:eastAsia="Times New Roman" w:hAnsi="Times New Roman"/>
          <w:sz w:val="18"/>
          <w:szCs w:val="18"/>
          <w:color w:val="auto"/>
        </w:rPr>
      </w:pPr>
    </w:p>
    <w:p>
      <w:pPr>
        <w:jc w:val="both"/>
        <w:ind w:left="544" w:right="280" w:hanging="544"/>
        <w:spacing w:after="0" w:line="267" w:lineRule="auto"/>
        <w:tabs>
          <w:tab w:leader="none" w:pos="544"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remainder of this Clause 28.3 (</w:t>
      </w:r>
      <w:r>
        <w:rPr>
          <w:rFonts w:ascii="Times New Roman" w:cs="Times New Roman" w:eastAsia="Times New Roman" w:hAnsi="Times New Roman"/>
          <w:sz w:val="18"/>
          <w:szCs w:val="18"/>
          <w:i w:val="1"/>
          <w:iCs w:val="1"/>
          <w:color w:val="auto"/>
        </w:rPr>
        <w:t>Instructions</w:t>
      </w:r>
      <w:r>
        <w:rPr>
          <w:rFonts w:ascii="Times New Roman" w:cs="Times New Roman" w:eastAsia="Times New Roman" w:hAnsi="Times New Roman"/>
          <w:sz w:val="18"/>
          <w:szCs w:val="18"/>
          <w:color w:val="auto"/>
        </w:rPr>
        <w:t>), in the absence of instructions, each of the Agent and the Security Agent may act (or refrain from acting) as it considers to be in the best interest of (in the case of the Agent) the Finance Parties and (in the case of the Security Agent) the Secured Parties.</w:t>
      </w:r>
    </w:p>
    <w:p>
      <w:pPr>
        <w:spacing w:after="0" w:line="80" w:lineRule="exact"/>
        <w:rPr>
          <w:rFonts w:ascii="Times New Roman" w:cs="Times New Roman" w:eastAsia="Times New Roman" w:hAnsi="Times New Roman"/>
          <w:sz w:val="18"/>
          <w:szCs w:val="18"/>
          <w:color w:val="auto"/>
        </w:rPr>
      </w:pPr>
    </w:p>
    <w:p>
      <w:pPr>
        <w:ind w:left="544" w:right="20" w:hanging="544"/>
        <w:spacing w:after="0" w:line="261" w:lineRule="auto"/>
        <w:tabs>
          <w:tab w:leader="none" w:pos="544"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the Security Agent is authorised to act on behalf of a Finance Party (without first obtaining that Finance Party’s consent) in any legal or arbitration proceedings relating to any Finance Document. This paragraph (i) shall not apply to any legal or arbitration proceeding relating to the perfection, preservation or protection of rights under the Security Documents or enforcement of the Transaction Security or Security Documents.</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28.4</w:t>
      </w:r>
      <w:r>
        <w:rPr>
          <w:sz w:val="20"/>
          <w:szCs w:val="20"/>
          <w:color w:val="auto"/>
        </w:rPr>
        <w:tab/>
      </w:r>
      <w:r>
        <w:rPr>
          <w:rFonts w:ascii="Times New Roman" w:cs="Times New Roman" w:eastAsia="Times New Roman" w:hAnsi="Times New Roman"/>
          <w:sz w:val="17"/>
          <w:szCs w:val="17"/>
          <w:b w:val="1"/>
          <w:bCs w:val="1"/>
          <w:color w:val="auto"/>
        </w:rPr>
        <w:t>Duties of the Agent and Security Agent</w:t>
      </w:r>
    </w:p>
    <w:p>
      <w:pPr>
        <w:spacing w:after="0" w:line="135" w:lineRule="exact"/>
        <w:rPr>
          <w:sz w:val="20"/>
          <w:szCs w:val="20"/>
          <w:color w:val="auto"/>
        </w:rPr>
      </w:pPr>
    </w:p>
    <w:p>
      <w:pPr>
        <w:ind w:left="544" w:right="340" w:hanging="544"/>
        <w:spacing w:after="0" w:line="282" w:lineRule="auto"/>
        <w:tabs>
          <w:tab w:leader="none" w:pos="54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Agent, the Account Bank and the Security Agent under the Finance Documents are solely mechanical and administrative in nature.</w:t>
      </w:r>
    </w:p>
    <w:p>
      <w:pPr>
        <w:spacing w:after="0" w:line="67" w:lineRule="exact"/>
        <w:rPr>
          <w:rFonts w:ascii="Times New Roman" w:cs="Times New Roman" w:eastAsia="Times New Roman" w:hAnsi="Times New Roman"/>
          <w:sz w:val="18"/>
          <w:szCs w:val="18"/>
          <w:color w:val="auto"/>
        </w:rPr>
      </w:pPr>
    </w:p>
    <w:p>
      <w:pPr>
        <w:ind w:left="544" w:right="700" w:hanging="544"/>
        <w:spacing w:after="0" w:line="282" w:lineRule="auto"/>
        <w:tabs>
          <w:tab w:leader="none" w:pos="54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each of the Agent and the Security Agent shall promptly forward to a Party the original or a copy of any document which is delivered to the Agent or Security Agent (as applicable) for that Party by any other Party.</w:t>
      </w:r>
    </w:p>
    <w:p>
      <w:pPr>
        <w:spacing w:after="0" w:line="65" w:lineRule="exact"/>
        <w:rPr>
          <w:rFonts w:ascii="Times New Roman" w:cs="Times New Roman" w:eastAsia="Times New Roman" w:hAnsi="Times New Roman"/>
          <w:sz w:val="18"/>
          <w:szCs w:val="18"/>
          <w:color w:val="auto"/>
        </w:rPr>
      </w:pPr>
    </w:p>
    <w:p>
      <w:pPr>
        <w:ind w:left="544" w:right="400" w:hanging="544"/>
        <w:spacing w:after="0" w:line="284" w:lineRule="auto"/>
        <w:tabs>
          <w:tab w:leader="none" w:pos="54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Clause 25.7 (</w:t>
      </w:r>
      <w:r>
        <w:rPr>
          <w:rFonts w:ascii="Times New Roman" w:cs="Times New Roman" w:eastAsia="Times New Roman" w:hAnsi="Times New Roman"/>
          <w:sz w:val="18"/>
          <w:szCs w:val="18"/>
          <w:i w:val="1"/>
          <w:iCs w:val="1"/>
          <w:color w:val="auto"/>
        </w:rPr>
        <w:t>Copy of Transfer Certificate Assignment Agreement</w:t>
      </w:r>
      <w:r>
        <w:rPr>
          <w:rFonts w:ascii="Times New Roman" w:cs="Times New Roman" w:eastAsia="Times New Roman" w:hAnsi="Times New Roman"/>
          <w:sz w:val="18"/>
          <w:szCs w:val="18"/>
          <w:color w:val="auto"/>
        </w:rPr>
        <w:t xml:space="preserve"> ), paragraph (b) above shall not apply to any Transfer Certificate or any Assignment Agreement.</w:t>
      </w:r>
    </w:p>
    <w:p>
      <w:pPr>
        <w:spacing w:after="0" w:line="65" w:lineRule="exact"/>
        <w:rPr>
          <w:rFonts w:ascii="Times New Roman" w:cs="Times New Roman" w:eastAsia="Times New Roman" w:hAnsi="Times New Roman"/>
          <w:sz w:val="18"/>
          <w:szCs w:val="18"/>
          <w:color w:val="auto"/>
        </w:rPr>
      </w:pPr>
    </w:p>
    <w:p>
      <w:pPr>
        <w:ind w:left="544" w:right="280" w:hanging="544"/>
        <w:spacing w:after="0" w:line="282" w:lineRule="auto"/>
        <w:tabs>
          <w:tab w:leader="none" w:pos="54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 Finance Document specifically provides otherwise, neither the Agent nor the Security Agent is obliged to review or check the adequacy, accuracy or completeness of any document it forwards to another Party.</w:t>
      </w:r>
    </w:p>
    <w:p>
      <w:pPr>
        <w:spacing w:after="0" w:line="67" w:lineRule="exact"/>
        <w:rPr>
          <w:rFonts w:ascii="Times New Roman" w:cs="Times New Roman" w:eastAsia="Times New Roman" w:hAnsi="Times New Roman"/>
          <w:sz w:val="18"/>
          <w:szCs w:val="18"/>
          <w:color w:val="auto"/>
        </w:rPr>
      </w:pPr>
    </w:p>
    <w:p>
      <w:pPr>
        <w:ind w:left="544" w:right="440" w:hanging="544"/>
        <w:spacing w:after="0" w:line="282" w:lineRule="auto"/>
        <w:tabs>
          <w:tab w:leader="none" w:pos="54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or the Security Agent receives notice from a Party referring to any Finance Document, describing a Default and stating that the circumstance described is a Default, it shall promptly notify the other Finance Parties.</w:t>
      </w:r>
    </w:p>
    <w:p>
      <w:pPr>
        <w:spacing w:after="0" w:line="67" w:lineRule="exact"/>
        <w:rPr>
          <w:rFonts w:ascii="Times New Roman" w:cs="Times New Roman" w:eastAsia="Times New Roman" w:hAnsi="Times New Roman"/>
          <w:sz w:val="18"/>
          <w:szCs w:val="18"/>
          <w:color w:val="auto"/>
        </w:rPr>
      </w:pPr>
    </w:p>
    <w:p>
      <w:pPr>
        <w:ind w:left="544" w:right="140" w:hanging="544"/>
        <w:spacing w:after="0" w:line="266" w:lineRule="auto"/>
        <w:tabs>
          <w:tab w:leader="none" w:pos="54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aware of the non-payment of any principal, interest, commitment fee or other fee payable to a Finance Party (other than the Agent, the Global Coordinators, the MLABs, the MLAs or the Security Agent) under this Agreement, it shall promptly notify the other Finance Parties.</w:t>
      </w:r>
    </w:p>
    <w:p>
      <w:pPr>
        <w:spacing w:after="0" w:line="81" w:lineRule="exact"/>
        <w:rPr>
          <w:rFonts w:ascii="Times New Roman" w:cs="Times New Roman" w:eastAsia="Times New Roman" w:hAnsi="Times New Roman"/>
          <w:sz w:val="18"/>
          <w:szCs w:val="18"/>
          <w:color w:val="auto"/>
        </w:rPr>
      </w:pPr>
    </w:p>
    <w:p>
      <w:pPr>
        <w:ind w:left="544" w:right="640" w:hanging="544"/>
        <w:spacing w:after="0" w:line="282" w:lineRule="auto"/>
        <w:tabs>
          <w:tab w:leader="none" w:pos="54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shall have only those duties, obligations and responsibilities expressly specified in the Finance Documents to which it is expressed to be a party (and no others shall be implied).</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24"/>
          </w:cols>
          <w:pgMar w:left="436" w:top="270" w:right="439" w:bottom="1440" w:gutter="0" w:footer="0" w:header="0"/>
        </w:sectPr>
      </w:pPr>
    </w:p>
    <w:bookmarkStart w:id="124" w:name="page125"/>
    <w:bookmarkEnd w:id="124"/>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28.5</w:t>
      </w:r>
      <w:r>
        <w:rPr>
          <w:sz w:val="20"/>
          <w:szCs w:val="20"/>
          <w:color w:val="auto"/>
        </w:rPr>
        <w:tab/>
      </w:r>
      <w:r>
        <w:rPr>
          <w:rFonts w:ascii="Times New Roman" w:cs="Times New Roman" w:eastAsia="Times New Roman" w:hAnsi="Times New Roman"/>
          <w:sz w:val="17"/>
          <w:szCs w:val="17"/>
          <w:b w:val="1"/>
          <w:bCs w:val="1"/>
          <w:color w:val="auto"/>
        </w:rPr>
        <w:t>Role of the Global Coordinators, the MLABs the MLAs</w:t>
      </w:r>
    </w:p>
    <w:p>
      <w:pPr>
        <w:spacing w:after="0" w:line="121" w:lineRule="exact"/>
        <w:rPr>
          <w:sz w:val="20"/>
          <w:szCs w:val="20"/>
          <w:color w:val="auto"/>
        </w:rPr>
      </w:pPr>
    </w:p>
    <w:p>
      <w:pPr>
        <w:ind w:left="544" w:right="320"/>
        <w:spacing w:after="0" w:line="282" w:lineRule="auto"/>
        <w:rPr>
          <w:sz w:val="20"/>
          <w:szCs w:val="20"/>
          <w:color w:val="auto"/>
        </w:rPr>
      </w:pPr>
      <w:r>
        <w:rPr>
          <w:rFonts w:ascii="Times New Roman" w:cs="Times New Roman" w:eastAsia="Times New Roman" w:hAnsi="Times New Roman"/>
          <w:sz w:val="18"/>
          <w:szCs w:val="18"/>
          <w:color w:val="auto"/>
        </w:rPr>
        <w:t>Except as specifically provided in the Finance Documents, none of the Global Coordinators, the MLABs or the MLAs has obligations of any kind to any other Party under or in connection with any Finance Document.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28.6</w:t>
      </w:r>
      <w:r>
        <w:rPr>
          <w:sz w:val="20"/>
          <w:szCs w:val="20"/>
          <w:color w:val="auto"/>
        </w:rPr>
        <w:tab/>
      </w:r>
      <w:r>
        <w:rPr>
          <w:rFonts w:ascii="Times New Roman" w:cs="Times New Roman" w:eastAsia="Times New Roman" w:hAnsi="Times New Roman"/>
          <w:sz w:val="17"/>
          <w:szCs w:val="17"/>
          <w:b w:val="1"/>
          <w:bCs w:val="1"/>
          <w:color w:val="auto"/>
        </w:rPr>
        <w:t>No fiduciary duties</w:t>
      </w:r>
    </w:p>
    <w:p>
      <w:pPr>
        <w:spacing w:after="0" w:line="135" w:lineRule="exact"/>
        <w:rPr>
          <w:sz w:val="20"/>
          <w:szCs w:val="20"/>
          <w:color w:val="auto"/>
        </w:rPr>
      </w:pPr>
    </w:p>
    <w:p>
      <w:pPr>
        <w:ind w:left="544" w:hanging="544"/>
        <w:spacing w:after="0"/>
        <w:tabs>
          <w:tab w:leader="none" w:pos="544"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constitutes:</w:t>
      </w:r>
    </w:p>
    <w:p>
      <w:pPr>
        <w:spacing w:after="0" w:line="130"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the Account Bank, any of the Global Coordinators, the Joint Green Loan Lead Coordinators, the Green Loan Coordinator, the MLABs or the MLAs as a trustee or fiduciary of any other person; 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as an agent, trustee or fiduciary of any Obligor.</w:t>
      </w:r>
    </w:p>
    <w:p>
      <w:pPr>
        <w:spacing w:after="0" w:line="130" w:lineRule="exact"/>
        <w:rPr>
          <w:rFonts w:ascii="Times New Roman" w:cs="Times New Roman" w:eastAsia="Times New Roman" w:hAnsi="Times New Roman"/>
          <w:sz w:val="18"/>
          <w:szCs w:val="18"/>
          <w:color w:val="auto"/>
        </w:rPr>
      </w:pPr>
    </w:p>
    <w:p>
      <w:pPr>
        <w:ind w:left="544" w:right="160" w:hanging="544"/>
        <w:spacing w:after="0" w:line="261" w:lineRule="auto"/>
        <w:tabs>
          <w:tab w:leader="none" w:pos="544"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Agent, the Account Bank, the Security Agent, the Global Coordinators, the Joint Green Loan Lead Coordinators the Green Loan Coordinator, the MLABs or the MLAs shall be bound to account to any other Finance Party or (in the case of the Security Agent) any Secured Party for any sum or the profit element of any sum received by it for its own account. For the avoidance of doubt, none of the Joint Green Loan Lead Coordinators nor the Green Loan Coordinator have ongoing scope of work under the terms of the Finance Documents.</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28.7</w:t>
      </w:r>
      <w:r>
        <w:rPr>
          <w:sz w:val="20"/>
          <w:szCs w:val="20"/>
          <w:color w:val="auto"/>
        </w:rPr>
        <w:tab/>
      </w:r>
      <w:r>
        <w:rPr>
          <w:rFonts w:ascii="Times New Roman" w:cs="Times New Roman" w:eastAsia="Times New Roman" w:hAnsi="Times New Roman"/>
          <w:sz w:val="17"/>
          <w:szCs w:val="17"/>
          <w:b w:val="1"/>
          <w:bCs w:val="1"/>
          <w:color w:val="auto"/>
        </w:rPr>
        <w:t>Business with the Group</w:t>
      </w:r>
    </w:p>
    <w:p>
      <w:pPr>
        <w:spacing w:after="0" w:line="121" w:lineRule="exact"/>
        <w:rPr>
          <w:sz w:val="20"/>
          <w:szCs w:val="20"/>
          <w:color w:val="auto"/>
        </w:rPr>
      </w:pPr>
    </w:p>
    <w:p>
      <w:pPr>
        <w:ind w:left="544" w:right="280"/>
        <w:spacing w:after="0" w:line="282" w:lineRule="auto"/>
        <w:rPr>
          <w:sz w:val="20"/>
          <w:szCs w:val="20"/>
          <w:color w:val="auto"/>
        </w:rPr>
      </w:pPr>
      <w:r>
        <w:rPr>
          <w:rFonts w:ascii="Times New Roman" w:cs="Times New Roman" w:eastAsia="Times New Roman" w:hAnsi="Times New Roman"/>
          <w:sz w:val="18"/>
          <w:szCs w:val="18"/>
          <w:color w:val="auto"/>
        </w:rPr>
        <w:t>The Agent, the Account Bank, the Security Agent, the Global Coordinators, the MLABs, the MLAs may accept deposits from, lend money to and generally engage in any kind of banking or other business with any Obligor or Affiliate of an Obligor.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28.8</w:t>
      </w:r>
      <w:r>
        <w:rPr>
          <w:sz w:val="20"/>
          <w:szCs w:val="20"/>
          <w:color w:val="auto"/>
        </w:rPr>
        <w:tab/>
      </w:r>
      <w:r>
        <w:rPr>
          <w:rFonts w:ascii="Times New Roman" w:cs="Times New Roman" w:eastAsia="Times New Roman" w:hAnsi="Times New Roman"/>
          <w:sz w:val="17"/>
          <w:szCs w:val="17"/>
          <w:b w:val="1"/>
          <w:bCs w:val="1"/>
          <w:color w:val="auto"/>
        </w:rPr>
        <w:t>Rights and discretions</w:t>
      </w:r>
    </w:p>
    <w:p>
      <w:pPr>
        <w:spacing w:after="0" w:line="135" w:lineRule="exact"/>
        <w:rPr>
          <w:sz w:val="20"/>
          <w:szCs w:val="20"/>
          <w:color w:val="auto"/>
        </w:rPr>
      </w:pPr>
    </w:p>
    <w:p>
      <w:pPr>
        <w:ind w:left="544" w:hanging="544"/>
        <w:spacing w:after="0"/>
        <w:tabs>
          <w:tab w:leader="none" w:pos="544"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the Account Bank and the Security Agent may:</w:t>
      </w:r>
    </w:p>
    <w:p>
      <w:pPr>
        <w:spacing w:after="0" w:line="130" w:lineRule="exact"/>
        <w:rPr>
          <w:rFonts w:ascii="Times New Roman" w:cs="Times New Roman" w:eastAsia="Times New Roman" w:hAnsi="Times New Roman"/>
          <w:sz w:val="18"/>
          <w:szCs w:val="18"/>
          <w:color w:val="auto"/>
        </w:rPr>
      </w:pPr>
    </w:p>
    <w:p>
      <w:pPr>
        <w:ind w:left="1184" w:right="80" w:hanging="644"/>
        <w:spacing w:after="0" w:line="266" w:lineRule="auto"/>
        <w:tabs>
          <w:tab w:leader="none" w:pos="1184"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any representation, communication, notice or document (including, without limitation, any notice given by a Lender pursuant to paragraphs (b) or (c) of Clause 26.2 (</w:t>
      </w:r>
      <w:r>
        <w:rPr>
          <w:rFonts w:ascii="Times New Roman" w:cs="Times New Roman" w:eastAsia="Times New Roman" w:hAnsi="Times New Roman"/>
          <w:sz w:val="18"/>
          <w:szCs w:val="18"/>
          <w:i w:val="1"/>
          <w:iCs w:val="1"/>
          <w:color w:val="auto"/>
        </w:rPr>
        <w:t>Disenfranchisement of Sponsor Affiliates</w:t>
      </w:r>
      <w:r>
        <w:rPr>
          <w:rFonts w:ascii="Times New Roman" w:cs="Times New Roman" w:eastAsia="Times New Roman" w:hAnsi="Times New Roman"/>
          <w:sz w:val="18"/>
          <w:szCs w:val="18"/>
          <w:color w:val="auto"/>
        </w:rPr>
        <w:t>)) believed by it to be genuine, correct and appropriately authorised;</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w:t>
      </w:r>
    </w:p>
    <w:p>
      <w:pPr>
        <w:spacing w:after="0" w:line="130" w:lineRule="exact"/>
        <w:rPr>
          <w:rFonts w:ascii="Times New Roman" w:cs="Times New Roman" w:eastAsia="Times New Roman" w:hAnsi="Times New Roman"/>
          <w:sz w:val="18"/>
          <w:szCs w:val="18"/>
          <w:color w:val="auto"/>
        </w:rPr>
      </w:pPr>
    </w:p>
    <w:p>
      <w:pPr>
        <w:ind w:left="1744" w:right="80" w:hanging="543"/>
        <w:spacing w:after="0" w:line="282" w:lineRule="auto"/>
        <w:tabs>
          <w:tab w:leader="none" w:pos="1744" w:val="left"/>
        </w:tabs>
        <w:numPr>
          <w:ilvl w:val="2"/>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instructions received by it from the Majority Lenders, any Finance Parties or any group of Finance Parties are duly given in accordance with the terms of the Finance Documents; and</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it has received notice of revocation, that those instructions have not been revoked;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 certificate from any person:</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matter of fact or circumstance which might reasonably be expected to be within the knowledge of that person;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that such person approves of any particular dealing, transaction, step, action or thing,</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24"/>
          </w:cols>
          <w:pgMar w:left="436" w:top="266" w:right="439" w:bottom="1440" w:gutter="0" w:footer="0" w:header="0"/>
        </w:sectPr>
      </w:pPr>
    </w:p>
    <w:bookmarkStart w:id="125" w:name="page126"/>
    <w:bookmarkEnd w:id="125"/>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sufficient evidence that that is the case and, in the case of paragraph (A) above, may assume the truth and accuracy of that certificate.</w:t>
      </w:r>
    </w:p>
    <w:p>
      <w:pPr>
        <w:spacing w:after="0" w:line="131" w:lineRule="exact"/>
        <w:rPr>
          <w:sz w:val="20"/>
          <w:szCs w:val="20"/>
          <w:color w:val="auto"/>
        </w:rPr>
      </w:pPr>
    </w:p>
    <w:p>
      <w:pPr>
        <w:ind w:left="544" w:right="520" w:hanging="544"/>
        <w:spacing w:after="0" w:line="282" w:lineRule="auto"/>
        <w:tabs>
          <w:tab w:leader="none" w:pos="544"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may assume (unless it has received notice to the contrary in its capacity as agent for the Finance Parties or security agent for the Secured Parties) that:</w:t>
      </w:r>
    </w:p>
    <w:p>
      <w:pPr>
        <w:spacing w:after="0" w:line="67" w:lineRule="exact"/>
        <w:rPr>
          <w:rFonts w:ascii="Times New Roman" w:cs="Times New Roman" w:eastAsia="Times New Roman" w:hAnsi="Times New Roman"/>
          <w:sz w:val="18"/>
          <w:szCs w:val="18"/>
          <w:color w:val="auto"/>
        </w:rPr>
      </w:pPr>
    </w:p>
    <w:p>
      <w:pPr>
        <w:ind w:left="1184" w:right="1200" w:hanging="644"/>
        <w:spacing w:after="0" w:line="282" w:lineRule="auto"/>
        <w:tabs>
          <w:tab w:leader="none" w:pos="1184"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(unless, in the case of the Agent, it has actual knowledge of a Default arising under Clause 24.1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power, authority or discretion vested in any Party or any group of Finance Parties has not been exercised;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Notifiable Debt Purchase Transaction:</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entered into;</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terminated;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ceased to be with a Sponsor Affiliate; and</w:t>
      </w:r>
    </w:p>
    <w:p>
      <w:pPr>
        <w:spacing w:after="0" w:line="130" w:lineRule="exact"/>
        <w:rPr>
          <w:rFonts w:ascii="Times New Roman" w:cs="Times New Roman" w:eastAsia="Times New Roman" w:hAnsi="Times New Roman"/>
          <w:sz w:val="18"/>
          <w:szCs w:val="18"/>
          <w:color w:val="auto"/>
        </w:rPr>
      </w:pPr>
    </w:p>
    <w:p>
      <w:pPr>
        <w:ind w:left="1184" w:right="340" w:hanging="644"/>
        <w:spacing w:after="0" w:line="282" w:lineRule="auto"/>
        <w:tabs>
          <w:tab w:leader="none" w:pos="1184"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request made by the Company (other than a Utilisation Request or Selection Notice) is made on behalf of and with the consent and knowledge of all the Obligors.</w:t>
      </w:r>
    </w:p>
    <w:p>
      <w:pPr>
        <w:spacing w:after="0" w:line="67" w:lineRule="exact"/>
        <w:rPr>
          <w:rFonts w:ascii="Times New Roman" w:cs="Times New Roman" w:eastAsia="Times New Roman" w:hAnsi="Times New Roman"/>
          <w:sz w:val="18"/>
          <w:szCs w:val="18"/>
          <w:color w:val="auto"/>
        </w:rPr>
      </w:pPr>
    </w:p>
    <w:p>
      <w:pPr>
        <w:ind w:left="544" w:right="360" w:hanging="544"/>
        <w:spacing w:after="0" w:line="282" w:lineRule="auto"/>
        <w:tabs>
          <w:tab w:leader="none" w:pos="544"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the Account Bank and the Security Agent may engage and pay for the advice or services of any lawyers, accountants, tax advisers, surveyors or other professional advisers or experts.</w:t>
      </w:r>
    </w:p>
    <w:p>
      <w:pPr>
        <w:spacing w:after="0" w:line="67" w:lineRule="exact"/>
        <w:rPr>
          <w:rFonts w:ascii="Times New Roman" w:cs="Times New Roman" w:eastAsia="Times New Roman" w:hAnsi="Times New Roman"/>
          <w:sz w:val="18"/>
          <w:szCs w:val="18"/>
          <w:color w:val="auto"/>
        </w:rPr>
      </w:pPr>
    </w:p>
    <w:p>
      <w:pPr>
        <w:ind w:left="544" w:right="220" w:hanging="544"/>
        <w:spacing w:after="0" w:line="289" w:lineRule="auto"/>
        <w:tabs>
          <w:tab w:leader="none" w:pos="544"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the generality of paragraph (c) above or paragraph (e) below, each of the Agent and the Security Agent may at any time engage and pay for the services of any lawyers to act as independent counsel to the Agent or Security Agent (as applicable), (and so separate from any lawyers instructed by the Lenders) if the Agent or Security Agent (as applicable) in its reasonable opinion deems this to be desirable.</w:t>
      </w:r>
    </w:p>
    <w:p>
      <w:pPr>
        <w:spacing w:after="0" w:line="63" w:lineRule="exact"/>
        <w:rPr>
          <w:rFonts w:ascii="Times New Roman" w:cs="Times New Roman" w:eastAsia="Times New Roman" w:hAnsi="Times New Roman"/>
          <w:sz w:val="17"/>
          <w:szCs w:val="17"/>
          <w:color w:val="auto"/>
        </w:rPr>
      </w:pPr>
    </w:p>
    <w:p>
      <w:pPr>
        <w:ind w:left="544" w:right="140" w:hanging="544"/>
        <w:spacing w:after="0" w:line="289" w:lineRule="auto"/>
        <w:tabs>
          <w:tab w:leader="none" w:pos="544"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Agent, the Account Bank and the Security Agent may rely on the advice or services of any lawyers, accountants, tax advisers, surveyors or other professional advisers or experts (whether obtained by the Agent or by the Security Agent or by any other Party) and shall not be liable for any damages, costs or losses to any person, any diminution in value or any liability whatsoever arising as a result of its so relying.</w:t>
      </w:r>
    </w:p>
    <w:p>
      <w:pPr>
        <w:spacing w:after="0" w:line="63" w:lineRule="exact"/>
        <w:rPr>
          <w:rFonts w:ascii="Times New Roman" w:cs="Times New Roman" w:eastAsia="Times New Roman" w:hAnsi="Times New Roman"/>
          <w:sz w:val="17"/>
          <w:szCs w:val="17"/>
          <w:color w:val="auto"/>
        </w:rPr>
      </w:pPr>
    </w:p>
    <w:p>
      <w:pPr>
        <w:ind w:left="544" w:hanging="544"/>
        <w:spacing w:after="0" w:line="282" w:lineRule="auto"/>
        <w:tabs>
          <w:tab w:leader="none" w:pos="544"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may act in relation to the Finance Documents and the Charged Property through its officers, employees and agents and shall not:</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liable for any error of judgment made by any such person; or</w:t>
      </w:r>
    </w:p>
    <w:p>
      <w:pPr>
        <w:spacing w:after="0" w:line="130"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bound to supervise, or be in any way responsible for any loss incurred by reason of misconduct, omission or default on the part of, any such person,</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unless such error or such loss was directly caused by the Agent’s or the Security Agent’s (as applicable) gross negligence or wilful misconduct.</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24"/>
          </w:cols>
          <w:pgMar w:left="436" w:top="270" w:right="439" w:bottom="1440" w:gutter="0" w:footer="0" w:header="0"/>
        </w:sectPr>
      </w:pPr>
    </w:p>
    <w:bookmarkStart w:id="126" w:name="page127"/>
    <w:bookmarkEnd w:id="126"/>
    <w:p>
      <w:pPr>
        <w:ind w:left="544" w:right="660" w:hanging="544"/>
        <w:spacing w:after="0" w:line="282" w:lineRule="auto"/>
        <w:tabs>
          <w:tab w:leader="none" w:pos="54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a Finance Document expressly provides otherwise, each of the Agent and the Security Agent may disclose to any other Party any information it reasonably believes it has received as agent or security agent under the Finance Documents.</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 (g) above, the Agent: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disclose;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written request of the Company or the Majority Lenders shall, as soon as reasonably practicable, disclose,</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identity of a Defaulting Lender to the Company and to the other Finance Parties.</w:t>
      </w:r>
    </w:p>
    <w:p>
      <w:pPr>
        <w:spacing w:after="0" w:line="131" w:lineRule="exact"/>
        <w:rPr>
          <w:sz w:val="20"/>
          <w:szCs w:val="20"/>
          <w:color w:val="auto"/>
        </w:rPr>
      </w:pPr>
    </w:p>
    <w:p>
      <w:pPr>
        <w:ind w:left="544" w:right="100" w:hanging="544"/>
        <w:spacing w:after="0" w:line="266" w:lineRule="auto"/>
        <w:tabs>
          <w:tab w:leader="none" w:pos="54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to the contrary, none of the Agent, the Security Agent, the Global Coordinators, the MLABs or the MLAs is obliged to do or omit to do anything if it would, or might in its reasonable opinion, constitute a breach of any law or regulation or a breach of a fiduciary duty or duty of confidentiality.</w:t>
      </w:r>
    </w:p>
    <w:p>
      <w:pPr>
        <w:spacing w:after="0" w:line="81" w:lineRule="exact"/>
        <w:rPr>
          <w:rFonts w:ascii="Times New Roman" w:cs="Times New Roman" w:eastAsia="Times New Roman" w:hAnsi="Times New Roman"/>
          <w:sz w:val="18"/>
          <w:szCs w:val="18"/>
          <w:color w:val="auto"/>
        </w:rPr>
      </w:pPr>
    </w:p>
    <w:p>
      <w:pPr>
        <w:ind w:left="544" w:right="20" w:hanging="544"/>
        <w:spacing w:after="0" w:line="261" w:lineRule="auto"/>
        <w:tabs>
          <w:tab w:leader="none" w:pos="54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any Finance Document to the contrary, neither the Agent nor the Security Agent is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28.9</w:t>
      </w:r>
      <w:r>
        <w:rPr>
          <w:sz w:val="20"/>
          <w:szCs w:val="20"/>
          <w:color w:val="auto"/>
        </w:rPr>
        <w:tab/>
      </w:r>
      <w:r>
        <w:rPr>
          <w:rFonts w:ascii="Times New Roman" w:cs="Times New Roman" w:eastAsia="Times New Roman" w:hAnsi="Times New Roman"/>
          <w:sz w:val="17"/>
          <w:szCs w:val="17"/>
          <w:b w:val="1"/>
          <w:bCs w:val="1"/>
          <w:color w:val="auto"/>
        </w:rPr>
        <w:t>Responsibility for documentation</w:t>
      </w:r>
    </w:p>
    <w:p>
      <w:pPr>
        <w:spacing w:after="0" w:line="135" w:lineRule="exact"/>
        <w:rPr>
          <w:sz w:val="20"/>
          <w:szCs w:val="20"/>
          <w:color w:val="auto"/>
        </w:rPr>
      </w:pPr>
    </w:p>
    <w:p>
      <w:pPr>
        <w:ind w:left="1184" w:right="540" w:hanging="644"/>
        <w:spacing w:after="0" w:line="282" w:lineRule="auto"/>
        <w:tabs>
          <w:tab w:leader="none" w:pos="1184"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Agent, the Security Agent, any of the Global Coordinators, the Joint Green Loan Lead Coordinators, the Green Loan Coordinator, any MLABs, any MLAs or any Lenders is responsible or liable for:</w:t>
      </w:r>
    </w:p>
    <w:p>
      <w:pPr>
        <w:spacing w:after="0" w:line="67" w:lineRule="exact"/>
        <w:rPr>
          <w:rFonts w:ascii="Times New Roman" w:cs="Times New Roman" w:eastAsia="Times New Roman" w:hAnsi="Times New Roman"/>
          <w:sz w:val="18"/>
          <w:szCs w:val="18"/>
          <w:color w:val="auto"/>
        </w:rPr>
      </w:pPr>
    </w:p>
    <w:p>
      <w:pPr>
        <w:ind w:left="1744" w:right="80" w:hanging="543"/>
        <w:spacing w:after="0" w:line="258" w:lineRule="auto"/>
        <w:tabs>
          <w:tab w:leader="none" w:pos="1744"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accuracy or completeness of any information (whether oral or written) supplied by the Agent, the Security Agent, the Global Coordinators, the Joint Green Loan Lead Coordinators, the Green Loan Coordinator, the MLABs, the MLAs, an Obligor or any other person in or in connection with any Finance Document or the transactions contemplated in the Finance Documents or any other agreement, arrangement or document entered into, made or executed in anticipation of, under or in connection with any Finance Document; or</w:t>
      </w:r>
    </w:p>
    <w:p>
      <w:pPr>
        <w:spacing w:after="0" w:line="88" w:lineRule="exact"/>
        <w:rPr>
          <w:rFonts w:ascii="Times New Roman" w:cs="Times New Roman" w:eastAsia="Times New Roman" w:hAnsi="Times New Roman"/>
          <w:sz w:val="18"/>
          <w:szCs w:val="18"/>
          <w:color w:val="auto"/>
        </w:rPr>
      </w:pPr>
    </w:p>
    <w:p>
      <w:pPr>
        <w:ind w:left="1744" w:right="60" w:hanging="543"/>
        <w:spacing w:after="0" w:line="266" w:lineRule="auto"/>
        <w:tabs>
          <w:tab w:leader="none" w:pos="1744"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Finance Document or the Charged Property or any other agreement, arrangement or document entered into, made or executed in anticipation of, under or in connection with any Finance Document or the Charged Property; or</w:t>
      </w:r>
    </w:p>
    <w:p>
      <w:pPr>
        <w:spacing w:after="0" w:line="81" w:lineRule="exact"/>
        <w:rPr>
          <w:rFonts w:ascii="Times New Roman" w:cs="Times New Roman" w:eastAsia="Times New Roman" w:hAnsi="Times New Roman"/>
          <w:sz w:val="18"/>
          <w:szCs w:val="18"/>
          <w:color w:val="auto"/>
        </w:rPr>
      </w:pPr>
    </w:p>
    <w:p>
      <w:pPr>
        <w:ind w:left="1744" w:right="120" w:hanging="543"/>
        <w:spacing w:after="0" w:line="282" w:lineRule="auto"/>
        <w:tabs>
          <w:tab w:leader="none" w:pos="1744"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as to whether any information provided or to be provided to any Secured Party is non-public information the use of which may be regulated or prohibited by applicable law or regulation relating to insider dealing or otherwise.</w:t>
      </w:r>
    </w:p>
    <w:p>
      <w:pPr>
        <w:spacing w:after="0" w:line="67" w:lineRule="exact"/>
        <w:rPr>
          <w:rFonts w:ascii="Times New Roman" w:cs="Times New Roman" w:eastAsia="Times New Roman" w:hAnsi="Times New Roman"/>
          <w:sz w:val="18"/>
          <w:szCs w:val="18"/>
          <w:color w:val="auto"/>
        </w:rPr>
      </w:pPr>
    </w:p>
    <w:p>
      <w:pPr>
        <w:jc w:val="both"/>
        <w:ind w:left="1184" w:right="280" w:hanging="644"/>
        <w:spacing w:after="0" w:line="281" w:lineRule="auto"/>
        <w:tabs>
          <w:tab w:leader="none" w:pos="1184" w:val="left"/>
        </w:tabs>
        <w:numPr>
          <w:ilvl w:val="0"/>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Agent, the Joint Green Loan Lead Coordinators or the Green Loan Coordinator is responsible or liable for the adequacy, accuracy or completeness of any Green Loan Information (whether oral or written) supplied by the Company, any Group Member or any other person in or in connection with any report and/or any Green Loan Provisions contemplated in this Agreement or any other agreement, arrangement or document entered into, made or executed in anticipation of, under or in connection with any Facility.</w:t>
      </w:r>
    </w:p>
    <w:p>
      <w:pPr>
        <w:spacing w:after="0" w:line="97"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24"/>
          </w:cols>
          <w:pgMar w:left="436" w:top="270" w:right="439" w:bottom="1440" w:gutter="0" w:footer="0" w:header="0"/>
        </w:sectPr>
      </w:pPr>
    </w:p>
    <w:bookmarkStart w:id="127" w:name="page128"/>
    <w:bookmarkEnd w:id="12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28.10  No duty to monitor</w:t>
      </w:r>
    </w:p>
    <w:p>
      <w:pPr>
        <w:spacing w:after="0" w:line="121" w:lineRule="exact"/>
        <w:rPr>
          <w:sz w:val="20"/>
          <w:szCs w:val="20"/>
          <w:color w:val="auto"/>
        </w:rPr>
      </w:pPr>
    </w:p>
    <w:p>
      <w:pPr>
        <w:ind w:left="544" w:right="400"/>
        <w:spacing w:after="0" w:line="282" w:lineRule="auto"/>
        <w:rPr>
          <w:sz w:val="20"/>
          <w:szCs w:val="20"/>
          <w:color w:val="auto"/>
        </w:rPr>
      </w:pPr>
      <w:r>
        <w:rPr>
          <w:rFonts w:ascii="Times New Roman" w:cs="Times New Roman" w:eastAsia="Times New Roman" w:hAnsi="Times New Roman"/>
          <w:sz w:val="18"/>
          <w:szCs w:val="18"/>
          <w:color w:val="auto"/>
        </w:rPr>
        <w:t>None of the Agent, the Account Bank, the Security Agent, any Joint Green Loan Lead Coordinators or the Green Loan Coordinator shall be bound to enquire:</w:t>
      </w:r>
    </w:p>
    <w:p>
      <w:pPr>
        <w:spacing w:after="0" w:line="67" w:lineRule="exact"/>
        <w:rPr>
          <w:sz w:val="20"/>
          <w:szCs w:val="20"/>
          <w:color w:val="auto"/>
        </w:rPr>
      </w:pPr>
    </w:p>
    <w:p>
      <w:pPr>
        <w:ind w:left="1184" w:hanging="644"/>
        <w:spacing w:after="0"/>
        <w:tabs>
          <w:tab w:leader="none" w:pos="1184"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any Default has occurred;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performance, default or any breach by any Party of its obligations under any Finance Document;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other event specified in any Finance Document has occurred.</w:t>
      </w:r>
    </w:p>
    <w:p>
      <w:pPr>
        <w:spacing w:after="0" w:line="128" w:lineRule="exact"/>
        <w:rPr>
          <w:rFonts w:ascii="Times New Roman" w:cs="Times New Roman" w:eastAsia="Times New Roman" w:hAnsi="Times New Roman"/>
          <w:sz w:val="18"/>
          <w:szCs w:val="18"/>
          <w:color w:val="auto"/>
        </w:rPr>
      </w:pPr>
    </w:p>
    <w:p>
      <w:pPr>
        <w:ind w:left="1184" w:right="160" w:hanging="644"/>
        <w:spacing w:after="0" w:line="284" w:lineRule="auto"/>
        <w:tabs>
          <w:tab w:leader="none" w:pos="1184"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any Declassification Event, a breach by an Obligor of clause 43 (</w:t>
      </w:r>
      <w:r>
        <w:rPr>
          <w:rFonts w:ascii="Times New Roman" w:cs="Times New Roman" w:eastAsia="Times New Roman" w:hAnsi="Times New Roman"/>
          <w:sz w:val="18"/>
          <w:szCs w:val="18"/>
          <w:i w:val="1"/>
          <w:iCs w:val="1"/>
          <w:color w:val="auto"/>
        </w:rPr>
        <w:t>Green Loan</w:t>
      </w:r>
      <w:r>
        <w:rPr>
          <w:rFonts w:ascii="Times New Roman" w:cs="Times New Roman" w:eastAsia="Times New Roman" w:hAnsi="Times New Roman"/>
          <w:sz w:val="18"/>
          <w:szCs w:val="18"/>
          <w:color w:val="auto"/>
        </w:rPr>
        <w:t>) or an inaccuracy in a Green Loan Impact Report has occurred; or</w:t>
      </w:r>
    </w:p>
    <w:p>
      <w:pPr>
        <w:spacing w:after="0" w:line="6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performance, default or any breach by any Obligor of its obligations under any Green Loan Provision.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28.11</w:t>
      </w:r>
      <w:r>
        <w:rPr>
          <w:sz w:val="20"/>
          <w:szCs w:val="20"/>
          <w:color w:val="auto"/>
        </w:rPr>
        <w:tab/>
      </w:r>
      <w:r>
        <w:rPr>
          <w:rFonts w:ascii="Times New Roman" w:cs="Times New Roman" w:eastAsia="Times New Roman" w:hAnsi="Times New Roman"/>
          <w:sz w:val="17"/>
          <w:szCs w:val="17"/>
          <w:b w:val="1"/>
          <w:bCs w:val="1"/>
          <w:color w:val="auto"/>
        </w:rPr>
        <w:t>Exclusion of liability</w:t>
      </w:r>
    </w:p>
    <w:p>
      <w:pPr>
        <w:spacing w:after="0" w:line="135" w:lineRule="exact"/>
        <w:rPr>
          <w:sz w:val="20"/>
          <w:szCs w:val="20"/>
          <w:color w:val="auto"/>
        </w:rPr>
      </w:pPr>
    </w:p>
    <w:p>
      <w:pPr>
        <w:jc w:val="both"/>
        <w:ind w:left="544" w:right="140" w:hanging="544"/>
        <w:spacing w:after="0" w:line="289" w:lineRule="auto"/>
        <w:tabs>
          <w:tab w:leader="none" w:pos="544" w:val="left"/>
        </w:tabs>
        <w:numPr>
          <w:ilvl w:val="0"/>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paragraph (b) below (and without prejudice to any other provision of any Finance Document excluding or limiting the liability of the Agent, the Account Bank the Security Agent or any Receiver or Delegate), none of the Agent, the Account Bank, the Security Agent nor any Receiver or Delegate will be liable (including, without limitation, for negligence or any other category of liability whatsoever) for:</w:t>
      </w:r>
    </w:p>
    <w:p>
      <w:pPr>
        <w:spacing w:after="0" w:line="63" w:lineRule="exact"/>
        <w:rPr>
          <w:rFonts w:ascii="Times New Roman" w:cs="Times New Roman" w:eastAsia="Times New Roman" w:hAnsi="Times New Roman"/>
          <w:sz w:val="17"/>
          <w:szCs w:val="17"/>
          <w:color w:val="auto"/>
        </w:rPr>
      </w:pPr>
    </w:p>
    <w:p>
      <w:pPr>
        <w:jc w:val="both"/>
        <w:ind w:left="1184" w:right="500" w:hanging="644"/>
        <w:spacing w:after="0" w:line="266" w:lineRule="auto"/>
        <w:tabs>
          <w:tab w:leader="none" w:pos="1184"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damages, costs or losses to any person, any diminution in value, or any liability whatsoever arising as a result of taking or not taking any action under or in connection with any Finance Document or the Charged Property, unless directly caused by its gross negligence or wilful misconduct;</w:t>
      </w:r>
    </w:p>
    <w:p>
      <w:pPr>
        <w:spacing w:after="0" w:line="81" w:lineRule="exact"/>
        <w:rPr>
          <w:rFonts w:ascii="Times New Roman" w:cs="Times New Roman" w:eastAsia="Times New Roman" w:hAnsi="Times New Roman"/>
          <w:sz w:val="18"/>
          <w:szCs w:val="18"/>
          <w:color w:val="auto"/>
        </w:rPr>
      </w:pPr>
    </w:p>
    <w:p>
      <w:pPr>
        <w:ind w:left="1184" w:right="160" w:hanging="644"/>
        <w:spacing w:after="0" w:line="266" w:lineRule="auto"/>
        <w:tabs>
          <w:tab w:leader="none" w:pos="1184"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or not exercising, any right, power, authority or discretion given to it by, or in connection with, any Finance Document, the Charged Property or any other agreement, arrangement or document entered into, made or executed in anticipation of, under or in connection with, any Finance Document or the Charged Property;</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which arises on the enforcement or realisation of the Charged Property; or</w:t>
      </w:r>
    </w:p>
    <w:p>
      <w:pPr>
        <w:spacing w:after="0" w:line="130" w:lineRule="exact"/>
        <w:rPr>
          <w:rFonts w:ascii="Times New Roman" w:cs="Times New Roman" w:eastAsia="Times New Roman" w:hAnsi="Times New Roman"/>
          <w:sz w:val="18"/>
          <w:szCs w:val="18"/>
          <w:color w:val="auto"/>
        </w:rPr>
      </w:pPr>
    </w:p>
    <w:p>
      <w:pPr>
        <w:ind w:left="1184" w:right="180" w:hanging="644"/>
        <w:spacing w:after="0" w:line="282" w:lineRule="auto"/>
        <w:tabs>
          <w:tab w:leader="none" w:pos="1184"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paragraphs (i) to (iii) above, any damages, costs or losses to any person, any diminution in value or any liability whatsoever arising as a result of:</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event or circumstance not reasonably within its control;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risks of investment in, or the holding of assets in, any jurisdiction,</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24"/>
          </w:cols>
          <w:pgMar w:left="436" w:top="266" w:right="439" w:bottom="1440" w:gutter="0" w:footer="0" w:header="0"/>
        </w:sectPr>
      </w:pPr>
    </w:p>
    <w:bookmarkStart w:id="128" w:name="page129"/>
    <w:bookmarkEnd w:id="128"/>
    <w:p>
      <w:pPr>
        <w:ind w:left="544"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(in each case and without limitation) such damages, costs, losses, diminution in value or liability (in the case of the Account Bank, including, without limitation, for negligence or any other category of liability whatsoever)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93" w:lineRule="exact"/>
        <w:rPr>
          <w:sz w:val="20"/>
          <w:szCs w:val="20"/>
          <w:color w:val="auto"/>
        </w:rPr>
      </w:pPr>
    </w:p>
    <w:p>
      <w:pPr>
        <w:ind w:left="544" w:right="20" w:hanging="544"/>
        <w:spacing w:after="0" w:line="256" w:lineRule="auto"/>
        <w:tabs>
          <w:tab w:leader="none" w:pos="544"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(other than the Agent, the Account Bank, the Security Agent, that Receiver or that Delegate (as applicable)) may take any proceedings against any officer, employee or agent of the Agent, the Account Bank, the Security Agent, a Receiver or a Delegate, in respect of any claim it might have against the Agent, the Account Bank, the Security Agent, a Receiver or a Delegate or in respect of any act or omission of any kind by that officer, employee or agent in relation to any Finance Document or any Charged Property and any officer, employee or agent of the Agent, the Account Bank, the Security Agent, a Receiver or a Delegate may rely on this paragraph (b) subject to Clause 1.4 (</w:t>
      </w:r>
      <w:r>
        <w:rPr>
          <w:rFonts w:ascii="Times New Roman" w:cs="Times New Roman" w:eastAsia="Times New Roman" w:hAnsi="Times New Roman"/>
          <w:sz w:val="18"/>
          <w:szCs w:val="18"/>
          <w:i w:val="1"/>
          <w:iCs w:val="1"/>
          <w:color w:val="auto"/>
        </w:rPr>
        <w:t>Third party rights</w:t>
      </w:r>
      <w:r>
        <w:rPr>
          <w:rFonts w:ascii="Times New Roman" w:cs="Times New Roman" w:eastAsia="Times New Roman" w:hAnsi="Times New Roman"/>
          <w:sz w:val="18"/>
          <w:szCs w:val="18"/>
          <w:color w:val="auto"/>
        </w:rPr>
        <w:t>) and the provisions of the Third Parties Act.</w:t>
      </w:r>
    </w:p>
    <w:p>
      <w:pPr>
        <w:spacing w:after="0" w:line="92" w:lineRule="exact"/>
        <w:rPr>
          <w:rFonts w:ascii="Times New Roman" w:cs="Times New Roman" w:eastAsia="Times New Roman" w:hAnsi="Times New Roman"/>
          <w:sz w:val="18"/>
          <w:szCs w:val="18"/>
          <w:color w:val="auto"/>
        </w:rPr>
      </w:pPr>
    </w:p>
    <w:p>
      <w:pPr>
        <w:ind w:left="544" w:right="140" w:hanging="544"/>
        <w:spacing w:after="0" w:line="258" w:lineRule="auto"/>
        <w:tabs>
          <w:tab w:leader="none" w:pos="544"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Agent, the Account Bank or the Security Agent will be liable for any delay (or any related consequences) in crediting an account with an amount required under the Finance Documents to be paid by the Agent, the Account Bank or the Security Agent (as applicable) if the Agent, the Account Bank or Security Agent (as applicable) has taken all necessary steps as soon as reasonably practicable to comply with the regulations or operating procedures of any recognised clearing or settlement system used by the Agent, the Account Bank or the Security Agent (as applicable) for that purpose.</w:t>
      </w:r>
    </w:p>
    <w:p>
      <w:pPr>
        <w:spacing w:after="0" w:line="88" w:lineRule="exact"/>
        <w:rPr>
          <w:rFonts w:ascii="Times New Roman" w:cs="Times New Roman" w:eastAsia="Times New Roman" w:hAnsi="Times New Roman"/>
          <w:sz w:val="18"/>
          <w:szCs w:val="18"/>
          <w:color w:val="auto"/>
        </w:rPr>
      </w:pPr>
    </w:p>
    <w:p>
      <w:pPr>
        <w:ind w:left="544" w:right="360" w:hanging="544"/>
        <w:spacing w:after="0" w:line="282" w:lineRule="auto"/>
        <w:tabs>
          <w:tab w:leader="none" w:pos="544"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oblige the Agent, the Account Bank, the Security Agent, any of the Global Coordinators, the MLABs or the MLAs to carry out:</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“know your customer” or other checks in relation to any person; or</w:t>
      </w:r>
    </w:p>
    <w:p>
      <w:pPr>
        <w:spacing w:after="0" w:line="130" w:lineRule="exact"/>
        <w:rPr>
          <w:rFonts w:ascii="Times New Roman" w:cs="Times New Roman" w:eastAsia="Times New Roman" w:hAnsi="Times New Roman"/>
          <w:sz w:val="18"/>
          <w:szCs w:val="18"/>
          <w:color w:val="auto"/>
        </w:rPr>
      </w:pPr>
    </w:p>
    <w:p>
      <w:pPr>
        <w:ind w:left="1184" w:right="220" w:hanging="644"/>
        <w:spacing w:after="0" w:line="282" w:lineRule="auto"/>
        <w:tabs>
          <w:tab w:leader="none" w:pos="1184"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check on the extent to which any transaction contemplated by this Agreement might be unlawful for any Finance Party or for any Affiliate of any Finance Party,</w:t>
      </w:r>
    </w:p>
    <w:p>
      <w:pPr>
        <w:spacing w:after="0" w:line="54" w:lineRule="exact"/>
        <w:rPr>
          <w:sz w:val="20"/>
          <w:szCs w:val="20"/>
          <w:color w:val="auto"/>
        </w:rPr>
      </w:pPr>
    </w:p>
    <w:p>
      <w:pPr>
        <w:ind w:left="544" w:right="100"/>
        <w:spacing w:after="0" w:line="261" w:lineRule="auto"/>
        <w:rPr>
          <w:sz w:val="20"/>
          <w:szCs w:val="20"/>
          <w:color w:val="auto"/>
        </w:rPr>
      </w:pPr>
      <w:r>
        <w:rPr>
          <w:rFonts w:ascii="Times New Roman" w:cs="Times New Roman" w:eastAsia="Times New Roman" w:hAnsi="Times New Roman"/>
          <w:sz w:val="18"/>
          <w:szCs w:val="18"/>
          <w:color w:val="auto"/>
        </w:rPr>
        <w:t>on behalf of any Finance Party and each Finance Party confirms to the Agent, the Account Bank, the Security Agent and the Global Coordinators, the MLABs or the MLAs that it is solely responsible for any such checks it is required to carry out and that it may not rely on any statement in relation to such checks made by the Agent, the Account Bank, the Security Agent, any of the Global Coordinators, the MLABs or the MLAs.</w:t>
      </w:r>
    </w:p>
    <w:p>
      <w:pPr>
        <w:spacing w:after="0" w:line="85" w:lineRule="exact"/>
        <w:rPr>
          <w:sz w:val="20"/>
          <w:szCs w:val="20"/>
          <w:color w:val="auto"/>
        </w:rPr>
      </w:pPr>
    </w:p>
    <w:p>
      <w:pPr>
        <w:ind w:left="544" w:right="20" w:hanging="544"/>
        <w:spacing w:after="0" w:line="254" w:lineRule="auto"/>
        <w:tabs>
          <w:tab w:leader="none" w:pos="54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provision of any Finance Document excluding or limiting the liability of the Agent, the Account Bank, the Security Agent, any Receiver or Delegate, any liability of the Agent, the Security Agent, any Receiver or Delegate arising under or in connection with any Finance Document or the Charged Property shall be limited to the amount of actual loss which has been finally judicially determined to have been suffered (as determined by reference to the date of default of the Agent, the Account Bank, the Security Agent, Receiver or Delegate or, if later, the date on which the loss arises as a result of such default) but without reference to any special conditions or circumstances known to the Agent, the Account Bank, the Security Agent, Receiver or Delegate at any time which increase the amount of that loss. In no event shall the Agent, the Account Bank, the Security Agent, Receiver or Delegate be liable for any loss of profits, goodwill, reputation, business opportunity or anticipated saving, or for special, punitive, indirect or consequential damages, whether or not the Agent, the Account Bank, the Security Agent, Receiver or Delegate has been advised of the possibility of such loss or damages.</w:t>
      </w:r>
    </w:p>
    <w:p>
      <w:pPr>
        <w:spacing w:after="0" w:line="121"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24"/>
          </w:cols>
          <w:pgMar w:left="436" w:top="270" w:right="439" w:bottom="1440" w:gutter="0" w:footer="0" w:header="0"/>
        </w:sectPr>
      </w:pPr>
    </w:p>
    <w:bookmarkStart w:id="129" w:name="page130"/>
    <w:bookmarkEnd w:id="129"/>
    <w:p>
      <w:pPr>
        <w:ind w:left="544" w:right="40" w:hanging="544"/>
        <w:spacing w:after="0" w:line="277" w:lineRule="auto"/>
        <w:tabs>
          <w:tab w:leader="none" w:pos="544" w:val="left"/>
        </w:tabs>
        <w:numPr>
          <w:ilvl w:val="0"/>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Agent , any of the Joint Green Loan Lead Coordinators or the Green Loan Coordinator is acting in an advisory capacity to any person in respect of any Green Loan Facility nor will the Agent, the Green Loan Coordinator or the Joint Green Loan Lead Coordinators be obliged to verify whether any Facility will comply with the Green Loan Facility provisions on behalf of any of the Finance Parties and each Finance Party is solely responsible at all times for making its own independent appraisal of, and analysis in relation to, each Green Loan Facility, the Eligible Green Activities, each Green Loan Transaction, the Green Loan Information and any other Green Loan provision of this Agreement.</w:t>
      </w:r>
    </w:p>
    <w:p>
      <w:pPr>
        <w:spacing w:after="0" w:line="73" w:lineRule="exact"/>
        <w:rPr>
          <w:rFonts w:ascii="Times New Roman" w:cs="Times New Roman" w:eastAsia="Times New Roman" w:hAnsi="Times New Roman"/>
          <w:sz w:val="17"/>
          <w:szCs w:val="17"/>
          <w:color w:val="auto"/>
        </w:rPr>
      </w:pPr>
    </w:p>
    <w:p>
      <w:pPr>
        <w:ind w:left="544" w:right="300" w:hanging="544"/>
        <w:spacing w:after="0" w:line="282" w:lineRule="auto"/>
        <w:tabs>
          <w:tab w:leader="none" w:pos="544"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Green Loan Lead Coordinators and the Green Loan Coordinator will not be liable for any action taken or not taken by it under or in connection with any Finance Document in such capacity, unless directly caused by its gross negligence or wilful misconduct.</w:t>
      </w:r>
    </w:p>
    <w:p>
      <w:pPr>
        <w:spacing w:after="0" w:line="67" w:lineRule="exact"/>
        <w:rPr>
          <w:rFonts w:ascii="Times New Roman" w:cs="Times New Roman" w:eastAsia="Times New Roman" w:hAnsi="Times New Roman"/>
          <w:sz w:val="18"/>
          <w:szCs w:val="18"/>
          <w:color w:val="auto"/>
        </w:rPr>
      </w:pPr>
    </w:p>
    <w:p>
      <w:pPr>
        <w:ind w:left="544" w:right="60" w:hanging="544"/>
        <w:spacing w:after="0" w:line="266" w:lineRule="auto"/>
        <w:tabs>
          <w:tab w:leader="none" w:pos="544"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may take any proceedings against any officer, employee or agent of the Joint Green Loan Lead Coordinators or the Green Loan Coordinator in respect of any claim it might have against any Joint Green Loan Lead Coordinator or the Green Loan Coordinator or in respect of any act or omission of any kind by that officer, employee or agent in connection with the Facilities.</w:t>
      </w:r>
    </w:p>
    <w:p>
      <w:pPr>
        <w:spacing w:after="0" w:line="81" w:lineRule="exact"/>
        <w:rPr>
          <w:rFonts w:ascii="Times New Roman" w:cs="Times New Roman" w:eastAsia="Times New Roman" w:hAnsi="Times New Roman"/>
          <w:sz w:val="18"/>
          <w:szCs w:val="18"/>
          <w:color w:val="auto"/>
        </w:rPr>
      </w:pPr>
    </w:p>
    <w:p>
      <w:pPr>
        <w:ind w:left="544" w:right="40" w:hanging="544"/>
        <w:spacing w:after="0" w:line="282" w:lineRule="auto"/>
        <w:tabs>
          <w:tab w:leader="none" w:pos="544"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officer, employee or agent of the Joint Green Loan Lead Coordinators or the Green Loan Coordinator may rely on this Clause 28.11 subject to Clause 1.4 (</w:t>
      </w:r>
      <w:r>
        <w:rPr>
          <w:rFonts w:ascii="Times New Roman" w:cs="Times New Roman" w:eastAsia="Times New Roman" w:hAnsi="Times New Roman"/>
          <w:sz w:val="18"/>
          <w:szCs w:val="18"/>
          <w:i w:val="1"/>
          <w:iCs w:val="1"/>
          <w:color w:val="auto"/>
        </w:rPr>
        <w:t>Third party rights</w:t>
      </w:r>
      <w:r>
        <w:rPr>
          <w:rFonts w:ascii="Times New Roman" w:cs="Times New Roman" w:eastAsia="Times New Roman" w:hAnsi="Times New Roman"/>
          <w:sz w:val="18"/>
          <w:szCs w:val="18"/>
          <w:color w:val="auto"/>
        </w:rPr>
        <w:t>) and the provisions of the Third Parties Act.</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28.12  Lenders’ indemnity to the Agent, the Account Bank and Security Agent</w:t>
      </w:r>
    </w:p>
    <w:p>
      <w:pPr>
        <w:spacing w:after="0" w:line="121" w:lineRule="exact"/>
        <w:rPr>
          <w:sz w:val="20"/>
          <w:szCs w:val="20"/>
          <w:color w:val="auto"/>
        </w:rPr>
      </w:pPr>
    </w:p>
    <w:p>
      <w:pPr>
        <w:ind w:left="544" w:right="100"/>
        <w:spacing w:after="0" w:line="254" w:lineRule="auto"/>
        <w:rPr>
          <w:sz w:val="20"/>
          <w:szCs w:val="20"/>
          <w:color w:val="auto"/>
        </w:rPr>
      </w:pPr>
      <w:r>
        <w:rPr>
          <w:rFonts w:ascii="Times New Roman" w:cs="Times New Roman" w:eastAsia="Times New Roman" w:hAnsi="Times New Roman"/>
          <w:sz w:val="18"/>
          <w:szCs w:val="18"/>
          <w:color w:val="auto"/>
        </w:rPr>
        <w:t>Each Lender shall (in proportion to its share of the Total Commitments or, if the Total Commitments are then zero, to its share of the Total Commitments immediately prior to their reduction to zero) indemnify the Agent, the Account Bank, the Security Agent and every Receiver and every Delegate, within three Business Days of demand, against any cost, loss or liability including, without limitation, for negligence or any other category of liability (including FATCA related liability) whatsoever incurred by any of them (otherwise than by reason of the Agent’s, the Account Bank’s, the Security Agent’s, Receiver’s or Delegate’s gross negligence or wilful misconduct) (or, in the case of any cost, loss or liability pursuant to Clause 32.11 (</w:t>
      </w:r>
      <w:r>
        <w:rPr>
          <w:rFonts w:ascii="Times New Roman" w:cs="Times New Roman" w:eastAsia="Times New Roman" w:hAnsi="Times New Roman"/>
          <w:sz w:val="18"/>
          <w:szCs w:val="18"/>
          <w:i w:val="1"/>
          <w:iCs w:val="1"/>
          <w:color w:val="auto"/>
        </w:rPr>
        <w:t>Disruption to payment systems etc.</w:t>
      </w:r>
      <w:r>
        <w:rPr>
          <w:rFonts w:ascii="Times New Roman" w:cs="Times New Roman" w:eastAsia="Times New Roman" w:hAnsi="Times New Roman"/>
          <w:sz w:val="18"/>
          <w:szCs w:val="18"/>
          <w:color w:val="auto"/>
        </w:rPr>
        <w:t>) notwithstanding the Agent’s negligence, gross negligence or any other category of liability whatsoever but not including any claim based on the fraud of the Agent) in acting as Agent, Account Bank, Security Agent, Receiver or Delegate under the Finance Documents (unless the relevant Agent, Account Bank, Security Agent, Receiver or Delegate has been reimbursed by an Obligor pursuant to a Finance Document).</w:t>
      </w:r>
    </w:p>
    <w:p>
      <w:pPr>
        <w:spacing w:after="0" w:line="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28.13  Resignation of the Agent and the Security Agent</w:t>
      </w:r>
    </w:p>
    <w:p>
      <w:pPr>
        <w:spacing w:after="0" w:line="135" w:lineRule="exact"/>
        <w:rPr>
          <w:sz w:val="20"/>
          <w:szCs w:val="20"/>
          <w:color w:val="auto"/>
        </w:rPr>
      </w:pPr>
    </w:p>
    <w:p>
      <w:pPr>
        <w:ind w:left="544" w:right="220" w:hanging="544"/>
        <w:spacing w:after="0" w:line="282" w:lineRule="auto"/>
        <w:tabs>
          <w:tab w:leader="none" w:pos="544"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may resign and appoint one of its Affiliates acting through an office as successor by giving notice to the other Finance Parties and the Company.</w:t>
      </w:r>
    </w:p>
    <w:p>
      <w:pPr>
        <w:spacing w:after="0" w:line="67" w:lineRule="exact"/>
        <w:rPr>
          <w:rFonts w:ascii="Times New Roman" w:cs="Times New Roman" w:eastAsia="Times New Roman" w:hAnsi="Times New Roman"/>
          <w:sz w:val="18"/>
          <w:szCs w:val="18"/>
          <w:color w:val="auto"/>
        </w:rPr>
      </w:pPr>
    </w:p>
    <w:p>
      <w:pPr>
        <w:ind w:left="544" w:right="100" w:hanging="544"/>
        <w:spacing w:after="0" w:line="266" w:lineRule="auto"/>
        <w:tabs>
          <w:tab w:leader="none" w:pos="544"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the Agent or the Security Agent may resign by giving 30 days’ notice to the other Finance Parties and the Company, in which case the Majority Lenders (after consultation with the other Finance Parties and the Company) may appoint a successor Agent or Security Agent (as applicable).</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24"/>
          </w:cols>
          <w:pgMar w:left="436" w:top="270" w:right="439" w:bottom="1440" w:gutter="0" w:footer="0" w:header="0"/>
        </w:sectPr>
      </w:pPr>
    </w:p>
    <w:bookmarkStart w:id="130" w:name="page131"/>
    <w:bookmarkEnd w:id="130"/>
    <w:p>
      <w:pPr>
        <w:jc w:val="both"/>
        <w:ind w:left="544" w:right="320" w:hanging="544"/>
        <w:spacing w:after="0" w:line="266" w:lineRule="auto"/>
        <w:tabs>
          <w:tab w:leader="none" w:pos="544"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Majority Lenders have not appointed a successor Agent or Security Agent in accordance with paragraph (b) above within 20 days after notice of resignation was given, the retiring Agent or Security Agent (as applicable) (after consultation with the other Finance Parties and the Company) may appoint a successor Agent or Security Agent (as applicable).</w:t>
      </w:r>
    </w:p>
    <w:p>
      <w:pPr>
        <w:spacing w:after="0" w:line="81" w:lineRule="exact"/>
        <w:rPr>
          <w:rFonts w:ascii="Times New Roman" w:cs="Times New Roman" w:eastAsia="Times New Roman" w:hAnsi="Times New Roman"/>
          <w:sz w:val="18"/>
          <w:szCs w:val="18"/>
          <w:color w:val="auto"/>
        </w:rPr>
      </w:pPr>
    </w:p>
    <w:p>
      <w:pPr>
        <w:ind w:left="544" w:right="40" w:hanging="544"/>
        <w:spacing w:after="0" w:line="256" w:lineRule="auto"/>
        <w:tabs>
          <w:tab w:leader="none" w:pos="544"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28 and any other term of this Agreement dealing with the rights or obligations of the Agent consistent with then current market practice for the appointment and protection of corporate trustees together with any reasonable amendments to the agency fee payable under this Agreement which are consistent with the successor Agent’s normal fee rates and those amendments will bind the Parties.</w:t>
      </w:r>
    </w:p>
    <w:p>
      <w:pPr>
        <w:spacing w:after="0" w:line="92" w:lineRule="exact"/>
        <w:rPr>
          <w:rFonts w:ascii="Times New Roman" w:cs="Times New Roman" w:eastAsia="Times New Roman" w:hAnsi="Times New Roman"/>
          <w:sz w:val="18"/>
          <w:szCs w:val="18"/>
          <w:color w:val="auto"/>
        </w:rPr>
      </w:pPr>
    </w:p>
    <w:p>
      <w:pPr>
        <w:ind w:left="544" w:right="120" w:hanging="544"/>
        <w:spacing w:after="0" w:line="258" w:lineRule="auto"/>
        <w:tabs>
          <w:tab w:leader="none" w:pos="544"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Agent or Security Agent (as applicable) shall, at its own cost, make available to the successor Agent or Security Agent (as applicable) such documents and records and provide such assistance as the successor Agent or Security Agent may reasonably request for the purposes of performing its functions as Agent or Security Agent (as applicable) under the Finance Documents. The Company shall, within three Business Days of demand, reimburse the retiring Agent or Security Agent (as applicable) for the amount of all costs and expenses (including legal fees) properly incurred by it in making available such documents and records and providing such assistance.</w:t>
      </w:r>
    </w:p>
    <w:p>
      <w:pPr>
        <w:spacing w:after="0" w:line="8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resignation notice of the Agent or Security Agent (as applicable) shall only take effect upon: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successor;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Security Agent), the transfer of the Charged Property to that successor.</w:t>
      </w:r>
    </w:p>
    <w:p>
      <w:pPr>
        <w:spacing w:after="0" w:line="130" w:lineRule="exact"/>
        <w:rPr>
          <w:rFonts w:ascii="Times New Roman" w:cs="Times New Roman" w:eastAsia="Times New Roman" w:hAnsi="Times New Roman"/>
          <w:sz w:val="18"/>
          <w:szCs w:val="18"/>
          <w:color w:val="auto"/>
        </w:rPr>
      </w:pPr>
    </w:p>
    <w:p>
      <w:pPr>
        <w:ind w:left="544" w:right="100" w:hanging="544"/>
        <w:spacing w:after="0" w:line="256" w:lineRule="auto"/>
        <w:tabs>
          <w:tab w:leader="none" w:pos="544"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of a successor, the retiring Agent or Security Agent (as applicable) shall be discharged from any further obligation in respect of the Finance Documents (other than its obligations under paragraph (b) of Clause 28.27 (</w:t>
      </w:r>
      <w:r>
        <w:rPr>
          <w:rFonts w:ascii="Times New Roman" w:cs="Times New Roman" w:eastAsia="Times New Roman" w:hAnsi="Times New Roman"/>
          <w:sz w:val="18"/>
          <w:szCs w:val="18"/>
          <w:i w:val="1"/>
          <w:iCs w:val="1"/>
          <w:color w:val="auto"/>
        </w:rPr>
        <w:t>Winding up of security agent arrangements</w:t>
      </w:r>
      <w:r>
        <w:rPr>
          <w:rFonts w:ascii="Times New Roman" w:cs="Times New Roman" w:eastAsia="Times New Roman" w:hAnsi="Times New Roman"/>
          <w:sz w:val="18"/>
          <w:szCs w:val="18"/>
          <w:color w:val="auto"/>
        </w:rPr>
        <w:t>) and (e) above) but shall remain entitled to the benefit of Clause 16.3 (</w:t>
      </w:r>
      <w:r>
        <w:rPr>
          <w:rFonts w:ascii="Times New Roman" w:cs="Times New Roman" w:eastAsia="Times New Roman" w:hAnsi="Times New Roman"/>
          <w:sz w:val="18"/>
          <w:szCs w:val="18"/>
          <w:i w:val="1"/>
          <w:iCs w:val="1"/>
          <w:color w:val="auto"/>
        </w:rPr>
        <w:t>Indemnity to the Agent</w:t>
      </w:r>
      <w:r>
        <w:rPr>
          <w:rFonts w:ascii="Times New Roman" w:cs="Times New Roman" w:eastAsia="Times New Roman" w:hAnsi="Times New Roman"/>
          <w:sz w:val="18"/>
          <w:szCs w:val="18"/>
          <w:color w:val="auto"/>
        </w:rPr>
        <w:t>), Clause 16.4 (</w:t>
      </w:r>
      <w:r>
        <w:rPr>
          <w:rFonts w:ascii="Times New Roman" w:cs="Times New Roman" w:eastAsia="Times New Roman" w:hAnsi="Times New Roman"/>
          <w:sz w:val="18"/>
          <w:szCs w:val="18"/>
          <w:i w:val="1"/>
          <w:iCs w:val="1"/>
          <w:color w:val="auto"/>
        </w:rPr>
        <w:t>Indemnity to the Security Agent</w:t>
      </w:r>
      <w:r>
        <w:rPr>
          <w:rFonts w:ascii="Times New Roman" w:cs="Times New Roman" w:eastAsia="Times New Roman" w:hAnsi="Times New Roman"/>
          <w:sz w:val="18"/>
          <w:szCs w:val="18"/>
          <w:color w:val="auto"/>
        </w:rPr>
        <w:t>) and this Clause 28 (and any agency fees for the account of the retiring Agent or Security Agent (as applicable) shall cease to accrue from (and shall be payable on) that date). Any successor and each of the other Parties shall have the same rights and obligations amongst themselves as they would have had if such successor had been an original Party.</w:t>
      </w:r>
    </w:p>
    <w:p>
      <w:pPr>
        <w:spacing w:after="0" w:line="92" w:lineRule="exact"/>
        <w:rPr>
          <w:rFonts w:ascii="Times New Roman" w:cs="Times New Roman" w:eastAsia="Times New Roman" w:hAnsi="Times New Roman"/>
          <w:sz w:val="18"/>
          <w:szCs w:val="18"/>
          <w:color w:val="auto"/>
        </w:rPr>
      </w:pPr>
    </w:p>
    <w:p>
      <w:pPr>
        <w:jc w:val="both"/>
        <w:ind w:left="544" w:right="520" w:hanging="544"/>
        <w:spacing w:after="0" w:line="266" w:lineRule="auto"/>
        <w:tabs>
          <w:tab w:leader="none" w:pos="544"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24"/>
          </w:cols>
          <w:pgMar w:left="436" w:top="270" w:right="439" w:bottom="1440" w:gutter="0" w:footer="0" w:header="0"/>
        </w:sectPr>
      </w:pPr>
    </w:p>
    <w:bookmarkStart w:id="131" w:name="page132"/>
    <w:bookmarkEnd w:id="131"/>
    <w:p>
      <w:pPr>
        <w:ind w:left="1184" w:right="60" w:hanging="644"/>
        <w:spacing w:after="0" w:line="284" w:lineRule="auto"/>
        <w:tabs>
          <w:tab w:leader="none" w:pos="1184"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Agent fails to respond to a request under Clause 14.8 (</w:t>
      </w:r>
      <w:r>
        <w:rPr>
          <w:rFonts w:ascii="Times New Roman" w:cs="Times New Roman" w:eastAsia="Times New Roman" w:hAnsi="Times New Roman"/>
          <w:sz w:val="18"/>
          <w:szCs w:val="18"/>
          <w:i w:val="1"/>
          <w:iCs w:val="1"/>
          <w:color w:val="auto"/>
        </w:rPr>
        <w:t>FATCA information</w:t>
      </w:r>
      <w:r>
        <w:rPr>
          <w:rFonts w:ascii="Times New Roman" w:cs="Times New Roman" w:eastAsia="Times New Roman" w:hAnsi="Times New Roman"/>
          <w:sz w:val="18"/>
          <w:szCs w:val="18"/>
          <w:color w:val="auto"/>
        </w:rPr>
        <w:t>) and a Lender reasonably believes that the Agent will not be (or will have ceased to be) a FATCA Exempt Party on or after that FATCA Application Date;</w:t>
      </w:r>
    </w:p>
    <w:p>
      <w:pPr>
        <w:spacing w:after="0" w:line="63" w:lineRule="exact"/>
        <w:rPr>
          <w:rFonts w:ascii="Times New Roman" w:cs="Times New Roman" w:eastAsia="Times New Roman" w:hAnsi="Times New Roman"/>
          <w:sz w:val="18"/>
          <w:szCs w:val="18"/>
          <w:color w:val="auto"/>
        </w:rPr>
      </w:pPr>
    </w:p>
    <w:p>
      <w:pPr>
        <w:ind w:left="1184" w:right="260" w:hanging="644"/>
        <w:spacing w:after="0" w:line="284" w:lineRule="auto"/>
        <w:tabs>
          <w:tab w:leader="none" w:pos="1184"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supplied by the Agent pursuant to Clause 14.8 (</w:t>
      </w:r>
      <w:r>
        <w:rPr>
          <w:rFonts w:ascii="Times New Roman" w:cs="Times New Roman" w:eastAsia="Times New Roman" w:hAnsi="Times New Roman"/>
          <w:sz w:val="18"/>
          <w:szCs w:val="18"/>
          <w:i w:val="1"/>
          <w:iCs w:val="1"/>
          <w:color w:val="auto"/>
        </w:rPr>
        <w:t>FATCA information</w:t>
      </w:r>
      <w:r>
        <w:rPr>
          <w:rFonts w:ascii="Times New Roman" w:cs="Times New Roman" w:eastAsia="Times New Roman" w:hAnsi="Times New Roman"/>
          <w:sz w:val="18"/>
          <w:szCs w:val="18"/>
          <w:color w:val="auto"/>
        </w:rPr>
        <w:t>) indicates that the Agent will not be (or will have ceased to be) a FATCA Exempt Party on or after that FATCA Application Date; or</w:t>
      </w:r>
    </w:p>
    <w:p>
      <w:pPr>
        <w:spacing w:after="0" w:line="65" w:lineRule="exact"/>
        <w:rPr>
          <w:rFonts w:ascii="Times New Roman" w:cs="Times New Roman" w:eastAsia="Times New Roman" w:hAnsi="Times New Roman"/>
          <w:sz w:val="18"/>
          <w:szCs w:val="18"/>
          <w:color w:val="auto"/>
        </w:rPr>
      </w:pPr>
    </w:p>
    <w:p>
      <w:pPr>
        <w:ind w:left="1184" w:right="360" w:hanging="644"/>
        <w:spacing w:after="0" w:line="282" w:lineRule="auto"/>
        <w:tabs>
          <w:tab w:leader="none" w:pos="1184"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notifies the Company and the Lenders that the Agent will not be (or will have ceased to be) a FATCA Exempt Party on or after that FATCA Application Date;</w:t>
      </w:r>
    </w:p>
    <w:p>
      <w:pPr>
        <w:spacing w:after="0" w:line="54" w:lineRule="exact"/>
        <w:rPr>
          <w:sz w:val="20"/>
          <w:szCs w:val="20"/>
          <w:color w:val="auto"/>
        </w:rPr>
      </w:pPr>
    </w:p>
    <w:p>
      <w:pPr>
        <w:ind w:left="544" w:right="480"/>
        <w:spacing w:after="0" w:line="282" w:lineRule="auto"/>
        <w:rPr>
          <w:sz w:val="20"/>
          <w:szCs w:val="20"/>
          <w:color w:val="auto"/>
        </w:rPr>
      </w:pPr>
      <w:r>
        <w:rPr>
          <w:rFonts w:ascii="Times New Roman" w:cs="Times New Roman" w:eastAsia="Times New Roman" w:hAnsi="Times New Roman"/>
          <w:sz w:val="18"/>
          <w:szCs w:val="18"/>
          <w:color w:val="auto"/>
        </w:rPr>
        <w:t>and (in each case) a Lender reasonably believes that a Party will be required to make a FATCA Deduction that would not be required if the Agent were a FATCA Exempt Party, and that Lender, by notice to the Agent, requires it to resign.</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28.14  Replacement of the Agent or Security Agent</w:t>
      </w:r>
    </w:p>
    <w:p>
      <w:pPr>
        <w:spacing w:after="0" w:line="135" w:lineRule="exact"/>
        <w:rPr>
          <w:sz w:val="20"/>
          <w:szCs w:val="20"/>
          <w:color w:val="auto"/>
        </w:rPr>
      </w:pPr>
    </w:p>
    <w:p>
      <w:pPr>
        <w:ind w:left="544" w:right="60" w:hanging="544"/>
        <w:spacing w:after="0" w:line="266" w:lineRule="auto"/>
        <w:tabs>
          <w:tab w:leader="none" w:pos="544"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consultation with the Company, the Majority Lenders may, by giving 30 days’ notice to the Agent (or, at any time the Agent is an Impaired Agent, by giving any shorter notice determined by the Majority Lenders) or the Security Agent replace the Agent or the Security Agent by appointing a successor Agent or Security Agent.</w:t>
      </w:r>
    </w:p>
    <w:p>
      <w:pPr>
        <w:spacing w:after="0" w:line="81" w:lineRule="exact"/>
        <w:rPr>
          <w:rFonts w:ascii="Times New Roman" w:cs="Times New Roman" w:eastAsia="Times New Roman" w:hAnsi="Times New Roman"/>
          <w:sz w:val="18"/>
          <w:szCs w:val="18"/>
          <w:color w:val="auto"/>
        </w:rPr>
      </w:pPr>
    </w:p>
    <w:p>
      <w:pPr>
        <w:jc w:val="both"/>
        <w:ind w:left="544" w:right="60" w:hanging="544"/>
        <w:spacing w:after="0" w:line="266" w:lineRule="auto"/>
        <w:tabs>
          <w:tab w:leader="none" w:pos="544"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Agent or Security Agent shall (at its own cost if it is an Impaired Agent and otherwise at the expense of the Lenders) make available to the successor Agent or Security Agent such documents and records and provide such assistance as the successor Agent or Security Agent may reasonably request for the purposes of performing its functions as Agent or Security Agent under the Finance Documents.</w:t>
      </w:r>
    </w:p>
    <w:p>
      <w:pPr>
        <w:spacing w:after="0" w:line="81" w:lineRule="exact"/>
        <w:rPr>
          <w:rFonts w:ascii="Times New Roman" w:cs="Times New Roman" w:eastAsia="Times New Roman" w:hAnsi="Times New Roman"/>
          <w:sz w:val="18"/>
          <w:szCs w:val="18"/>
          <w:color w:val="auto"/>
        </w:rPr>
      </w:pPr>
    </w:p>
    <w:p>
      <w:pPr>
        <w:ind w:left="544" w:right="200" w:hanging="544"/>
        <w:spacing w:after="0" w:line="258" w:lineRule="auto"/>
        <w:tabs>
          <w:tab w:leader="none" w:pos="544"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the successor Agent or Security Agent shall take effect on the date specified in the notice from the Majority Lenders to the retiring Agent or Security Agent. As from this date, the retiring Agent or Security Agent shall be discharged from any further obligation in respect of the Finance Documents (other than its obligations under paragraph (b) above) but shall remain entitled to the benefit of Clause 16.3 (</w:t>
      </w:r>
      <w:r>
        <w:rPr>
          <w:rFonts w:ascii="Times New Roman" w:cs="Times New Roman" w:eastAsia="Times New Roman" w:hAnsi="Times New Roman"/>
          <w:sz w:val="18"/>
          <w:szCs w:val="18"/>
          <w:i w:val="1"/>
          <w:iCs w:val="1"/>
          <w:color w:val="auto"/>
        </w:rPr>
        <w:t>Indemnity to the Agent</w:t>
      </w:r>
      <w:r>
        <w:rPr>
          <w:rFonts w:ascii="Times New Roman" w:cs="Times New Roman" w:eastAsia="Times New Roman" w:hAnsi="Times New Roman"/>
          <w:sz w:val="18"/>
          <w:szCs w:val="18"/>
          <w:color w:val="auto"/>
        </w:rPr>
        <w:t>), Clause 16.4 (</w:t>
      </w:r>
      <w:r>
        <w:rPr>
          <w:rFonts w:ascii="Times New Roman" w:cs="Times New Roman" w:eastAsia="Times New Roman" w:hAnsi="Times New Roman"/>
          <w:sz w:val="18"/>
          <w:szCs w:val="18"/>
          <w:i w:val="1"/>
          <w:iCs w:val="1"/>
          <w:color w:val="auto"/>
        </w:rPr>
        <w:t>Indemnity to the Security Agent</w:t>
      </w:r>
      <w:r>
        <w:rPr>
          <w:rFonts w:ascii="Times New Roman" w:cs="Times New Roman" w:eastAsia="Times New Roman" w:hAnsi="Times New Roman"/>
          <w:sz w:val="18"/>
          <w:szCs w:val="18"/>
          <w:color w:val="auto"/>
        </w:rPr>
        <w:t>) and this Clause 28 (and any agency or security agency fees for the account of the retiring Agent or Security Agent shall cease to accrue from (and shall be payable on) that date).</w:t>
      </w:r>
    </w:p>
    <w:p>
      <w:pPr>
        <w:spacing w:after="0" w:line="88" w:lineRule="exact"/>
        <w:rPr>
          <w:rFonts w:ascii="Times New Roman" w:cs="Times New Roman" w:eastAsia="Times New Roman" w:hAnsi="Times New Roman"/>
          <w:sz w:val="18"/>
          <w:szCs w:val="18"/>
          <w:color w:val="auto"/>
        </w:rPr>
      </w:pPr>
    </w:p>
    <w:p>
      <w:pPr>
        <w:ind w:left="544" w:right="440" w:hanging="544"/>
        <w:spacing w:after="0" w:line="282" w:lineRule="auto"/>
        <w:tabs>
          <w:tab w:leader="none" w:pos="544"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Agent or Security Agent and each of the other Parties shall have the same rights and obligations amongst themselves as they would have had if such successor had been an original Party.</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28.15  Confidentiality</w:t>
      </w:r>
    </w:p>
    <w:p>
      <w:pPr>
        <w:spacing w:after="0" w:line="135" w:lineRule="exact"/>
        <w:rPr>
          <w:sz w:val="20"/>
          <w:szCs w:val="20"/>
          <w:color w:val="auto"/>
        </w:rPr>
      </w:pPr>
    </w:p>
    <w:p>
      <w:pPr>
        <w:ind w:left="544" w:right="260" w:hanging="544"/>
        <w:spacing w:after="0" w:line="282" w:lineRule="auto"/>
        <w:tabs>
          <w:tab w:leader="none" w:pos="544"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acting as agent or security agent for the Finance Parties or Secured Parties, the Agent or Security Agent (as applicable) shall be regarded as acting through its agency division which shall be treated as a separate entity from any other of its divisions or departments.</w:t>
      </w:r>
    </w:p>
    <w:p>
      <w:pPr>
        <w:spacing w:after="0" w:line="67" w:lineRule="exact"/>
        <w:rPr>
          <w:rFonts w:ascii="Times New Roman" w:cs="Times New Roman" w:eastAsia="Times New Roman" w:hAnsi="Times New Roman"/>
          <w:sz w:val="18"/>
          <w:szCs w:val="18"/>
          <w:color w:val="auto"/>
        </w:rPr>
      </w:pPr>
    </w:p>
    <w:p>
      <w:pPr>
        <w:ind w:left="544" w:right="180" w:hanging="544"/>
        <w:spacing w:after="0" w:line="282" w:lineRule="auto"/>
        <w:tabs>
          <w:tab w:leader="none" w:pos="544"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information is received by another division or department of the Agent or Security Agent, it may be treated as confidential to that division or department and the Agent or Security Agent (as applicable) shall not be deemed to have notice of it.</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24"/>
          </w:cols>
          <w:pgMar w:left="436" w:top="268" w:right="439" w:bottom="1440" w:gutter="0" w:footer="0" w:header="0"/>
        </w:sectPr>
      </w:pPr>
    </w:p>
    <w:bookmarkStart w:id="132" w:name="page133"/>
    <w:bookmarkEnd w:id="13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28.16  Relationship with the other Finance Parties</w:t>
      </w:r>
    </w:p>
    <w:p>
      <w:pPr>
        <w:spacing w:after="0" w:line="133" w:lineRule="exact"/>
        <w:rPr>
          <w:sz w:val="20"/>
          <w:szCs w:val="20"/>
          <w:color w:val="auto"/>
        </w:rPr>
      </w:pPr>
    </w:p>
    <w:p>
      <w:pPr>
        <w:ind w:left="544" w:right="40" w:hanging="544"/>
        <w:spacing w:after="0" w:line="284" w:lineRule="auto"/>
        <w:tabs>
          <w:tab w:leader="none" w:pos="544"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25.9 (</w:t>
      </w:r>
      <w:r>
        <w:rPr>
          <w:rFonts w:ascii="Times New Roman" w:cs="Times New Roman" w:eastAsia="Times New Roman" w:hAnsi="Times New Roman"/>
          <w:sz w:val="18"/>
          <w:szCs w:val="18"/>
          <w:i w:val="1"/>
          <w:iCs w:val="1"/>
          <w:color w:val="auto"/>
        </w:rPr>
        <w:t>Pro rata interest settlement</w:t>
      </w:r>
      <w:r>
        <w:rPr>
          <w:rFonts w:ascii="Times New Roman" w:cs="Times New Roman" w:eastAsia="Times New Roman" w:hAnsi="Times New Roman"/>
          <w:sz w:val="18"/>
          <w:szCs w:val="18"/>
          <w:color w:val="auto"/>
        </w:rPr>
        <w:t>), the Agent may treat the person shown in its records as Lender at the opening of business (in the place of the Agent’s principal office as notified to the Finance Parties from time to time) as the Lender acting through its Facility Office:</w:t>
      </w:r>
    </w:p>
    <w:p>
      <w:pPr>
        <w:spacing w:after="0" w:line="6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or liable for any payment due under any Finance Document on that day; and</w:t>
      </w:r>
    </w:p>
    <w:p>
      <w:pPr>
        <w:spacing w:after="0" w:line="130" w:lineRule="exact"/>
        <w:rPr>
          <w:rFonts w:ascii="Times New Roman" w:cs="Times New Roman" w:eastAsia="Times New Roman" w:hAnsi="Times New Roman"/>
          <w:sz w:val="18"/>
          <w:szCs w:val="18"/>
          <w:color w:val="auto"/>
        </w:rPr>
      </w:pPr>
    </w:p>
    <w:p>
      <w:pPr>
        <w:ind w:left="1184" w:right="440" w:hanging="644"/>
        <w:spacing w:after="0" w:line="282" w:lineRule="auto"/>
        <w:tabs>
          <w:tab w:leader="none" w:pos="1184"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receive and act upon any notice, request, document or communication or make any decision or determination under any Finance Document made or delivered on that day,</w:t>
      </w:r>
    </w:p>
    <w:p>
      <w:pPr>
        <w:spacing w:after="0" w:line="54" w:lineRule="exact"/>
        <w:rPr>
          <w:sz w:val="20"/>
          <w:szCs w:val="20"/>
          <w:color w:val="auto"/>
        </w:rPr>
      </w:pPr>
    </w:p>
    <w:p>
      <w:pPr>
        <w:ind w:left="544" w:right="660"/>
        <w:spacing w:after="0" w:line="282" w:lineRule="auto"/>
        <w:rPr>
          <w:sz w:val="20"/>
          <w:szCs w:val="20"/>
          <w:color w:val="auto"/>
        </w:rPr>
      </w:pPr>
      <w:r>
        <w:rPr>
          <w:rFonts w:ascii="Times New Roman" w:cs="Times New Roman" w:eastAsia="Times New Roman" w:hAnsi="Times New Roman"/>
          <w:sz w:val="18"/>
          <w:szCs w:val="18"/>
          <w:color w:val="auto"/>
        </w:rPr>
        <w:t>unless it has received not less than five Business Days’ prior notice from that Lender to the contrary in accordance with the terms of this Agreement.</w:t>
      </w:r>
    </w:p>
    <w:p>
      <w:pPr>
        <w:spacing w:after="0" w:line="67" w:lineRule="exact"/>
        <w:rPr>
          <w:sz w:val="20"/>
          <w:szCs w:val="20"/>
          <w:color w:val="auto"/>
        </w:rPr>
      </w:pPr>
    </w:p>
    <w:p>
      <w:pPr>
        <w:ind w:left="544" w:right="20" w:hanging="544"/>
        <w:spacing w:after="0" w:line="254" w:lineRule="auto"/>
        <w:tabs>
          <w:tab w:leader="none" w:pos="54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34.5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34.2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and paragraph (a)(ii) of Clause 34.5 (</w:t>
      </w:r>
      <w:r>
        <w:rPr>
          <w:rFonts w:ascii="Times New Roman" w:cs="Times New Roman" w:eastAsia="Times New Roman" w:hAnsi="Times New Roman"/>
          <w:sz w:val="18"/>
          <w:szCs w:val="18"/>
          <w:i w:val="1"/>
          <w:iCs w:val="1"/>
          <w:color w:val="auto"/>
        </w:rPr>
        <w:t>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communication</w:t>
      </w:r>
      <w:r>
        <w:rPr>
          <w:rFonts w:ascii="Times New Roman" w:cs="Times New Roman" w:eastAsia="Times New Roman" w:hAnsi="Times New Roman"/>
          <w:sz w:val="18"/>
          <w:szCs w:val="18"/>
          <w:color w:val="auto"/>
        </w:rPr>
        <w:t>) and the Agent shall be entitled to treat such person as the person entitled to receive all such notices,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and documents as though that person were that Lender.</w:t>
      </w:r>
    </w:p>
    <w:p>
      <w:pPr>
        <w:spacing w:after="0" w:line="97" w:lineRule="exact"/>
        <w:rPr>
          <w:rFonts w:ascii="Times New Roman" w:cs="Times New Roman" w:eastAsia="Times New Roman" w:hAnsi="Times New Roman"/>
          <w:sz w:val="18"/>
          <w:szCs w:val="18"/>
          <w:color w:val="auto"/>
        </w:rPr>
      </w:pPr>
    </w:p>
    <w:p>
      <w:pPr>
        <w:ind w:left="544" w:right="180" w:hanging="544"/>
        <w:spacing w:after="0" w:line="282" w:lineRule="auto"/>
        <w:tabs>
          <w:tab w:leader="none" w:pos="54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Secured Party shall supply the Security Agent with any information that the Security Agent may reasonably specify as being necessary or desirable to enable the Security Agent to perform its functions as Security Agent.</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28.17  Credit appraisal by the Lenders</w:t>
      </w:r>
    </w:p>
    <w:p>
      <w:pPr>
        <w:spacing w:after="0" w:line="121" w:lineRule="exact"/>
        <w:rPr>
          <w:sz w:val="20"/>
          <w:szCs w:val="20"/>
          <w:color w:val="auto"/>
        </w:rPr>
      </w:pPr>
    </w:p>
    <w:p>
      <w:pPr>
        <w:ind w:left="544" w:right="140"/>
        <w:spacing w:after="0" w:line="261" w:lineRule="auto"/>
        <w:rPr>
          <w:sz w:val="20"/>
          <w:szCs w:val="20"/>
          <w:color w:val="auto"/>
        </w:rPr>
      </w:pPr>
      <w:r>
        <w:rPr>
          <w:rFonts w:ascii="Times New Roman" w:cs="Times New Roman" w:eastAsia="Times New Roman" w:hAnsi="Times New Roman"/>
          <w:sz w:val="18"/>
          <w:szCs w:val="18"/>
          <w:color w:val="auto"/>
        </w:rPr>
        <w:t>Without affecting the responsibility of any Obligor for information supplied by it or on its behalf in connection with any Finance Document, each Lender confirms to the Agent, the Security Agent, the Global Coordinators, the MLABs, and the MLAs that it has been, and will continue to be, solely responsible for making its own independent appraisal and investigation of all risks arising under or in connection with any Finance Document including but not limited to:</w:t>
      </w:r>
    </w:p>
    <w:p>
      <w:pPr>
        <w:spacing w:after="0" w:line="85" w:lineRule="exact"/>
        <w:rPr>
          <w:sz w:val="20"/>
          <w:szCs w:val="20"/>
          <w:color w:val="auto"/>
        </w:rPr>
      </w:pPr>
    </w:p>
    <w:p>
      <w:pPr>
        <w:ind w:left="1184" w:hanging="644"/>
        <w:spacing w:after="0"/>
        <w:tabs>
          <w:tab w:leader="none" w:pos="1184"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status and nature of each Group Member;</w:t>
      </w:r>
    </w:p>
    <w:p>
      <w:pPr>
        <w:spacing w:after="0" w:line="130" w:lineRule="exact"/>
        <w:rPr>
          <w:rFonts w:ascii="Times New Roman" w:cs="Times New Roman" w:eastAsia="Times New Roman" w:hAnsi="Times New Roman"/>
          <w:sz w:val="18"/>
          <w:szCs w:val="18"/>
          <w:color w:val="auto"/>
        </w:rPr>
      </w:pPr>
    </w:p>
    <w:p>
      <w:pPr>
        <w:ind w:left="1184" w:right="620" w:hanging="644"/>
        <w:spacing w:after="0" w:line="266" w:lineRule="auto"/>
        <w:tabs>
          <w:tab w:leader="none" w:pos="1184"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Finance Document, the Charged Property and any other agreement, arrangement or document entered into, made or executed in anticipation of, under or in connection with any Finance Document or the Charged Property;</w:t>
      </w:r>
    </w:p>
    <w:p>
      <w:pPr>
        <w:spacing w:after="0" w:line="81" w:lineRule="exact"/>
        <w:rPr>
          <w:rFonts w:ascii="Times New Roman" w:cs="Times New Roman" w:eastAsia="Times New Roman" w:hAnsi="Times New Roman"/>
          <w:sz w:val="18"/>
          <w:szCs w:val="18"/>
          <w:color w:val="auto"/>
        </w:rPr>
      </w:pPr>
    </w:p>
    <w:p>
      <w:pPr>
        <w:ind w:left="1184" w:right="80" w:hanging="644"/>
        <w:spacing w:after="0" w:line="261" w:lineRule="auto"/>
        <w:tabs>
          <w:tab w:leader="none" w:pos="1184"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Lender has recourse, and the nature and extent of that recourse, against any Party or any of its respective assets under or in connection with any Finance Document, the Charged Property, the transactions contemplated by the Finance Documents or any other agreement, arrangement or document entered into, made or executed in anticipation of, under or in connection with any Finance Document or the Charged Property;</w:t>
      </w:r>
    </w:p>
    <w:p>
      <w:pPr>
        <w:spacing w:after="0" w:line="11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24"/>
          </w:cols>
          <w:pgMar w:left="436" w:top="266" w:right="439" w:bottom="1440" w:gutter="0" w:footer="0" w:header="0"/>
        </w:sectPr>
      </w:pPr>
    </w:p>
    <w:bookmarkStart w:id="133" w:name="page134"/>
    <w:bookmarkEnd w:id="133"/>
    <w:p>
      <w:pPr>
        <w:ind w:left="1184" w:right="40" w:hanging="644"/>
        <w:spacing w:after="0" w:line="289" w:lineRule="auto"/>
        <w:tabs>
          <w:tab w:leader="none" w:pos="1184"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adequacy, accuracy or completeness of any information provided by the Agent, the Security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 and</w:t>
      </w:r>
    </w:p>
    <w:p>
      <w:pPr>
        <w:spacing w:after="0" w:line="63" w:lineRule="exact"/>
        <w:rPr>
          <w:rFonts w:ascii="Times New Roman" w:cs="Times New Roman" w:eastAsia="Times New Roman" w:hAnsi="Times New Roman"/>
          <w:sz w:val="17"/>
          <w:szCs w:val="17"/>
          <w:color w:val="auto"/>
        </w:rPr>
      </w:pPr>
    </w:p>
    <w:p>
      <w:pPr>
        <w:ind w:left="1184" w:right="660" w:hanging="644"/>
        <w:spacing w:after="0" w:line="282" w:lineRule="auto"/>
        <w:tabs>
          <w:tab w:leader="none" w:pos="118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or title of any person in or to, or the value or sufficiency of any part of, the Charged Property, the priority of any of the Transaction Security or the existence of any Security affecting the Charged Property.</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28.18  Agent’s and Security Agent’s management time</w:t>
      </w:r>
    </w:p>
    <w:p>
      <w:pPr>
        <w:spacing w:after="0" w:line="133" w:lineRule="exact"/>
        <w:rPr>
          <w:sz w:val="20"/>
          <w:szCs w:val="20"/>
          <w:color w:val="auto"/>
        </w:rPr>
      </w:pPr>
    </w:p>
    <w:p>
      <w:pPr>
        <w:ind w:left="544" w:right="120" w:hanging="544"/>
        <w:spacing w:after="0" w:line="258" w:lineRule="auto"/>
        <w:tabs>
          <w:tab w:leader="none" w:pos="54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payable to the Agent or Security Agent under Clause 16.3 (</w:t>
      </w:r>
      <w:r>
        <w:rPr>
          <w:rFonts w:ascii="Times New Roman" w:cs="Times New Roman" w:eastAsia="Times New Roman" w:hAnsi="Times New Roman"/>
          <w:sz w:val="18"/>
          <w:szCs w:val="18"/>
          <w:i w:val="1"/>
          <w:iCs w:val="1"/>
          <w:color w:val="auto"/>
        </w:rPr>
        <w:t>Indemnity to the Agent</w:t>
      </w:r>
      <w:r>
        <w:rPr>
          <w:rFonts w:ascii="Times New Roman" w:cs="Times New Roman" w:eastAsia="Times New Roman" w:hAnsi="Times New Roman"/>
          <w:sz w:val="18"/>
          <w:szCs w:val="18"/>
          <w:color w:val="auto"/>
        </w:rPr>
        <w:t>), Clause 16.4 (</w:t>
      </w:r>
      <w:r>
        <w:rPr>
          <w:rFonts w:ascii="Times New Roman" w:cs="Times New Roman" w:eastAsia="Times New Roman" w:hAnsi="Times New Roman"/>
          <w:sz w:val="18"/>
          <w:szCs w:val="18"/>
          <w:i w:val="1"/>
          <w:iCs w:val="1"/>
          <w:color w:val="auto"/>
        </w:rPr>
        <w:t>Indemnity to the Security Agent</w:t>
      </w:r>
      <w:r>
        <w:rPr>
          <w:rFonts w:ascii="Times New Roman" w:cs="Times New Roman" w:eastAsia="Times New Roman" w:hAnsi="Times New Roman"/>
          <w:sz w:val="18"/>
          <w:szCs w:val="18"/>
          <w:color w:val="auto"/>
        </w:rPr>
        <w:t>), Clause 18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and Clause 28.12 (</w:t>
      </w:r>
      <w:r>
        <w:rPr>
          <w:rFonts w:ascii="Times New Roman" w:cs="Times New Roman" w:eastAsia="Times New Roman" w:hAnsi="Times New Roman"/>
          <w:sz w:val="18"/>
          <w:szCs w:val="18"/>
          <w:i w:val="1"/>
          <w:iCs w:val="1"/>
          <w:color w:val="auto"/>
        </w:rPr>
        <w:t>Lenders’ indemnity to the Agent, the Account Bank and Security Agent</w:t>
      </w:r>
      <w:r>
        <w:rPr>
          <w:rFonts w:ascii="Times New Roman" w:cs="Times New Roman" w:eastAsia="Times New Roman" w:hAnsi="Times New Roman"/>
          <w:sz w:val="18"/>
          <w:szCs w:val="18"/>
          <w:color w:val="auto"/>
        </w:rPr>
        <w:t>) shall include the cost of utilising the management time or other resources of the Agent or Security Agent (as applicable) and will be calculated on the basis of such reasonable daily or hourly rates as the Agent or Security Agent may notify to the Company and the other Finance Parties, and is in addition to any fee paid or payable to the Agent or Security Agent under Clause 13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paragraph (a) above, in the event of:</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w:t>
      </w:r>
    </w:p>
    <w:p>
      <w:pPr>
        <w:spacing w:after="0" w:line="130" w:lineRule="exact"/>
        <w:rPr>
          <w:rFonts w:ascii="Times New Roman" w:cs="Times New Roman" w:eastAsia="Times New Roman" w:hAnsi="Times New Roman"/>
          <w:sz w:val="18"/>
          <w:szCs w:val="18"/>
          <w:color w:val="auto"/>
        </w:rPr>
      </w:pPr>
    </w:p>
    <w:p>
      <w:pPr>
        <w:jc w:val="both"/>
        <w:ind w:left="1184" w:right="640" w:hanging="644"/>
        <w:spacing w:after="0" w:line="266" w:lineRule="auto"/>
        <w:tabs>
          <w:tab w:leader="none" w:pos="1184"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being requested by an Obligor or the Majority Lenders to undertake duties which the Security Agent and the Company agree to be of an exceptional nature or outside the scope of the normal duties of the Security Agent under the Finance Documents; or</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and the Company agreeing that it is otherwise appropriate in the circumstances,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Company shall pay to the Security Agent any additional remuneration that may be agreed between them or determined pursuant to paragraph</w:t>
      </w:r>
    </w:p>
    <w:p>
      <w:pPr>
        <w:spacing w:after="0" w:line="27" w:lineRule="exact"/>
        <w:rPr>
          <w:sz w:val="20"/>
          <w:szCs w:val="20"/>
          <w:color w:val="auto"/>
        </w:rPr>
      </w:pPr>
    </w:p>
    <w:p>
      <w:pPr>
        <w:ind w:left="804" w:hanging="253"/>
        <w:spacing w:after="0"/>
        <w:tabs>
          <w:tab w:leader="none" w:pos="804"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11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Security Agent and the Company fail to agree upon the nature of the duties, or upon the additional remuneration referred to in paragraph</w:t>
      </w:r>
    </w:p>
    <w:p>
      <w:pPr>
        <w:spacing w:after="0" w:line="27" w:lineRule="exact"/>
        <w:rPr>
          <w:rFonts w:ascii="Times New Roman" w:cs="Times New Roman" w:eastAsia="Times New Roman" w:hAnsi="Times New Roman"/>
          <w:sz w:val="18"/>
          <w:szCs w:val="18"/>
          <w:color w:val="auto"/>
        </w:rPr>
      </w:pPr>
    </w:p>
    <w:p>
      <w:pPr>
        <w:ind w:left="544" w:right="40" w:hanging="4"/>
        <w:spacing w:after="0" w:line="273" w:lineRule="auto"/>
        <w:tabs>
          <w:tab w:leader="none" w:pos="799" w:val="left"/>
        </w:tabs>
        <w:numPr>
          <w:ilvl w:val="1"/>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or whether additional remuneration is appropriate in the circumstances, any dispute shall be determined by an investment bank (acting as an expert and not as an arbitrator) selected by the Security Agent and approved by the Company or, failing approval, nominated (on the application of the Security Agent) by the President for the time being of the Law Society of England and Wales (the costs of the nomination and of the investment bank being payable by the Company) and the determination of any investment bank shall be final and binding upon the Parties.</w:t>
      </w:r>
    </w:p>
    <w:p>
      <w:pPr>
        <w:spacing w:after="0" w:line="77" w:lineRule="exact"/>
        <w:rPr>
          <w:rFonts w:ascii="Times New Roman" w:cs="Times New Roman" w:eastAsia="Times New Roman" w:hAnsi="Times New Roman"/>
          <w:sz w:val="17"/>
          <w:szCs w:val="17"/>
          <w:color w:val="auto"/>
        </w:rPr>
      </w:pPr>
    </w:p>
    <w:p>
      <w:pPr>
        <w:ind w:left="544" w:right="80" w:hanging="544"/>
        <w:spacing w:after="0" w:line="282" w:lineRule="auto"/>
        <w:tabs>
          <w:tab w:leader="none" w:pos="54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of utilising the Agent’s management time or other resources shall include, without limitation, any such costs in connection with Clause 26.2 (</w:t>
      </w:r>
      <w:r>
        <w:rPr>
          <w:rFonts w:ascii="Times New Roman" w:cs="Times New Roman" w:eastAsia="Times New Roman" w:hAnsi="Times New Roman"/>
          <w:sz w:val="18"/>
          <w:szCs w:val="18"/>
          <w:i w:val="1"/>
          <w:iCs w:val="1"/>
          <w:color w:val="auto"/>
        </w:rPr>
        <w:t>Disenfranchisement of Sponsor Affiliates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24"/>
          </w:cols>
          <w:pgMar w:left="436" w:top="270"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28.19  Deduction from amounts payable by the Agent or Security Agent</w:t>
      </w:r>
    </w:p>
    <w:p>
      <w:pPr>
        <w:spacing w:after="0" w:line="121"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18"/>
          <w:szCs w:val="18"/>
          <w:color w:val="auto"/>
        </w:rPr>
        <w:t>If any Party owes an amount to the Agent or the Security Agent under the Finance Documents the Agent or the Security Agent (as the case may be) may, after giving notice to that Party, deduct an amount not exceeding that amount from any payment to that Party which the Agent or the Security Agent (as the case may be)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28.20  Reliance and engagement letters</w:t>
      </w:r>
    </w:p>
    <w:p>
      <w:pPr>
        <w:spacing w:after="0" w:line="121" w:lineRule="exact"/>
        <w:rPr>
          <w:sz w:val="20"/>
          <w:szCs w:val="20"/>
          <w:color w:val="auto"/>
        </w:rPr>
      </w:pPr>
    </w:p>
    <w:p>
      <w:pPr>
        <w:ind w:left="540" w:right="60"/>
        <w:spacing w:after="0" w:line="256" w:lineRule="auto"/>
        <w:rPr>
          <w:sz w:val="20"/>
          <w:szCs w:val="20"/>
          <w:color w:val="auto"/>
        </w:rPr>
      </w:pPr>
      <w:r>
        <w:rPr>
          <w:rFonts w:ascii="Times New Roman" w:cs="Times New Roman" w:eastAsia="Times New Roman" w:hAnsi="Times New Roman"/>
          <w:sz w:val="18"/>
          <w:szCs w:val="18"/>
          <w:color w:val="auto"/>
        </w:rPr>
        <w:t>Each Finance Party and Secured Party confirms that each of the Global Coordinators, the MLABs, the MLAs, the Agent, the Account Bank and the Security Agent has authority to accept on its behalf (and ratifies the acceptance on its behalf of any letters or reports already accepted by the Global Coordinators, the MLABs, the MLAs, the Agent, the Account Bank or the Security Agent) the terms of any reliance letter or engagement letters relating to any reports or letters provided by accountants, auditors or providers of due diligence reports in connection with the Finance Documents or the transactions contemplated in the Finance Documents and to bind it in respect of those reports or letters and to sign such letters on its behalf and further confirms that it accepts the terms and qualifications set out in such letters.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28.21  No responsibility to perfect Transaction Security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Security Agent shall not be liable for any failure to:</w:t>
      </w:r>
    </w:p>
    <w:p>
      <w:pPr>
        <w:spacing w:after="0" w:line="131" w:lineRule="exact"/>
        <w:rPr>
          <w:sz w:val="20"/>
          <w:szCs w:val="20"/>
          <w:color w:val="auto"/>
        </w:rPr>
      </w:pPr>
    </w:p>
    <w:p>
      <w:pPr>
        <w:ind w:left="1180" w:right="40" w:hanging="644"/>
        <w:spacing w:after="0" w:line="282" w:lineRule="auto"/>
        <w:tabs>
          <w:tab w:leader="none" w:pos="11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deposit with it of any deed or document certifying, representing or constituting the title of any Obligor to any of the Charged Property;</w:t>
      </w:r>
    </w:p>
    <w:p>
      <w:pPr>
        <w:spacing w:after="0" w:line="67" w:lineRule="exact"/>
        <w:rPr>
          <w:rFonts w:ascii="Times New Roman" w:cs="Times New Roman" w:eastAsia="Times New Roman" w:hAnsi="Times New Roman"/>
          <w:sz w:val="18"/>
          <w:szCs w:val="18"/>
          <w:color w:val="auto"/>
        </w:rPr>
      </w:pPr>
    </w:p>
    <w:p>
      <w:pPr>
        <w:ind w:left="1180" w:right="80" w:hanging="644"/>
        <w:spacing w:after="0" w:line="282" w:lineRule="auto"/>
        <w:tabs>
          <w:tab w:leader="none" w:pos="11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any licence, consent or other authority for the execution, delivery, legality, validity, enforceability or admissibility in evidence of any Finance Document or the Transaction Security;</w:t>
      </w:r>
    </w:p>
    <w:p>
      <w:pPr>
        <w:spacing w:after="0" w:line="67" w:lineRule="exact"/>
        <w:rPr>
          <w:rFonts w:ascii="Times New Roman" w:cs="Times New Roman" w:eastAsia="Times New Roman" w:hAnsi="Times New Roman"/>
          <w:sz w:val="18"/>
          <w:szCs w:val="18"/>
          <w:color w:val="auto"/>
        </w:rPr>
      </w:pPr>
    </w:p>
    <w:p>
      <w:pPr>
        <w:ind w:left="1180" w:right="80" w:hanging="644"/>
        <w:spacing w:after="0" w:line="282" w:lineRule="auto"/>
        <w:tabs>
          <w:tab w:leader="none" w:pos="11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file or record or otherwise protect any of the Transaction Security (or the priority of any of the Transaction Security) under any law or regulation or to give notice to any person of the execution of any Finance Document or of the Transaction Security;</w:t>
      </w:r>
    </w:p>
    <w:p>
      <w:pPr>
        <w:spacing w:after="0" w:line="67" w:lineRule="exact"/>
        <w:rPr>
          <w:rFonts w:ascii="Times New Roman" w:cs="Times New Roman" w:eastAsia="Times New Roman" w:hAnsi="Times New Roman"/>
          <w:sz w:val="18"/>
          <w:szCs w:val="18"/>
          <w:color w:val="auto"/>
        </w:rPr>
      </w:pPr>
    </w:p>
    <w:p>
      <w:pPr>
        <w:ind w:left="1180" w:right="220" w:hanging="644"/>
        <w:spacing w:after="0" w:line="282" w:lineRule="auto"/>
        <w:tabs>
          <w:tab w:leader="none" w:pos="11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to require any Obligor to take, any step to perfect its title to any of the Charged Property or to render the Transaction Security effective or to secure the creation of any ancillary Security under any law or regulation; or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further assurance in relation to any Security Document.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28.22  Custodians and nominees</w:t>
      </w:r>
    </w:p>
    <w:p>
      <w:pPr>
        <w:spacing w:after="0" w:line="121"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18"/>
          <w:szCs w:val="18"/>
          <w:color w:val="auto"/>
        </w:rPr>
        <w:t>The Security Agent may appoint and pay any person to act as a custodian or nominee on any terms in relation to any Charged Property as the Security Agent may determine, including for the purpose of depositing with a custodian this Agreement or any document relating to the Charged Property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w:t>
      </w:r>
    </w:p>
    <w:p>
      <w:pPr>
        <w:spacing w:after="0" w:line="116"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20"/>
          </w:cols>
          <w:pgMar w:left="440" w:top="266" w:right="439" w:bottom="1440" w:gutter="0" w:footer="0" w:header="0"/>
        </w:sectPr>
      </w:pPr>
    </w:p>
    <w:bookmarkStart w:id="135" w:name="page136"/>
    <w:bookmarkEnd w:id="13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28.23  Insurance by Security Agent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Security Agent shall not be obliged:</w:t>
      </w:r>
    </w:p>
    <w:p>
      <w:pPr>
        <w:spacing w:after="0" w:line="131" w:lineRule="exact"/>
        <w:rPr>
          <w:sz w:val="20"/>
          <w:szCs w:val="20"/>
          <w:color w:val="auto"/>
        </w:rPr>
      </w:pPr>
    </w:p>
    <w:p>
      <w:pPr>
        <w:ind w:left="1184" w:hanging="644"/>
        <w:spacing w:after="0"/>
        <w:tabs>
          <w:tab w:leader="none" w:pos="118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insure any of the Charged Property;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any other person to maintain any insurance;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verify any obligation to arrange or maintain insurance contained in any Finance Document,</w:t>
      </w:r>
    </w:p>
    <w:p>
      <w:pPr>
        <w:spacing w:after="0" w:line="117" w:lineRule="exact"/>
        <w:rPr>
          <w:sz w:val="20"/>
          <w:szCs w:val="20"/>
          <w:color w:val="auto"/>
        </w:rPr>
      </w:pPr>
    </w:p>
    <w:p>
      <w:pPr>
        <w:ind w:left="544" w:right="340"/>
        <w:spacing w:after="0" w:line="282" w:lineRule="auto"/>
        <w:rPr>
          <w:sz w:val="20"/>
          <w:szCs w:val="20"/>
          <w:color w:val="auto"/>
        </w:rPr>
      </w:pPr>
      <w:r>
        <w:rPr>
          <w:rFonts w:ascii="Times New Roman" w:cs="Times New Roman" w:eastAsia="Times New Roman" w:hAnsi="Times New Roman"/>
          <w:sz w:val="18"/>
          <w:szCs w:val="18"/>
          <w:color w:val="auto"/>
        </w:rPr>
        <w:t>and the Security Agent shall not be liable for any damages, costs or losses to any person as a result of the lack of, or inadequacy of, any such insurance.</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28.24  Delegation by the Security Agent</w:t>
      </w:r>
    </w:p>
    <w:p>
      <w:pPr>
        <w:spacing w:after="0" w:line="135" w:lineRule="exact"/>
        <w:rPr>
          <w:sz w:val="20"/>
          <w:szCs w:val="20"/>
          <w:color w:val="auto"/>
        </w:rPr>
      </w:pPr>
    </w:p>
    <w:p>
      <w:pPr>
        <w:ind w:left="544" w:right="220" w:hanging="544"/>
        <w:spacing w:after="0" w:line="282" w:lineRule="auto"/>
        <w:tabs>
          <w:tab w:leader="none" w:pos="544"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Security Agent, any Receiver and any Delegate may, at any time, delegate by power of attorney or otherwise to any person for any period, all or any right, power, authority or discretion vested in it in its capacity as such.</w:t>
      </w:r>
    </w:p>
    <w:p>
      <w:pPr>
        <w:spacing w:after="0" w:line="67" w:lineRule="exact"/>
        <w:rPr>
          <w:rFonts w:ascii="Times New Roman" w:cs="Times New Roman" w:eastAsia="Times New Roman" w:hAnsi="Times New Roman"/>
          <w:sz w:val="18"/>
          <w:szCs w:val="18"/>
          <w:color w:val="auto"/>
        </w:rPr>
      </w:pPr>
    </w:p>
    <w:p>
      <w:pPr>
        <w:jc w:val="both"/>
        <w:ind w:left="544" w:right="580" w:hanging="544"/>
        <w:spacing w:after="0" w:line="312" w:lineRule="auto"/>
        <w:tabs>
          <w:tab w:leader="none" w:pos="544" w:val="left"/>
        </w:tabs>
        <w:numPr>
          <w:ilvl w:val="0"/>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delegation may be made upon any terms and conditions (including the power to sub-delegate) and subject to any restrictions that the Security Agent, that Receiver or that Delegate (as the case may be), may, in its discretion, think fit in the interests of the Secured Parties.</w:t>
      </w:r>
    </w:p>
    <w:p>
      <w:pPr>
        <w:spacing w:after="0" w:line="45" w:lineRule="exact"/>
        <w:rPr>
          <w:rFonts w:ascii="Times New Roman" w:cs="Times New Roman" w:eastAsia="Times New Roman" w:hAnsi="Times New Roman"/>
          <w:sz w:val="17"/>
          <w:szCs w:val="17"/>
          <w:color w:val="auto"/>
        </w:rPr>
      </w:pPr>
    </w:p>
    <w:p>
      <w:pPr>
        <w:ind w:left="544" w:right="140" w:hanging="544"/>
        <w:spacing w:after="0" w:line="282" w:lineRule="auto"/>
        <w:tabs>
          <w:tab w:leader="none" w:pos="544"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Security Agent, Receiver or Delegate shall be bound to supervise, or be in any way responsible for any damages, costs or losses incurred by reason of any misconduct, omission or default on the part of, any such delegate or sub-delegate.</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28.25  Additional Security Agents</w:t>
      </w:r>
    </w:p>
    <w:p>
      <w:pPr>
        <w:spacing w:after="0" w:line="135" w:lineRule="exact"/>
        <w:rPr>
          <w:sz w:val="20"/>
          <w:szCs w:val="20"/>
          <w:color w:val="auto"/>
        </w:rPr>
      </w:pPr>
    </w:p>
    <w:p>
      <w:pPr>
        <w:ind w:left="544" w:hanging="544"/>
        <w:spacing w:after="0"/>
        <w:tabs>
          <w:tab w:leader="none" w:pos="544"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may at any time appoint (and subsequently remove) any person to act as a separate trustee or as a co-trustee jointly with it: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considers that appointment to be in the interests of the Secured Parties;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conforming to any legal requirement, restriction or condition which the Security Agent deems to be relevant;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obtaining or enforcing any judgment in any jurisdiction,</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and the Security Agent shall give prior notice to the Company and the Secured Parties of that appointment.</w:t>
      </w:r>
    </w:p>
    <w:p>
      <w:pPr>
        <w:spacing w:after="0" w:line="131" w:lineRule="exact"/>
        <w:rPr>
          <w:sz w:val="20"/>
          <w:szCs w:val="20"/>
          <w:color w:val="auto"/>
        </w:rPr>
      </w:pPr>
    </w:p>
    <w:p>
      <w:pPr>
        <w:ind w:left="544" w:right="220" w:hanging="544"/>
        <w:spacing w:after="0" w:line="266" w:lineRule="auto"/>
        <w:tabs>
          <w:tab w:leader="none" w:pos="544"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so appointed shall have the rights, powers, authorities and discretions (not exceeding those given to the Security Agent under or in connection with the Finance Documents) and the duties, obligations and responsibilities that are given or imposed by the instrument of appointment.</w:t>
      </w:r>
    </w:p>
    <w:p>
      <w:pPr>
        <w:spacing w:after="0" w:line="81" w:lineRule="exact"/>
        <w:rPr>
          <w:rFonts w:ascii="Times New Roman" w:cs="Times New Roman" w:eastAsia="Times New Roman" w:hAnsi="Times New Roman"/>
          <w:sz w:val="18"/>
          <w:szCs w:val="18"/>
          <w:color w:val="auto"/>
        </w:rPr>
      </w:pPr>
    </w:p>
    <w:p>
      <w:pPr>
        <w:ind w:left="544" w:right="80" w:hanging="544"/>
        <w:spacing w:after="0" w:line="312" w:lineRule="auto"/>
        <w:tabs>
          <w:tab w:leader="none" w:pos="544" w:val="left"/>
        </w:tabs>
        <w:numPr>
          <w:ilvl w:val="0"/>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remuneration that the Security Agent may pay to that person, and any costs and expenses incurred by that person in performing its functions pursuant to that appointment shall, for the purposes of this Agreement, be treated as costs and expenses incurred by the Security Agent.</w:t>
      </w:r>
    </w:p>
    <w:p>
      <w:pPr>
        <w:spacing w:after="0" w:line="7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24"/>
          </w:cols>
          <w:pgMar w:left="436" w:top="266" w:right="439" w:bottom="1440" w:gutter="0" w:footer="0" w:header="0"/>
        </w:sectPr>
      </w:pPr>
    </w:p>
    <w:bookmarkStart w:id="136" w:name="page137"/>
    <w:bookmarkEnd w:id="13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28.26  Acceptance of title</w:t>
      </w:r>
    </w:p>
    <w:p>
      <w:pPr>
        <w:spacing w:after="0" w:line="121" w:lineRule="exact"/>
        <w:rPr>
          <w:sz w:val="20"/>
          <w:szCs w:val="20"/>
          <w:color w:val="auto"/>
        </w:rPr>
      </w:pPr>
    </w:p>
    <w:p>
      <w:pPr>
        <w:ind w:left="544" w:right="260"/>
        <w:spacing w:after="0" w:line="282" w:lineRule="auto"/>
        <w:rPr>
          <w:sz w:val="20"/>
          <w:szCs w:val="20"/>
          <w:color w:val="auto"/>
        </w:rPr>
      </w:pPr>
      <w:r>
        <w:rPr>
          <w:rFonts w:ascii="Times New Roman" w:cs="Times New Roman" w:eastAsia="Times New Roman" w:hAnsi="Times New Roman"/>
          <w:sz w:val="18"/>
          <w:szCs w:val="18"/>
          <w:color w:val="auto"/>
        </w:rPr>
        <w:t>The Security Agent shall be entitled to accept without enquiry, and shall not be obliged to investigate, any right and title that any Obligor may have to any of the Charged Property and shall not be liable for, or bound to require any Obligor to remedy, any defect in its right or title.</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28.27  Winding up of security agent arrangements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the Security Agent, with the approval of the Agent, determines that:</w:t>
      </w:r>
    </w:p>
    <w:p>
      <w:pPr>
        <w:spacing w:after="0" w:line="131" w:lineRule="exact"/>
        <w:rPr>
          <w:sz w:val="20"/>
          <w:szCs w:val="20"/>
          <w:color w:val="auto"/>
        </w:rPr>
      </w:pPr>
    </w:p>
    <w:p>
      <w:pPr>
        <w:ind w:left="1184" w:hanging="644"/>
        <w:spacing w:after="0"/>
        <w:tabs>
          <w:tab w:leader="none" w:pos="118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Secured Liabilities and all other obligations secured by the Security Documents have been fully and finally discharged; and</w:t>
      </w:r>
    </w:p>
    <w:p>
      <w:pPr>
        <w:spacing w:after="0" w:line="130" w:lineRule="exact"/>
        <w:rPr>
          <w:rFonts w:ascii="Times New Roman" w:cs="Times New Roman" w:eastAsia="Times New Roman" w:hAnsi="Times New Roman"/>
          <w:sz w:val="18"/>
          <w:szCs w:val="18"/>
          <w:color w:val="auto"/>
        </w:rPr>
      </w:pPr>
    </w:p>
    <w:p>
      <w:pPr>
        <w:ind w:left="1184" w:right="320" w:hanging="644"/>
        <w:spacing w:after="0" w:line="282" w:lineRule="auto"/>
        <w:tabs>
          <w:tab w:leader="none" w:pos="118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Secured Party is under any commitment, obligation or liability (actual or contingent) to make advances or provide other financial accommodation to any Obligor pursuant to the Finance Documents,</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then:</w:t>
      </w:r>
    </w:p>
    <w:p>
      <w:pPr>
        <w:spacing w:after="0" w:line="131" w:lineRule="exact"/>
        <w:rPr>
          <w:sz w:val="20"/>
          <w:szCs w:val="20"/>
          <w:color w:val="auto"/>
        </w:rPr>
      </w:pPr>
    </w:p>
    <w:p>
      <w:pPr>
        <w:ind w:left="1744" w:right="120" w:hanging="543"/>
        <w:spacing w:after="0" w:line="266" w:lineRule="auto"/>
        <w:tabs>
          <w:tab w:leader="none" w:pos="174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arrangements and the trusts set out in this Agreement shall be wound up and the Security Agent shall release, without recourse or warranty, all of the Transaction Security and the rights of the Security Agent under each of the Security Documents; and</w:t>
      </w:r>
    </w:p>
    <w:p>
      <w:pPr>
        <w:spacing w:after="0" w:line="79" w:lineRule="exact"/>
        <w:rPr>
          <w:rFonts w:ascii="Times New Roman" w:cs="Times New Roman" w:eastAsia="Times New Roman" w:hAnsi="Times New Roman"/>
          <w:sz w:val="18"/>
          <w:szCs w:val="18"/>
          <w:color w:val="auto"/>
        </w:rPr>
      </w:pPr>
    </w:p>
    <w:p>
      <w:pPr>
        <w:ind w:left="1744" w:right="40" w:hanging="543"/>
        <w:spacing w:after="0" w:line="284" w:lineRule="auto"/>
        <w:tabs>
          <w:tab w:leader="none" w:pos="174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Agent which has resigned pursuant to Clause 28.13 (</w:t>
      </w:r>
      <w:r>
        <w:rPr>
          <w:rFonts w:ascii="Times New Roman" w:cs="Times New Roman" w:eastAsia="Times New Roman" w:hAnsi="Times New Roman"/>
          <w:sz w:val="18"/>
          <w:szCs w:val="18"/>
          <w:i w:val="1"/>
          <w:iCs w:val="1"/>
          <w:color w:val="auto"/>
        </w:rPr>
        <w:t>Resignation of the Agent and the Security Agent</w:t>
      </w:r>
      <w:r>
        <w:rPr>
          <w:rFonts w:ascii="Times New Roman" w:cs="Times New Roman" w:eastAsia="Times New Roman" w:hAnsi="Times New Roman"/>
          <w:sz w:val="18"/>
          <w:szCs w:val="18"/>
          <w:color w:val="auto"/>
        </w:rPr>
        <w:t>) shall release, without recourse or warranty, all of its rights under each Security Document.</w:t>
      </w:r>
    </w:p>
    <w:p>
      <w:pPr>
        <w:spacing w:after="0" w:line="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28.28  Powers supplemental to Trustee Acts</w:t>
      </w:r>
    </w:p>
    <w:p>
      <w:pPr>
        <w:spacing w:after="0" w:line="121" w:lineRule="exact"/>
        <w:rPr>
          <w:sz w:val="20"/>
          <w:szCs w:val="20"/>
          <w:color w:val="auto"/>
        </w:rPr>
      </w:pPr>
    </w:p>
    <w:p>
      <w:pPr>
        <w:ind w:left="544" w:right="440"/>
        <w:spacing w:after="0" w:line="266" w:lineRule="auto"/>
        <w:rPr>
          <w:sz w:val="20"/>
          <w:szCs w:val="20"/>
          <w:color w:val="auto"/>
        </w:rPr>
      </w:pPr>
      <w:r>
        <w:rPr>
          <w:rFonts w:ascii="Times New Roman" w:cs="Times New Roman" w:eastAsia="Times New Roman" w:hAnsi="Times New Roman"/>
          <w:sz w:val="18"/>
          <w:szCs w:val="18"/>
          <w:color w:val="auto"/>
        </w:rPr>
        <w:t>The rights, powers, authorities and discretions given to the Security Agent under or in connection with the Finance Documents shall be supplemental to the Trustee Act 1925 and the Trustee Act 2000 and in addition to any which may be vested in the Security Agent by law or regulation or otherwise.</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28.29  Disapplication of Trustee Acts</w:t>
      </w:r>
    </w:p>
    <w:p>
      <w:pPr>
        <w:spacing w:after="0" w:line="121" w:lineRule="exact"/>
        <w:rPr>
          <w:sz w:val="20"/>
          <w:szCs w:val="20"/>
          <w:color w:val="auto"/>
        </w:rPr>
      </w:pPr>
    </w:p>
    <w:p>
      <w:pPr>
        <w:ind w:left="544" w:right="120"/>
        <w:spacing w:after="0" w:line="261" w:lineRule="auto"/>
        <w:rPr>
          <w:sz w:val="20"/>
          <w:szCs w:val="20"/>
          <w:color w:val="auto"/>
        </w:rPr>
      </w:pPr>
      <w:r>
        <w:rPr>
          <w:rFonts w:ascii="Times New Roman" w:cs="Times New Roman" w:eastAsia="Times New Roman" w:hAnsi="Times New Roman"/>
          <w:sz w:val="18"/>
          <w:szCs w:val="18"/>
          <w:color w:val="auto"/>
        </w:rPr>
        <w:t>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permitted by law and regulation, prevail and, in the case of any inconsistency with the Trustee Act 2000, the provisions of this Agreement shall constitute a restriction or exclusion for the purposes of that Act.</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28.30  Account Bank</w:t>
      </w:r>
    </w:p>
    <w:p>
      <w:pPr>
        <w:spacing w:after="0" w:line="135" w:lineRule="exact"/>
        <w:rPr>
          <w:sz w:val="20"/>
          <w:szCs w:val="20"/>
          <w:color w:val="auto"/>
        </w:rPr>
      </w:pPr>
    </w:p>
    <w:p>
      <w:pPr>
        <w:ind w:left="544" w:hanging="544"/>
        <w:spacing w:after="0"/>
        <w:tabs>
          <w:tab w:leader="none" w:pos="54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or obligations of the Account Bank are limited to those set out in the Agreement or the Security Document (Closing).</w:t>
      </w:r>
    </w:p>
    <w:p>
      <w:pPr>
        <w:spacing w:after="0" w:line="130" w:lineRule="exact"/>
        <w:rPr>
          <w:rFonts w:ascii="Times New Roman" w:cs="Times New Roman" w:eastAsia="Times New Roman" w:hAnsi="Times New Roman"/>
          <w:sz w:val="18"/>
          <w:szCs w:val="18"/>
          <w:color w:val="auto"/>
        </w:rPr>
      </w:pPr>
    </w:p>
    <w:p>
      <w:pPr>
        <w:ind w:left="544" w:right="20" w:hanging="544"/>
        <w:spacing w:after="0" w:line="261" w:lineRule="auto"/>
        <w:tabs>
          <w:tab w:leader="none" w:pos="54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is not obliged to make any payment or otherwise act on a payment instruction until such instruction has been verified in accordance with the Account Bank’s customary procedures and policies concerning verification of account instructions. For the avoidance of doubt, the Parties agree that no call-back is required when instructions are delivered by electronic mail. The Account Bank is not obliged to do or omit to do anything if it would or might in its reasonable opinion be illegal or breach any internal policy or rules and the Account Bank.</w:t>
      </w:r>
    </w:p>
    <w:p>
      <w:pPr>
        <w:spacing w:after="0" w:line="11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24"/>
          </w:cols>
          <w:pgMar w:left="436" w:top="266" w:right="439" w:bottom="1440" w:gutter="0" w:footer="0" w:header="0"/>
        </w:sectPr>
      </w:pPr>
    </w:p>
    <w:bookmarkStart w:id="137" w:name="page138"/>
    <w:bookmarkEnd w:id="137"/>
    <w:p>
      <w:pPr>
        <w:ind w:left="544" w:right="20" w:hanging="544"/>
        <w:spacing w:after="0" w:line="266" w:lineRule="auto"/>
        <w:tabs>
          <w:tab w:leader="none" w:pos="54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Account bank may resign on giving 90 Business Days’ notice to the Agent and the Borrower. To the extent the Borrower and the Agent have not appointed a replacement account bank within 30 days of the date of the Account Bank’s resignation notice, the Account Bank may appoint such replacement.</w:t>
      </w:r>
    </w:p>
    <w:p>
      <w:pPr>
        <w:spacing w:after="0" w:line="81" w:lineRule="exact"/>
        <w:rPr>
          <w:rFonts w:ascii="Times New Roman" w:cs="Times New Roman" w:eastAsia="Times New Roman" w:hAnsi="Times New Roman"/>
          <w:sz w:val="18"/>
          <w:szCs w:val="18"/>
          <w:color w:val="auto"/>
        </w:rPr>
      </w:pPr>
    </w:p>
    <w:p>
      <w:pPr>
        <w:jc w:val="both"/>
        <w:ind w:left="544" w:right="200" w:hanging="544"/>
        <w:spacing w:after="0" w:line="266" w:lineRule="auto"/>
        <w:tabs>
          <w:tab w:leader="none" w:pos="54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the Borrower or the Agent (acting on the instructions of the Majority Lenders) may require the Account Bank to resign on giving 90 Business Days’ notice to the Account Bank, in which case the Borrower shall liable for payment of costs, expenses and fees incurred by the Account Bank as result of such retirement and replacement of Account Bank.</w:t>
      </w:r>
    </w:p>
    <w:p>
      <w:pPr>
        <w:spacing w:after="0" w:line="81" w:lineRule="exact"/>
        <w:rPr>
          <w:rFonts w:ascii="Times New Roman" w:cs="Times New Roman" w:eastAsia="Times New Roman" w:hAnsi="Times New Roman"/>
          <w:sz w:val="18"/>
          <w:szCs w:val="18"/>
          <w:color w:val="auto"/>
        </w:rPr>
      </w:pPr>
    </w:p>
    <w:p>
      <w:pPr>
        <w:ind w:left="544" w:right="240" w:hanging="544"/>
        <w:spacing w:after="0" w:line="312" w:lineRule="auto"/>
        <w:tabs>
          <w:tab w:leader="none" w:pos="544" w:val="left"/>
        </w:tabs>
        <w:numPr>
          <w:ilvl w:val="0"/>
          <w:numId w:val="3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legal entity into which the Account Bank is merged or converted or any legal entity resulting from any merger or conversion to which the Account Bank is a party shall, to the extent permitted by applicable law, be the successor to the Account Bank without any further formality.</w:t>
      </w:r>
    </w:p>
    <w:p>
      <w:pPr>
        <w:spacing w:after="0" w:line="45" w:lineRule="exact"/>
        <w:rPr>
          <w:rFonts w:ascii="Times New Roman" w:cs="Times New Roman" w:eastAsia="Times New Roman" w:hAnsi="Times New Roman"/>
          <w:sz w:val="17"/>
          <w:szCs w:val="17"/>
          <w:color w:val="auto"/>
        </w:rPr>
      </w:pPr>
    </w:p>
    <w:p>
      <w:pPr>
        <w:ind w:left="544" w:right="80" w:hanging="544"/>
        <w:spacing w:after="0" w:line="261" w:lineRule="auto"/>
        <w:tabs>
          <w:tab w:leader="none" w:pos="54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the provisions of (x) this Agreement or the Security Document (Closing) and (y) an Account Bank mandate letter or standard account opening terms (if any and as applicable), or any other agreement relating to the Interest Reserve Accounts between the Borrower and the Account Bank, the terms and conditions of this Agreement or the Security Document (Closing) shall prevail, rule and govern between the Parties.</w:t>
      </w:r>
    </w:p>
    <w:p>
      <w:pPr>
        <w:spacing w:after="0" w:line="85" w:lineRule="exact"/>
        <w:rPr>
          <w:rFonts w:ascii="Times New Roman" w:cs="Times New Roman" w:eastAsia="Times New Roman" w:hAnsi="Times New Roman"/>
          <w:sz w:val="18"/>
          <w:szCs w:val="18"/>
          <w:color w:val="auto"/>
        </w:rPr>
      </w:pPr>
    </w:p>
    <w:p>
      <w:pPr>
        <w:ind w:left="544" w:right="60" w:hanging="544"/>
        <w:spacing w:after="0" w:line="258" w:lineRule="auto"/>
        <w:tabs>
          <w:tab w:leader="none" w:pos="54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appoints the Account Bank as the bank with which it will maintain each of the Interest Reserve Accounts. Each of the Interest Reserve Accounts shall be located in the same country as the jurisdiction of incorporation of the Account Bank and the Account Bank will operate each of the Interest Reserve Accounts from the location of the Account Bank. The Account Bank and each of the Interest Reserve Accounts shall be located in the same jurisdiction and the Account Bank is not permitted to operate any of the Interest Reserve Accounts located outside the jurisdiction of its incorporation.</w:t>
      </w:r>
    </w:p>
    <w:p>
      <w:pPr>
        <w:spacing w:after="0" w:line="88" w:lineRule="exact"/>
        <w:rPr>
          <w:rFonts w:ascii="Times New Roman" w:cs="Times New Roman" w:eastAsia="Times New Roman" w:hAnsi="Times New Roman"/>
          <w:sz w:val="18"/>
          <w:szCs w:val="18"/>
          <w:color w:val="auto"/>
        </w:rPr>
      </w:pPr>
    </w:p>
    <w:p>
      <w:pPr>
        <w:ind w:left="544" w:right="240" w:hanging="544"/>
        <w:spacing w:after="0" w:line="282" w:lineRule="auto"/>
        <w:tabs>
          <w:tab w:leader="none" w:pos="54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create or designate any new additional bank accounts as an Interest Reserve Account, without the consent of the Agent (acting on the instructions of the Majority Lenders).</w:t>
      </w:r>
    </w:p>
    <w:p>
      <w:pPr>
        <w:spacing w:after="0" w:line="67" w:lineRule="exact"/>
        <w:rPr>
          <w:rFonts w:ascii="Times New Roman" w:cs="Times New Roman" w:eastAsia="Times New Roman" w:hAnsi="Times New Roman"/>
          <w:sz w:val="18"/>
          <w:szCs w:val="18"/>
          <w:color w:val="auto"/>
        </w:rPr>
      </w:pPr>
    </w:p>
    <w:p>
      <w:pPr>
        <w:ind w:left="544" w:right="260" w:hanging="544"/>
        <w:spacing w:after="0" w:line="282" w:lineRule="auto"/>
        <w:tabs>
          <w:tab w:leader="none" w:pos="54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Account Bank is not under any duty or obligation to ensure that any Interest Reserve Amount is maintained or that any withdrawal would result in any Interest Reserve Amount not being maintained.</w:t>
      </w:r>
    </w:p>
    <w:p>
      <w:pPr>
        <w:spacing w:after="0" w:line="67" w:lineRule="exact"/>
        <w:rPr>
          <w:rFonts w:ascii="Times New Roman" w:cs="Times New Roman" w:eastAsia="Times New Roman" w:hAnsi="Times New Roman"/>
          <w:sz w:val="18"/>
          <w:szCs w:val="18"/>
          <w:color w:val="auto"/>
        </w:rPr>
      </w:pPr>
    </w:p>
    <w:p>
      <w:pPr>
        <w:ind w:left="544" w:right="220" w:hanging="544"/>
        <w:spacing w:after="0" w:line="282" w:lineRule="auto"/>
        <w:tabs>
          <w:tab w:leader="none" w:pos="54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Secured Liabilities have been repaid in full and no Commitment is in force any longer, the Borrower shall notify the Account Bank to close each of the Interest Reserve Accounts, with a confirmation signed by the Agent to this effect.</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24"/>
          </w:cols>
          <w:pgMar w:left="436" w:top="270" w:right="439" w:bottom="1440" w:gutter="0" w:footer="0" w:header="0"/>
        </w:sectPr>
      </w:pPr>
    </w:p>
    <w:bookmarkStart w:id="138" w:name="page139"/>
    <w:bookmarkEnd w:id="138"/>
    <w:p>
      <w:pPr>
        <w:ind w:left="4" w:right="7920" w:hanging="4"/>
        <w:spacing w:after="0" w:line="384" w:lineRule="auto"/>
        <w:tabs>
          <w:tab w:leader="none" w:pos="544"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APPLICATION OF PROCEEDS 29.1 Order of application</w:t>
      </w:r>
    </w:p>
    <w:p>
      <w:pPr>
        <w:spacing w:after="0" w:line="1" w:lineRule="exact"/>
        <w:rPr>
          <w:sz w:val="20"/>
          <w:szCs w:val="20"/>
          <w:color w:val="auto"/>
        </w:rPr>
      </w:pPr>
    </w:p>
    <w:p>
      <w:pPr>
        <w:jc w:val="both"/>
        <w:ind w:left="544" w:right="80"/>
        <w:spacing w:after="0" w:line="261" w:lineRule="auto"/>
        <w:rPr>
          <w:sz w:val="20"/>
          <w:szCs w:val="20"/>
          <w:color w:val="auto"/>
        </w:rPr>
      </w:pPr>
      <w:r>
        <w:rPr>
          <w:rFonts w:ascii="Times New Roman" w:cs="Times New Roman" w:eastAsia="Times New Roman" w:hAnsi="Times New Roman"/>
          <w:sz w:val="18"/>
          <w:szCs w:val="18"/>
          <w:color w:val="auto"/>
        </w:rPr>
        <w:t>Subject to Clause 29.2 (</w:t>
      </w:r>
      <w:r>
        <w:rPr>
          <w:rFonts w:ascii="Times New Roman" w:cs="Times New Roman" w:eastAsia="Times New Roman" w:hAnsi="Times New Roman"/>
          <w:sz w:val="18"/>
          <w:szCs w:val="18"/>
          <w:i w:val="1"/>
          <w:iCs w:val="1"/>
          <w:color w:val="auto"/>
        </w:rPr>
        <w:t>Prospective liabilities</w:t>
      </w:r>
      <w:r>
        <w:rPr>
          <w:rFonts w:ascii="Times New Roman" w:cs="Times New Roman" w:eastAsia="Times New Roman" w:hAnsi="Times New Roman"/>
          <w:sz w:val="18"/>
          <w:szCs w:val="18"/>
          <w:color w:val="auto"/>
        </w:rPr>
        <w:t>), all amounts from time to time received or recovered by the Security Agent pursuant to the terms of any Finance Document or in connection with the realisation or enforcement of all or any part of the Transaction Security (for the purposes of this Clause 29, the “</w:t>
      </w:r>
      <w:r>
        <w:rPr>
          <w:rFonts w:ascii="Times New Roman" w:cs="Times New Roman" w:eastAsia="Times New Roman" w:hAnsi="Times New Roman"/>
          <w:sz w:val="18"/>
          <w:szCs w:val="18"/>
          <w:b w:val="1"/>
          <w:bCs w:val="1"/>
          <w:color w:val="auto"/>
        </w:rPr>
        <w:t>Recoveries</w:t>
      </w:r>
      <w:r>
        <w:rPr>
          <w:rFonts w:ascii="Times New Roman" w:cs="Times New Roman" w:eastAsia="Times New Roman" w:hAnsi="Times New Roman"/>
          <w:sz w:val="18"/>
          <w:szCs w:val="18"/>
          <w:color w:val="auto"/>
        </w:rPr>
        <w:t>”) shall be held by the Security Agent for application at any time as the Security Agent (in its discretion) sees fit, to the extent permitted by applicable law (and subject to the provisions of this Clause 29), in the following order:</w:t>
      </w:r>
    </w:p>
    <w:p>
      <w:pPr>
        <w:spacing w:after="0" w:line="87" w:lineRule="exact"/>
        <w:rPr>
          <w:sz w:val="20"/>
          <w:szCs w:val="20"/>
          <w:color w:val="auto"/>
        </w:rPr>
      </w:pPr>
    </w:p>
    <w:p>
      <w:pPr>
        <w:ind w:left="1184" w:hanging="644"/>
        <w:spacing w:after="0"/>
        <w:tabs>
          <w:tab w:leader="none" w:pos="118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discharging any sums owing to the Security Agent, any Receiver or any Delegate;</w:t>
      </w:r>
    </w:p>
    <w:p>
      <w:pPr>
        <w:spacing w:after="0" w:line="130" w:lineRule="exact"/>
        <w:rPr>
          <w:rFonts w:ascii="Times New Roman" w:cs="Times New Roman" w:eastAsia="Times New Roman" w:hAnsi="Times New Roman"/>
          <w:sz w:val="18"/>
          <w:szCs w:val="18"/>
          <w:color w:val="auto"/>
        </w:rPr>
      </w:pPr>
    </w:p>
    <w:p>
      <w:pPr>
        <w:ind w:left="1184" w:right="220" w:hanging="644"/>
        <w:spacing w:after="0" w:line="282" w:lineRule="auto"/>
        <w:tabs>
          <w:tab w:leader="none" w:pos="118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payment of all costs and expenses incurred by the Agent or any Secured Party in connection with any realisation or enforcement of the Transaction Security taken in accordance with the terms of this Agreement; and</w:t>
      </w:r>
    </w:p>
    <w:p>
      <w:pPr>
        <w:spacing w:after="0" w:line="6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payment to the Agent for application in accordance with Clause 32.6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29.2</w:t>
      </w:r>
      <w:r>
        <w:rPr>
          <w:sz w:val="20"/>
          <w:szCs w:val="20"/>
          <w:color w:val="auto"/>
        </w:rPr>
        <w:tab/>
      </w:r>
      <w:r>
        <w:rPr>
          <w:rFonts w:ascii="Times New Roman" w:cs="Times New Roman" w:eastAsia="Times New Roman" w:hAnsi="Times New Roman"/>
          <w:sz w:val="17"/>
          <w:szCs w:val="17"/>
          <w:b w:val="1"/>
          <w:bCs w:val="1"/>
          <w:color w:val="auto"/>
        </w:rPr>
        <w:t>Prospective liabilities</w:t>
      </w:r>
    </w:p>
    <w:p>
      <w:pPr>
        <w:spacing w:after="0" w:line="121" w:lineRule="exact"/>
        <w:rPr>
          <w:sz w:val="20"/>
          <w:szCs w:val="20"/>
          <w:color w:val="auto"/>
        </w:rPr>
      </w:pPr>
    </w:p>
    <w:p>
      <w:pPr>
        <w:ind w:left="544" w:right="160"/>
        <w:spacing w:after="0" w:line="261" w:lineRule="auto"/>
        <w:rPr>
          <w:sz w:val="20"/>
          <w:szCs w:val="20"/>
          <w:color w:val="auto"/>
        </w:rPr>
      </w:pPr>
      <w:r>
        <w:rPr>
          <w:rFonts w:ascii="Times New Roman" w:cs="Times New Roman" w:eastAsia="Times New Roman" w:hAnsi="Times New Roman"/>
          <w:sz w:val="18"/>
          <w:szCs w:val="18"/>
          <w:color w:val="auto"/>
        </w:rPr>
        <w:t>Following enforcement of any of the Transaction Security the Security Agent may, in its discretion, hold any amount of the Recoveries in an interest bearing suspense or impersonal account(s) in the name of the Security Agent with such financial institution (including itself) and for so long as the Security Agent shall think fit (the interest being credited to the relevant account) for later application under Clause 29.1 (</w:t>
      </w:r>
      <w:r>
        <w:rPr>
          <w:rFonts w:ascii="Times New Roman" w:cs="Times New Roman" w:eastAsia="Times New Roman" w:hAnsi="Times New Roman"/>
          <w:sz w:val="18"/>
          <w:szCs w:val="18"/>
          <w:i w:val="1"/>
          <w:iCs w:val="1"/>
          <w:color w:val="auto"/>
        </w:rPr>
        <w:t>Order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application</w:t>
      </w:r>
      <w:r>
        <w:rPr>
          <w:rFonts w:ascii="Times New Roman" w:cs="Times New Roman" w:eastAsia="Times New Roman" w:hAnsi="Times New Roman"/>
          <w:sz w:val="18"/>
          <w:szCs w:val="18"/>
          <w:color w:val="auto"/>
        </w:rPr>
        <w:t>) in respect of:</w:t>
      </w:r>
    </w:p>
    <w:p>
      <w:pPr>
        <w:spacing w:after="0" w:line="85" w:lineRule="exact"/>
        <w:rPr>
          <w:sz w:val="20"/>
          <w:szCs w:val="20"/>
          <w:color w:val="auto"/>
        </w:rPr>
      </w:pPr>
    </w:p>
    <w:p>
      <w:pPr>
        <w:ind w:left="1184" w:hanging="644"/>
        <w:spacing w:after="0"/>
        <w:tabs>
          <w:tab w:leader="none" w:pos="118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to the Security Agent, any Receiver or any Delegate;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 of the Secured Liabilities,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that the Security Agent reasonably considers, in each case, might become due or owing at any time in the future.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29.3</w:t>
      </w:r>
      <w:r>
        <w:rPr>
          <w:sz w:val="20"/>
          <w:szCs w:val="20"/>
          <w:color w:val="auto"/>
        </w:rPr>
        <w:tab/>
      </w:r>
      <w:r>
        <w:rPr>
          <w:rFonts w:ascii="Times New Roman" w:cs="Times New Roman" w:eastAsia="Times New Roman" w:hAnsi="Times New Roman"/>
          <w:sz w:val="17"/>
          <w:szCs w:val="17"/>
          <w:b w:val="1"/>
          <w:bCs w:val="1"/>
          <w:color w:val="auto"/>
        </w:rPr>
        <w:t>Investment of proceeds</w:t>
      </w:r>
    </w:p>
    <w:p>
      <w:pPr>
        <w:spacing w:after="0" w:line="119" w:lineRule="exact"/>
        <w:rPr>
          <w:sz w:val="20"/>
          <w:szCs w:val="20"/>
          <w:color w:val="auto"/>
        </w:rPr>
      </w:pPr>
    </w:p>
    <w:p>
      <w:pPr>
        <w:ind w:left="544" w:right="20"/>
        <w:spacing w:after="0" w:line="258" w:lineRule="auto"/>
        <w:rPr>
          <w:sz w:val="20"/>
          <w:szCs w:val="20"/>
          <w:color w:val="auto"/>
        </w:rPr>
      </w:pPr>
      <w:r>
        <w:rPr>
          <w:rFonts w:ascii="Times New Roman" w:cs="Times New Roman" w:eastAsia="Times New Roman" w:hAnsi="Times New Roman"/>
          <w:sz w:val="18"/>
          <w:szCs w:val="18"/>
          <w:color w:val="auto"/>
        </w:rPr>
        <w:t>Prior to the application of the proceeds of the Recoveries in accordance with Clause 29.1 (</w:t>
      </w:r>
      <w:r>
        <w:rPr>
          <w:rFonts w:ascii="Times New Roman" w:cs="Times New Roman" w:eastAsia="Times New Roman" w:hAnsi="Times New Roman"/>
          <w:sz w:val="18"/>
          <w:szCs w:val="18"/>
          <w:i w:val="1"/>
          <w:iCs w:val="1"/>
          <w:color w:val="auto"/>
        </w:rPr>
        <w:t>Order of application</w:t>
      </w:r>
      <w:r>
        <w:rPr>
          <w:rFonts w:ascii="Times New Roman" w:cs="Times New Roman" w:eastAsia="Times New Roman" w:hAnsi="Times New Roman"/>
          <w:sz w:val="18"/>
          <w:szCs w:val="18"/>
          <w:color w:val="auto"/>
        </w:rPr>
        <w:t>) the Security Agent may, in its discretion, hold all or part of those proceeds in an interest bearing suspense or impersonal account(s) in the name of the Security Agent with such financial institution (including itself) and for so long as the Security Agent shall think fit (the interest being credited to the relevant account) pending the application from time to time of those moneys in the Security Agent’s discretion in accordance with the provisions of this Clause 29.3.</w:t>
      </w:r>
    </w:p>
    <w:p>
      <w:pPr>
        <w:spacing w:after="0" w:line="8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29.4</w:t>
      </w:r>
      <w:r>
        <w:rPr>
          <w:sz w:val="20"/>
          <w:szCs w:val="20"/>
          <w:color w:val="auto"/>
        </w:rPr>
        <w:tab/>
      </w:r>
      <w:r>
        <w:rPr>
          <w:rFonts w:ascii="Times New Roman" w:cs="Times New Roman" w:eastAsia="Times New Roman" w:hAnsi="Times New Roman"/>
          <w:sz w:val="17"/>
          <w:szCs w:val="17"/>
          <w:b w:val="1"/>
          <w:bCs w:val="1"/>
          <w:color w:val="auto"/>
        </w:rPr>
        <w:t>Currency Conversion</w:t>
      </w:r>
    </w:p>
    <w:p>
      <w:pPr>
        <w:spacing w:after="0" w:line="135" w:lineRule="exact"/>
        <w:rPr>
          <w:sz w:val="20"/>
          <w:szCs w:val="20"/>
          <w:color w:val="auto"/>
        </w:rPr>
      </w:pPr>
    </w:p>
    <w:p>
      <w:pPr>
        <w:ind w:left="544" w:right="40" w:hanging="544"/>
        <w:spacing w:after="0" w:line="282" w:lineRule="auto"/>
        <w:tabs>
          <w:tab w:leader="none" w:pos="54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or pending the discharge of, any of the Secured Liabilities the Security Agent may convert any moneys received or recovered by the Security Agent from one currency to another, at a market rate of exchange.</w:t>
      </w:r>
    </w:p>
    <w:p>
      <w:pPr>
        <w:spacing w:after="0" w:line="67" w:lineRule="exact"/>
        <w:rPr>
          <w:rFonts w:ascii="Times New Roman" w:cs="Times New Roman" w:eastAsia="Times New Roman" w:hAnsi="Times New Roman"/>
          <w:sz w:val="18"/>
          <w:szCs w:val="18"/>
          <w:color w:val="auto"/>
        </w:rPr>
      </w:pPr>
    </w:p>
    <w:p>
      <w:pPr>
        <w:ind w:left="544" w:right="160" w:hanging="544"/>
        <w:spacing w:after="0" w:line="282" w:lineRule="auto"/>
        <w:tabs>
          <w:tab w:leader="none" w:pos="54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any Obligor to pay in the due currency shall only be satisfied to the extent of the amount of the due currency purchased after deducting the costs of conversion.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29.5</w:t>
        <w:tab/>
        <w:t>Permitted Deductions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Security Agent shall be entitled, in its discretion:</w:t>
      </w:r>
    </w:p>
    <w:p>
      <w:pPr>
        <w:spacing w:after="0" w:line="131" w:lineRule="exact"/>
        <w:rPr>
          <w:sz w:val="20"/>
          <w:szCs w:val="20"/>
          <w:color w:val="auto"/>
        </w:rPr>
      </w:pPr>
    </w:p>
    <w:p>
      <w:pPr>
        <w:ind w:left="1184" w:right="100" w:hanging="644"/>
        <w:spacing w:after="0" w:line="266" w:lineRule="auto"/>
        <w:tabs>
          <w:tab w:leader="none" w:pos="1184"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aside by way of reserve amounts required to meet, and to make and pay, any deductions and withholdings (on account of taxes or otherwise) which it is or may be required by any applicable law to make from any distribution or payment made by it under this Agreement; and</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24"/>
          </w:cols>
          <w:pgMar w:left="436" w:top="266" w:right="439" w:bottom="1440" w:gutter="0" w:footer="0" w:header="0"/>
        </w:sectPr>
      </w:pPr>
    </w:p>
    <w:bookmarkStart w:id="139" w:name="page140"/>
    <w:bookmarkEnd w:id="139"/>
    <w:p>
      <w:pPr>
        <w:ind w:left="1184" w:right="40" w:hanging="644"/>
        <w:spacing w:after="0" w:line="266" w:lineRule="auto"/>
        <w:tabs>
          <w:tab w:leader="none" w:pos="118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pay all Taxes which may be assessed against it in respect of any of the Charged Property, or as a consequence of performing its duties, or by virtue of its capacity as Security Agent under any of the Finance Documents or otherwise (other than in connection with its remuneration for performing its duties under this Agreement).</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29.6</w:t>
        <w:tab/>
        <w:t>Good Discharge</w:t>
      </w:r>
    </w:p>
    <w:p>
      <w:pPr>
        <w:spacing w:after="0" w:line="135" w:lineRule="exact"/>
        <w:rPr>
          <w:sz w:val="20"/>
          <w:szCs w:val="20"/>
          <w:color w:val="auto"/>
        </w:rPr>
      </w:pPr>
    </w:p>
    <w:p>
      <w:pPr>
        <w:ind w:left="544" w:right="200" w:hanging="544"/>
        <w:spacing w:after="0" w:line="282" w:lineRule="auto"/>
        <w:tabs>
          <w:tab w:leader="none" w:pos="544"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to be made in respect of the Secured Liabilities by the Security Agent may be made to the Agent on behalf of the Finance Parties and any payment made in that way shall be a good discharge, to the extent of that payment, by the Security Agent.</w:t>
      </w:r>
    </w:p>
    <w:p>
      <w:pPr>
        <w:spacing w:after="0" w:line="67" w:lineRule="exact"/>
        <w:rPr>
          <w:rFonts w:ascii="Times New Roman" w:cs="Times New Roman" w:eastAsia="Times New Roman" w:hAnsi="Times New Roman"/>
          <w:sz w:val="18"/>
          <w:szCs w:val="18"/>
          <w:color w:val="auto"/>
        </w:rPr>
      </w:pPr>
    </w:p>
    <w:p>
      <w:pPr>
        <w:ind w:left="544" w:right="240" w:hanging="544"/>
        <w:spacing w:after="0" w:line="282" w:lineRule="auto"/>
        <w:tabs>
          <w:tab w:leader="none" w:pos="544"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is under no obligation to make the payments to the Agent under paragraph (a) above in the same currency as that in which the obligations and liabilities owing to the relevant Finance Party are denominated.</w:t>
      </w:r>
    </w:p>
    <w:p>
      <w:pPr>
        <w:spacing w:after="0" w:line="306" w:lineRule="exact"/>
        <w:rPr>
          <w:sz w:val="20"/>
          <w:szCs w:val="20"/>
          <w:color w:val="auto"/>
        </w:rPr>
      </w:pPr>
    </w:p>
    <w:p>
      <w:pPr>
        <w:ind w:left="544" w:right="5940" w:hanging="544"/>
        <w:spacing w:after="0" w:line="385" w:lineRule="auto"/>
        <w:tabs>
          <w:tab w:leader="none" w:pos="533" w:val="left"/>
        </w:tabs>
        <w:numPr>
          <w:ilvl w:val="0"/>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CONDUCT OF BUSINESS BY THE SECURED PARTIES </w:t>
      </w:r>
      <w:r>
        <w:rPr>
          <w:rFonts w:ascii="Times New Roman" w:cs="Times New Roman" w:eastAsia="Times New Roman" w:hAnsi="Times New Roman"/>
          <w:sz w:val="18"/>
          <w:szCs w:val="18"/>
          <w:color w:val="auto"/>
        </w:rPr>
        <w:t>No provision of this Agreement will:</w:t>
      </w:r>
    </w:p>
    <w:p>
      <w:pPr>
        <w:spacing w:after="0" w:line="1"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the right of any Secured Party to arrange its affairs (tax or otherwise) in whatever manner it thinks fit;</w:t>
      </w:r>
    </w:p>
    <w:p>
      <w:pPr>
        <w:spacing w:after="0" w:line="130"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Secured Party to investigate or claim any credit, relief, remission or repayment available to it or the extent, order and manner of any claim; 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Secured Party to disclose any information relating to its affairs (tax or otherwise) or any computations in respect of Tax.</w:t>
      </w:r>
    </w:p>
    <w:p>
      <w:pPr>
        <w:spacing w:after="0" w:line="36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SHARING AMONG THE FINANCE PARTIES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31.1</w:t>
      </w:r>
      <w:r>
        <w:rPr>
          <w:sz w:val="20"/>
          <w:szCs w:val="20"/>
          <w:color w:val="auto"/>
        </w:rPr>
        <w:tab/>
      </w:r>
      <w:r>
        <w:rPr>
          <w:rFonts w:ascii="Times New Roman" w:cs="Times New Roman" w:eastAsia="Times New Roman" w:hAnsi="Times New Roman"/>
          <w:sz w:val="17"/>
          <w:szCs w:val="17"/>
          <w:b w:val="1"/>
          <w:bCs w:val="1"/>
          <w:color w:val="auto"/>
        </w:rPr>
        <w:t>Payments to Finance Parties</w:t>
      </w:r>
    </w:p>
    <w:p>
      <w:pPr>
        <w:spacing w:after="0" w:line="117" w:lineRule="exact"/>
        <w:rPr>
          <w:sz w:val="20"/>
          <w:szCs w:val="20"/>
          <w:color w:val="auto"/>
        </w:rPr>
      </w:pPr>
    </w:p>
    <w:p>
      <w:pPr>
        <w:ind w:left="544" w:right="220"/>
        <w:spacing w:after="0" w:line="286" w:lineRule="auto"/>
        <w:rPr>
          <w:sz w:val="20"/>
          <w:szCs w:val="20"/>
          <w:color w:val="auto"/>
        </w:rPr>
      </w:pPr>
      <w:r>
        <w:rPr>
          <w:rFonts w:ascii="Times New Roman" w:cs="Times New Roman" w:eastAsia="Times New Roman" w:hAnsi="Times New Roman"/>
          <w:sz w:val="18"/>
          <w:szCs w:val="18"/>
          <w:color w:val="auto"/>
        </w:rPr>
        <w:t>If a Finance Party (a “</w:t>
      </w:r>
      <w:r>
        <w:rPr>
          <w:rFonts w:ascii="Times New Roman" w:cs="Times New Roman" w:eastAsia="Times New Roman" w:hAnsi="Times New Roman"/>
          <w:sz w:val="18"/>
          <w:szCs w:val="18"/>
          <w:b w:val="1"/>
          <w:bCs w:val="1"/>
          <w:color w:val="auto"/>
        </w:rPr>
        <w:t>Recovering Finance Party</w:t>
      </w:r>
      <w:r>
        <w:rPr>
          <w:rFonts w:ascii="Times New Roman" w:cs="Times New Roman" w:eastAsia="Times New Roman" w:hAnsi="Times New Roman"/>
          <w:sz w:val="18"/>
          <w:szCs w:val="18"/>
          <w:color w:val="auto"/>
        </w:rPr>
        <w:t>”) receives or recovers any amount from an Obligor other than in accordance with Clause 32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Recovered Amount</w:t>
      </w:r>
      <w:r>
        <w:rPr>
          <w:rFonts w:ascii="Times New Roman" w:cs="Times New Roman" w:eastAsia="Times New Roman" w:hAnsi="Times New Roman"/>
          <w:sz w:val="18"/>
          <w:szCs w:val="18"/>
          <w:color w:val="auto"/>
        </w:rPr>
        <w:t>”) and applies that amount to a payment due under the Finance Documents then:</w:t>
      </w:r>
    </w:p>
    <w:p>
      <w:pPr>
        <w:spacing w:after="0" w:line="64" w:lineRule="exact"/>
        <w:rPr>
          <w:sz w:val="20"/>
          <w:szCs w:val="20"/>
          <w:color w:val="auto"/>
        </w:rPr>
      </w:pPr>
    </w:p>
    <w:p>
      <w:pPr>
        <w:ind w:left="1184" w:hanging="644"/>
        <w:spacing w:after="0"/>
        <w:tabs>
          <w:tab w:leader="none" w:pos="118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Recovering Finance Party shall, within three Business Days, notify details of the receipt or recovery to the Agent;</w:t>
      </w:r>
    </w:p>
    <w:p>
      <w:pPr>
        <w:spacing w:after="0" w:line="130"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determine whether the receipt or recovery is in excess of the amount the Recovering Finance Party would have been paid had the receipt or recovery been received or made by the Agent and distributed in accordance with Clause 32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mechanics</w:t>
      </w:r>
      <w:r>
        <w:rPr>
          <w:rFonts w:ascii="Times New Roman" w:cs="Times New Roman" w:eastAsia="Times New Roman" w:hAnsi="Times New Roman"/>
          <w:sz w:val="18"/>
          <w:szCs w:val="18"/>
          <w:color w:val="auto"/>
        </w:rPr>
        <w:t>), without taking account of any Tax which would be imposed on the Agent in relation to the receipt, recovery or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p>
    <w:p>
      <w:pPr>
        <w:spacing w:after="0" w:line="81" w:lineRule="exact"/>
        <w:rPr>
          <w:rFonts w:ascii="Times New Roman" w:cs="Times New Roman" w:eastAsia="Times New Roman" w:hAnsi="Times New Roman"/>
          <w:sz w:val="18"/>
          <w:szCs w:val="18"/>
          <w:color w:val="auto"/>
        </w:rPr>
      </w:pPr>
    </w:p>
    <w:p>
      <w:pPr>
        <w:ind w:left="1184" w:right="180" w:hanging="644"/>
        <w:spacing w:after="0" w:line="268" w:lineRule="auto"/>
        <w:tabs>
          <w:tab w:leader="none" w:pos="118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Recovering Finance Party shall, within three Business Days of demand by the Agent, pay to the Agent an amount (the “</w:t>
      </w:r>
      <w:r>
        <w:rPr>
          <w:rFonts w:ascii="Times New Roman" w:cs="Times New Roman" w:eastAsia="Times New Roman" w:hAnsi="Times New Roman"/>
          <w:sz w:val="18"/>
          <w:szCs w:val="18"/>
          <w:b w:val="1"/>
          <w:bCs w:val="1"/>
          <w:color w:val="auto"/>
        </w:rPr>
        <w:t>Sharing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equal to such receipt or recovery less any amount which the Agent determines may be retained by the Recovering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as its share of any payment to be made, in accordance with Clause 32.6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24"/>
          </w:cols>
          <w:pgMar w:left="436" w:top="270" w:right="439" w:bottom="1440" w:gutter="0" w:footer="0" w:header="0"/>
        </w:sectPr>
      </w:pPr>
    </w:p>
    <w:bookmarkStart w:id="140" w:name="page141"/>
    <w:bookmarkEnd w:id="140"/>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31.2</w:t>
      </w:r>
      <w:r>
        <w:rPr>
          <w:sz w:val="20"/>
          <w:szCs w:val="20"/>
          <w:color w:val="auto"/>
        </w:rPr>
        <w:tab/>
      </w:r>
      <w:r>
        <w:rPr>
          <w:rFonts w:ascii="Times New Roman" w:cs="Times New Roman" w:eastAsia="Times New Roman" w:hAnsi="Times New Roman"/>
          <w:sz w:val="17"/>
          <w:szCs w:val="17"/>
          <w:b w:val="1"/>
          <w:bCs w:val="1"/>
          <w:color w:val="auto"/>
        </w:rPr>
        <w:t>Redistribution of payments</w:t>
      </w:r>
    </w:p>
    <w:p>
      <w:pPr>
        <w:spacing w:after="0" w:line="121" w:lineRule="exact"/>
        <w:rPr>
          <w:sz w:val="20"/>
          <w:szCs w:val="20"/>
          <w:color w:val="auto"/>
        </w:rPr>
      </w:pPr>
    </w:p>
    <w:p>
      <w:pPr>
        <w:ind w:left="544" w:right="100"/>
        <w:spacing w:after="0" w:line="266" w:lineRule="auto"/>
        <w:rPr>
          <w:sz w:val="20"/>
          <w:szCs w:val="20"/>
          <w:color w:val="auto"/>
        </w:rPr>
      </w:pPr>
      <w:r>
        <w:rPr>
          <w:rFonts w:ascii="Times New Roman" w:cs="Times New Roman" w:eastAsia="Times New Roman" w:hAnsi="Times New Roman"/>
          <w:sz w:val="18"/>
          <w:szCs w:val="18"/>
          <w:color w:val="auto"/>
        </w:rPr>
        <w:t>The Agent shall treat the Sharing Payment as if it had been paid by the relevant Obligor and distribute it between the Finance Parties (other than the Recovering Finance Party) (the “</w:t>
      </w:r>
      <w:r>
        <w:rPr>
          <w:rFonts w:ascii="Times New Roman" w:cs="Times New Roman" w:eastAsia="Times New Roman" w:hAnsi="Times New Roman"/>
          <w:sz w:val="18"/>
          <w:szCs w:val="18"/>
          <w:b w:val="1"/>
          <w:bCs w:val="1"/>
          <w:color w:val="auto"/>
        </w:rPr>
        <w:t>Sharing Finance Parties</w:t>
      </w:r>
      <w:r>
        <w:rPr>
          <w:rFonts w:ascii="Times New Roman" w:cs="Times New Roman" w:eastAsia="Times New Roman" w:hAnsi="Times New Roman"/>
          <w:sz w:val="18"/>
          <w:szCs w:val="18"/>
          <w:color w:val="auto"/>
        </w:rPr>
        <w:t>”) in accordance with Clause 32.6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 towards the obligations of that Obligor to the Sharing Finance Parties.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7"/>
          <w:szCs w:val="17"/>
          <w:b w:val="1"/>
          <w:bCs w:val="1"/>
          <w:color w:val="auto"/>
        </w:rPr>
        <w:t>Recovering Finance Party’s rights</w:t>
      </w:r>
    </w:p>
    <w:p>
      <w:pPr>
        <w:spacing w:after="0" w:line="119" w:lineRule="exact"/>
        <w:rPr>
          <w:sz w:val="20"/>
          <w:szCs w:val="20"/>
          <w:color w:val="auto"/>
        </w:rPr>
      </w:pPr>
    </w:p>
    <w:p>
      <w:pPr>
        <w:ind w:left="544" w:right="160"/>
        <w:spacing w:after="0" w:line="267" w:lineRule="auto"/>
        <w:rPr>
          <w:sz w:val="20"/>
          <w:szCs w:val="20"/>
          <w:color w:val="auto"/>
        </w:rPr>
      </w:pPr>
      <w:r>
        <w:rPr>
          <w:rFonts w:ascii="Times New Roman" w:cs="Times New Roman" w:eastAsia="Times New Roman" w:hAnsi="Times New Roman"/>
          <w:sz w:val="18"/>
          <w:szCs w:val="18"/>
          <w:color w:val="auto"/>
        </w:rPr>
        <w:t>On a distribution by the Agent under Clause 31.2 (</w:t>
      </w:r>
      <w:r>
        <w:rPr>
          <w:rFonts w:ascii="Times New Roman" w:cs="Times New Roman" w:eastAsia="Times New Roman" w:hAnsi="Times New Roman"/>
          <w:sz w:val="18"/>
          <w:szCs w:val="18"/>
          <w:i w:val="1"/>
          <w:iCs w:val="1"/>
          <w:color w:val="auto"/>
        </w:rPr>
        <w:t>Redistribution of payments</w:t>
      </w:r>
      <w:r>
        <w:rPr>
          <w:rFonts w:ascii="Times New Roman" w:cs="Times New Roman" w:eastAsia="Times New Roman" w:hAnsi="Times New Roman"/>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7"/>
          <w:szCs w:val="17"/>
          <w:b w:val="1"/>
          <w:bCs w:val="1"/>
          <w:color w:val="auto"/>
        </w:rPr>
        <w:t>Reversal of redistribution</w:t>
      </w:r>
    </w:p>
    <w:p>
      <w:pPr>
        <w:spacing w:after="0" w:line="121" w:lineRule="exact"/>
        <w:rPr>
          <w:sz w:val="20"/>
          <w:szCs w:val="20"/>
          <w:color w:val="auto"/>
        </w:rPr>
      </w:pPr>
    </w:p>
    <w:p>
      <w:pPr>
        <w:ind w:left="544" w:right="320"/>
        <w:spacing w:after="0" w:line="282" w:lineRule="auto"/>
        <w:rPr>
          <w:sz w:val="20"/>
          <w:szCs w:val="20"/>
          <w:color w:val="auto"/>
        </w:rPr>
      </w:pPr>
      <w:r>
        <w:rPr>
          <w:rFonts w:ascii="Times New Roman" w:cs="Times New Roman" w:eastAsia="Times New Roman" w:hAnsi="Times New Roman"/>
          <w:sz w:val="18"/>
          <w:szCs w:val="18"/>
          <w:color w:val="auto"/>
        </w:rPr>
        <w:t>If any part of the Sharing Payment received or recovered by a Recovering Finance Party becomes repayable and is repaid by that Recovering Finance Party, then:</w:t>
      </w:r>
    </w:p>
    <w:p>
      <w:pPr>
        <w:spacing w:after="0" w:line="67" w:lineRule="exact"/>
        <w:rPr>
          <w:sz w:val="20"/>
          <w:szCs w:val="20"/>
          <w:color w:val="auto"/>
        </w:rPr>
      </w:pPr>
    </w:p>
    <w:p>
      <w:pPr>
        <w:ind w:left="1184" w:right="140" w:hanging="644"/>
        <w:spacing w:after="0" w:line="261" w:lineRule="auto"/>
        <w:tabs>
          <w:tab w:leader="none" w:pos="1184"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Times New Roman" w:cs="Times New Roman" w:eastAsia="Times New Roman" w:hAnsi="Times New Roman"/>
          <w:sz w:val="18"/>
          <w:szCs w:val="18"/>
          <w:b w:val="1"/>
          <w:bCs w:val="1"/>
          <w:color w:val="auto"/>
        </w:rPr>
        <w:t>Redistributed Amount</w:t>
      </w:r>
      <w:r>
        <w:rPr>
          <w:rFonts w:ascii="Times New Roman" w:cs="Times New Roman" w:eastAsia="Times New Roman" w:hAnsi="Times New Roman"/>
          <w:sz w:val="18"/>
          <w:szCs w:val="18"/>
          <w:color w:val="auto"/>
        </w:rPr>
        <w:t>”); and</w:t>
      </w:r>
    </w:p>
    <w:p>
      <w:pPr>
        <w:spacing w:after="0" w:line="85"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relevant Obligor and each relevant Sharing Finance Party, an amount equal to the relevant Redistributed Amount will be treated as not having been paid by that Obligor.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31.5</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135" w:lineRule="exact"/>
        <w:rPr>
          <w:sz w:val="20"/>
          <w:szCs w:val="20"/>
          <w:color w:val="auto"/>
        </w:rPr>
      </w:pPr>
    </w:p>
    <w:p>
      <w:pPr>
        <w:ind w:left="544" w:right="20" w:hanging="544"/>
        <w:spacing w:after="0" w:line="282" w:lineRule="auto"/>
        <w:tabs>
          <w:tab w:leader="none" w:pos="544"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31 shall not apply to the extent that the Recovering Finance Party would not, after making any payment pursuant to this Clause, have a valid and enforceable claim against the relevant Obligor.</w:t>
      </w:r>
    </w:p>
    <w:p>
      <w:pPr>
        <w:spacing w:after="0" w:line="67" w:lineRule="exact"/>
        <w:rPr>
          <w:rFonts w:ascii="Times New Roman" w:cs="Times New Roman" w:eastAsia="Times New Roman" w:hAnsi="Times New Roman"/>
          <w:sz w:val="18"/>
          <w:szCs w:val="18"/>
          <w:color w:val="auto"/>
        </w:rPr>
      </w:pPr>
    </w:p>
    <w:p>
      <w:pPr>
        <w:ind w:left="544" w:right="200" w:hanging="544"/>
        <w:spacing w:after="0" w:line="282" w:lineRule="auto"/>
        <w:tabs>
          <w:tab w:leader="none" w:pos="544"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notified that other Finance Party of the legal or arbitration proceedings; and</w:t>
      </w:r>
    </w:p>
    <w:p>
      <w:pPr>
        <w:spacing w:after="0" w:line="130" w:lineRule="exact"/>
        <w:rPr>
          <w:rFonts w:ascii="Times New Roman" w:cs="Times New Roman" w:eastAsia="Times New Roman" w:hAnsi="Times New Roman"/>
          <w:sz w:val="18"/>
          <w:szCs w:val="18"/>
          <w:color w:val="auto"/>
        </w:rPr>
      </w:pPr>
    </w:p>
    <w:p>
      <w:pPr>
        <w:ind w:left="1184" w:right="780" w:hanging="644"/>
        <w:spacing w:after="0" w:line="282" w:lineRule="auto"/>
        <w:tabs>
          <w:tab w:leader="none" w:pos="1184"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24"/>
          </w:cols>
          <w:pgMar w:left="436" w:top="266" w:right="439" w:bottom="1440" w:gutter="0" w:footer="0" w:header="0"/>
        </w:sectPr>
      </w:pPr>
    </w:p>
    <w:bookmarkStart w:id="141" w:name="page142"/>
    <w:bookmarkEnd w:id="14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52" w:lineRule="exact"/>
        <w:rPr>
          <w:sz w:val="20"/>
          <w:szCs w:val="20"/>
          <w:color w:val="auto"/>
        </w:rPr>
      </w:pPr>
    </w:p>
    <w:p>
      <w:pPr>
        <w:ind w:left="4" w:right="8440" w:hanging="4"/>
        <w:spacing w:after="0" w:line="416" w:lineRule="auto"/>
        <w:tabs>
          <w:tab w:leader="none" w:pos="544" w:val="left"/>
        </w:tabs>
        <w:numPr>
          <w:ilvl w:val="0"/>
          <w:numId w:val="4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 MECHANICS 32.1 Payments to the Agent</w:t>
      </w:r>
    </w:p>
    <w:p>
      <w:pPr>
        <w:spacing w:after="0" w:line="1" w:lineRule="exact"/>
        <w:rPr>
          <w:sz w:val="20"/>
          <w:szCs w:val="20"/>
          <w:color w:val="auto"/>
        </w:rPr>
      </w:pPr>
    </w:p>
    <w:p>
      <w:pPr>
        <w:ind w:left="544" w:right="180" w:hanging="544"/>
        <w:spacing w:after="0" w:line="261" w:lineRule="auto"/>
        <w:tabs>
          <w:tab w:leader="none" w:pos="544"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on which an Obligor or a Lender is required to make a payment under a Finance Document, that Obligor (subject to Clause 32.12 (</w:t>
      </w:r>
      <w:r>
        <w:rPr>
          <w:rFonts w:ascii="Times New Roman" w:cs="Times New Roman" w:eastAsia="Times New Roman" w:hAnsi="Times New Roman"/>
          <w:sz w:val="18"/>
          <w:szCs w:val="18"/>
          <w:i w:val="1"/>
          <w:iCs w:val="1"/>
          <w:color w:val="auto"/>
        </w:rPr>
        <w:t>Payments to the Security Agent</w:t>
      </w:r>
      <w:r>
        <w:rPr>
          <w:rFonts w:ascii="Times New Roman" w:cs="Times New Roman" w:eastAsia="Times New Roman" w:hAnsi="Times New Roman"/>
          <w:sz w:val="18"/>
          <w:szCs w:val="18"/>
          <w:color w:val="auto"/>
        </w:rPr>
        <w:t>))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be made to such account and with such bank as the Agent in each case specifies.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32.2</w:t>
        <w:tab/>
        <w:t>Distributions by the Agent</w:t>
      </w:r>
    </w:p>
    <w:p>
      <w:pPr>
        <w:spacing w:after="0" w:line="119" w:lineRule="exact"/>
        <w:rPr>
          <w:sz w:val="20"/>
          <w:szCs w:val="20"/>
          <w:color w:val="auto"/>
        </w:rPr>
      </w:pPr>
    </w:p>
    <w:p>
      <w:pPr>
        <w:ind w:left="544" w:right="40"/>
        <w:spacing w:after="0" w:line="258" w:lineRule="auto"/>
        <w:rPr>
          <w:sz w:val="20"/>
          <w:szCs w:val="20"/>
          <w:color w:val="auto"/>
        </w:rPr>
      </w:pPr>
      <w:r>
        <w:rPr>
          <w:rFonts w:ascii="Times New Roman" w:cs="Times New Roman" w:eastAsia="Times New Roman" w:hAnsi="Times New Roman"/>
          <w:sz w:val="18"/>
          <w:szCs w:val="18"/>
          <w:color w:val="auto"/>
        </w:rPr>
        <w:t>Each payment received by the Agent under the Finance Documents for another Party shall, subject to Clause 32.3 (</w:t>
      </w:r>
      <w:r>
        <w:rPr>
          <w:rFonts w:ascii="Times New Roman" w:cs="Times New Roman" w:eastAsia="Times New Roman" w:hAnsi="Times New Roman"/>
          <w:sz w:val="18"/>
          <w:szCs w:val="18"/>
          <w:i w:val="1"/>
          <w:iCs w:val="1"/>
          <w:color w:val="auto"/>
        </w:rPr>
        <w:t>Distributions to an Obligor</w:t>
      </w:r>
      <w:r>
        <w:rPr>
          <w:rFonts w:ascii="Times New Roman" w:cs="Times New Roman" w:eastAsia="Times New Roman" w:hAnsi="Times New Roman"/>
          <w:sz w:val="18"/>
          <w:szCs w:val="18"/>
          <w:color w:val="auto"/>
        </w:rPr>
        <w:t>) and Clause 32.4 (</w:t>
      </w:r>
      <w:r>
        <w:rPr>
          <w:rFonts w:ascii="Times New Roman" w:cs="Times New Roman" w:eastAsia="Times New Roman" w:hAnsi="Times New Roman"/>
          <w:sz w:val="18"/>
          <w:szCs w:val="18"/>
          <w:i w:val="1"/>
          <w:iCs w:val="1"/>
          <w:color w:val="auto"/>
        </w:rPr>
        <w:t>Clawback and pre-funding</w:t>
      </w:r>
      <w:r>
        <w:rPr>
          <w:rFonts w:ascii="Times New Roman" w:cs="Times New Roman" w:eastAsia="Times New Roman" w:hAnsi="Times New Roman"/>
          <w:sz w:val="18"/>
          <w:szCs w:val="18"/>
          <w:color w:val="auto"/>
        </w:rPr>
        <w:t>) and Clause 32.12 (</w:t>
      </w:r>
      <w:r>
        <w:rPr>
          <w:rFonts w:ascii="Times New Roman" w:cs="Times New Roman" w:eastAsia="Times New Roman" w:hAnsi="Times New Roman"/>
          <w:sz w:val="18"/>
          <w:szCs w:val="18"/>
          <w:i w:val="1"/>
          <w:iCs w:val="1"/>
          <w:color w:val="auto"/>
        </w:rPr>
        <w:t>Payments to the Security Agent</w:t>
      </w:r>
      <w:r>
        <w:rPr>
          <w:rFonts w:ascii="Times New Roman" w:cs="Times New Roman" w:eastAsia="Times New Roman" w:hAnsi="Times New Roman"/>
          <w:sz w:val="18"/>
          <w:szCs w:val="18"/>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w:t>
      </w:r>
    </w:p>
    <w:p>
      <w:pPr>
        <w:spacing w:after="0" w:line="8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32.3</w:t>
      </w:r>
      <w:r>
        <w:rPr>
          <w:sz w:val="20"/>
          <w:szCs w:val="20"/>
          <w:color w:val="auto"/>
        </w:rPr>
        <w:tab/>
      </w:r>
      <w:r>
        <w:rPr>
          <w:rFonts w:ascii="Times New Roman" w:cs="Times New Roman" w:eastAsia="Times New Roman" w:hAnsi="Times New Roman"/>
          <w:sz w:val="17"/>
          <w:szCs w:val="17"/>
          <w:b w:val="1"/>
          <w:bCs w:val="1"/>
          <w:color w:val="auto"/>
        </w:rPr>
        <w:t>Distributions to an Obligor</w:t>
      </w:r>
    </w:p>
    <w:p>
      <w:pPr>
        <w:spacing w:after="0" w:line="119" w:lineRule="exact"/>
        <w:rPr>
          <w:sz w:val="20"/>
          <w:szCs w:val="20"/>
          <w:color w:val="auto"/>
        </w:rPr>
      </w:pPr>
    </w:p>
    <w:p>
      <w:pPr>
        <w:ind w:left="544" w:right="40"/>
        <w:spacing w:after="0" w:line="267" w:lineRule="auto"/>
        <w:rPr>
          <w:sz w:val="20"/>
          <w:szCs w:val="20"/>
          <w:color w:val="auto"/>
        </w:rPr>
      </w:pPr>
      <w:r>
        <w:rPr>
          <w:rFonts w:ascii="Times New Roman" w:cs="Times New Roman" w:eastAsia="Times New Roman" w:hAnsi="Times New Roman"/>
          <w:sz w:val="18"/>
          <w:szCs w:val="18"/>
          <w:color w:val="auto"/>
        </w:rPr>
        <w:t>The Agent and the Security Agent may (with the consent of the Obligor or in accordance with Clause 33 (</w:t>
      </w:r>
      <w:r>
        <w:rPr>
          <w:rFonts w:ascii="Times New Roman" w:cs="Times New Roman" w:eastAsia="Times New Roman" w:hAnsi="Times New Roman"/>
          <w:sz w:val="18"/>
          <w:szCs w:val="18"/>
          <w:i w:val="1"/>
          <w:iCs w:val="1"/>
          <w:color w:val="auto"/>
        </w:rPr>
        <w:t>Set-off</w:t>
      </w:r>
      <w:r>
        <w:rPr>
          <w:rFonts w:ascii="Times New Roman" w:cs="Times New Roman" w:eastAsia="Times New Roman" w:hAnsi="Times New Roman"/>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32.4</w:t>
      </w:r>
      <w:r>
        <w:rPr>
          <w:sz w:val="20"/>
          <w:szCs w:val="20"/>
          <w:color w:val="auto"/>
        </w:rPr>
        <w:tab/>
      </w:r>
      <w:r>
        <w:rPr>
          <w:rFonts w:ascii="Times New Roman" w:cs="Times New Roman" w:eastAsia="Times New Roman" w:hAnsi="Times New Roman"/>
          <w:sz w:val="17"/>
          <w:szCs w:val="17"/>
          <w:b w:val="1"/>
          <w:bCs w:val="1"/>
          <w:color w:val="auto"/>
        </w:rPr>
        <w:t>Clawback and pre-funding</w:t>
      </w:r>
    </w:p>
    <w:p>
      <w:pPr>
        <w:spacing w:after="0" w:line="135" w:lineRule="exact"/>
        <w:rPr>
          <w:sz w:val="20"/>
          <w:szCs w:val="20"/>
          <w:color w:val="auto"/>
        </w:rPr>
      </w:pPr>
    </w:p>
    <w:p>
      <w:pPr>
        <w:jc w:val="both"/>
        <w:ind w:left="544" w:right="20" w:hanging="544"/>
        <w:spacing w:after="0" w:line="266" w:lineRule="auto"/>
        <w:tabs>
          <w:tab w:leader="none" w:pos="544"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sum is to be paid to the Agent, the Account Bank or the Security Agent under the Finance Documents for another Party, the Agent or, as the case may be, the Account Bank or the Security Agent is not obliged to pay that sum to that other Party (or to enter into or perform any related exchange contract) until it has been able to establish to its satisfaction that it has actually received that sum.</w:t>
      </w:r>
    </w:p>
    <w:p>
      <w:pPr>
        <w:spacing w:after="0" w:line="81" w:lineRule="exact"/>
        <w:rPr>
          <w:rFonts w:ascii="Times New Roman" w:cs="Times New Roman" w:eastAsia="Times New Roman" w:hAnsi="Times New Roman"/>
          <w:sz w:val="18"/>
          <w:szCs w:val="18"/>
          <w:color w:val="auto"/>
        </w:rPr>
      </w:pPr>
    </w:p>
    <w:p>
      <w:pPr>
        <w:ind w:left="544" w:right="20" w:hanging="544"/>
        <w:spacing w:after="0" w:line="258" w:lineRule="auto"/>
        <w:tabs>
          <w:tab w:leader="none" w:pos="544"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paragraph (c) below applies, if the Agent, the Account Bank or the Security Agent pays an amount to another Party and it proves to be the case that it had not actually received that amount, then the Party to whom that amount (or the proceeds of any related exchange contract) was paid by the Agent or as the case may be the Account Bank or the Security Agent shall on demand refund the same to the Agent or, as the case may be, the Account Bank or the Security Agent together with interest on that amount from the date of payment to the date of receipt by the Agent, calculated by it to reflect its cost of funds.</w:t>
      </w:r>
    </w:p>
    <w:p>
      <w:pPr>
        <w:spacing w:after="0" w:line="116"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24"/>
          </w:cols>
          <w:pgMar w:left="436" w:top="266" w:right="439" w:bottom="1440" w:gutter="0" w:footer="0" w:header="0"/>
        </w:sectPr>
      </w:pPr>
    </w:p>
    <w:bookmarkStart w:id="142" w:name="page143"/>
    <w:bookmarkEnd w:id="142"/>
    <w:p>
      <w:pPr>
        <w:ind w:left="544" w:right="60" w:hanging="544"/>
        <w:spacing w:after="0" w:line="266" w:lineRule="auto"/>
        <w:tabs>
          <w:tab w:leader="none" w:pos="54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Agent is willing to make available amounts for the account of the Borrower before receiving funds from the Lenders then if and to the extent that the Agent does so but it proves to be the case that it does not then receive funds from a Lender in respect of a sum which it paid to the Borrower:</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Borrower of that Lender’s identity and the Borrower shall on demand refund it to the Agent; and</w:t>
      </w:r>
    </w:p>
    <w:p>
      <w:pPr>
        <w:spacing w:after="0" w:line="130" w:lineRule="exact"/>
        <w:rPr>
          <w:rFonts w:ascii="Times New Roman" w:cs="Times New Roman" w:eastAsia="Times New Roman" w:hAnsi="Times New Roman"/>
          <w:sz w:val="18"/>
          <w:szCs w:val="18"/>
          <w:color w:val="auto"/>
        </w:rPr>
      </w:pPr>
    </w:p>
    <w:p>
      <w:pPr>
        <w:ind w:left="1184" w:right="60" w:hanging="644"/>
        <w:spacing w:after="0" w:line="266" w:lineRule="auto"/>
        <w:tabs>
          <w:tab w:leader="none" w:pos="1184"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32.5</w:t>
      </w:r>
      <w:r>
        <w:rPr>
          <w:sz w:val="20"/>
          <w:szCs w:val="20"/>
          <w:color w:val="auto"/>
        </w:rPr>
        <w:tab/>
      </w:r>
      <w:r>
        <w:rPr>
          <w:rFonts w:ascii="Times New Roman" w:cs="Times New Roman" w:eastAsia="Times New Roman" w:hAnsi="Times New Roman"/>
          <w:sz w:val="17"/>
          <w:szCs w:val="17"/>
          <w:b w:val="1"/>
          <w:bCs w:val="1"/>
          <w:color w:val="auto"/>
        </w:rPr>
        <w:t>Impaired Agent</w:t>
      </w:r>
    </w:p>
    <w:p>
      <w:pPr>
        <w:spacing w:after="0" w:line="135" w:lineRule="exact"/>
        <w:rPr>
          <w:sz w:val="20"/>
          <w:szCs w:val="20"/>
          <w:color w:val="auto"/>
        </w:rPr>
      </w:pPr>
    </w:p>
    <w:p>
      <w:pPr>
        <w:ind w:left="544" w:right="840" w:hanging="544"/>
        <w:spacing w:after="0" w:line="282" w:lineRule="auto"/>
        <w:tabs>
          <w:tab w:leader="none" w:pos="544"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Agent becomes an Impaired Agent, an Obligor or a Lender which is required to make a payment under the Finance Documents to the Agent in accordance with Clause 32.1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may instead either: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amount direct to the required recipient(s); or</w:t>
      </w:r>
    </w:p>
    <w:p>
      <w:pPr>
        <w:spacing w:after="0" w:line="130" w:lineRule="exact"/>
        <w:rPr>
          <w:rFonts w:ascii="Times New Roman" w:cs="Times New Roman" w:eastAsia="Times New Roman" w:hAnsi="Times New Roman"/>
          <w:sz w:val="18"/>
          <w:szCs w:val="18"/>
          <w:color w:val="auto"/>
        </w:rPr>
      </w:pPr>
    </w:p>
    <w:p>
      <w:pPr>
        <w:ind w:left="1184" w:right="40" w:hanging="644"/>
        <w:spacing w:after="0" w:line="258" w:lineRule="auto"/>
        <w:tabs>
          <w:tab w:leader="none" w:pos="1184"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its absolute discretion it considers that it is not reasonably practicable to pay that amount direct to the required recipient(s), pay that amount or the relevant part of that amount to an interest-bearing account held with an Acceptable Bank and in relation to which no Insolvency Event has occurred and is continuing, in the name of the Obligor or the Lender making the payment (the “</w:t>
      </w:r>
      <w:r>
        <w:rPr>
          <w:rFonts w:ascii="Times New Roman" w:cs="Times New Roman" w:eastAsia="Times New Roman" w:hAnsi="Times New Roman"/>
          <w:sz w:val="18"/>
          <w:szCs w:val="18"/>
          <w:b w:val="1"/>
          <w:bCs w:val="1"/>
          <w:color w:val="auto"/>
        </w:rPr>
        <w:t>Paying Party</w:t>
      </w:r>
      <w:r>
        <w:rPr>
          <w:rFonts w:ascii="Times New Roman" w:cs="Times New Roman" w:eastAsia="Times New Roman" w:hAnsi="Times New Roman"/>
          <w:sz w:val="18"/>
          <w:szCs w:val="18"/>
          <w:color w:val="auto"/>
        </w:rPr>
        <w:t>”) and designated as a trust account for the benefit of the Party or Parties beneficially entitled to that payment under the Finance Documents (the “</w:t>
      </w:r>
      <w:r>
        <w:rPr>
          <w:rFonts w:ascii="Times New Roman" w:cs="Times New Roman" w:eastAsia="Times New Roman" w:hAnsi="Times New Roman"/>
          <w:sz w:val="18"/>
          <w:szCs w:val="18"/>
          <w:b w:val="1"/>
          <w:bCs w:val="1"/>
          <w:color w:val="auto"/>
        </w:rPr>
        <w:t>Recipient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Recipient Parties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each case such payments must be made on the due date for payment under the Finance Documents.</w:t>
      </w:r>
    </w:p>
    <w:p>
      <w:pPr>
        <w:spacing w:after="0" w:line="131" w:lineRule="exact"/>
        <w:rPr>
          <w:sz w:val="20"/>
          <w:szCs w:val="20"/>
          <w:color w:val="auto"/>
        </w:rPr>
      </w:pPr>
    </w:p>
    <w:p>
      <w:pPr>
        <w:ind w:left="544" w:right="540" w:hanging="544"/>
        <w:spacing w:after="0" w:line="282" w:lineRule="auto"/>
        <w:tabs>
          <w:tab w:leader="none" w:pos="544"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accrued on the amount standing to the credit of the trust account shall be for the benefit of the Recipient Party or the Recipient Parties pro rata to their respective entitlements.</w:t>
      </w:r>
    </w:p>
    <w:p>
      <w:pPr>
        <w:spacing w:after="0" w:line="67" w:lineRule="exact"/>
        <w:rPr>
          <w:rFonts w:ascii="Times New Roman" w:cs="Times New Roman" w:eastAsia="Times New Roman" w:hAnsi="Times New Roman"/>
          <w:sz w:val="18"/>
          <w:szCs w:val="18"/>
          <w:color w:val="auto"/>
        </w:rPr>
      </w:pPr>
    </w:p>
    <w:p>
      <w:pPr>
        <w:ind w:left="544" w:right="60" w:hanging="544"/>
        <w:spacing w:after="0" w:line="282" w:lineRule="auto"/>
        <w:tabs>
          <w:tab w:leader="none" w:pos="544"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which has made a payment in accordance with this Clause 32.5 shall be discharged of the relevant payment obligation under the Finance Documents and shall not take any credit risk with respect to the amounts standing to the credit of the trust account.</w:t>
      </w:r>
    </w:p>
    <w:p>
      <w:pPr>
        <w:spacing w:after="0" w:line="65" w:lineRule="exact"/>
        <w:rPr>
          <w:rFonts w:ascii="Times New Roman" w:cs="Times New Roman" w:eastAsia="Times New Roman" w:hAnsi="Times New Roman"/>
          <w:sz w:val="18"/>
          <w:szCs w:val="18"/>
          <w:color w:val="auto"/>
        </w:rPr>
      </w:pPr>
    </w:p>
    <w:p>
      <w:pPr>
        <w:ind w:left="544" w:right="40" w:hanging="544"/>
        <w:spacing w:after="0" w:line="261" w:lineRule="auto"/>
        <w:tabs>
          <w:tab w:leader="none" w:pos="544"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appointment of a successor Agent in accordance with Clause 28.14 (</w:t>
      </w:r>
      <w:r>
        <w:rPr>
          <w:rFonts w:ascii="Times New Roman" w:cs="Times New Roman" w:eastAsia="Times New Roman" w:hAnsi="Times New Roman"/>
          <w:sz w:val="18"/>
          <w:szCs w:val="18"/>
          <w:i w:val="1"/>
          <w:iCs w:val="1"/>
          <w:color w:val="auto"/>
        </w:rPr>
        <w:t>Replacement of the Agent or Security Agent</w:t>
      </w:r>
      <w:r>
        <w:rPr>
          <w:rFonts w:ascii="Times New Roman" w:cs="Times New Roman" w:eastAsia="Times New Roman" w:hAnsi="Times New Roman"/>
          <w:sz w:val="18"/>
          <w:szCs w:val="18"/>
          <w:color w:val="auto"/>
        </w:rPr>
        <w:t>), each Paying Party shall (other than to the extent that Party has given an instruction pursuant to paragraph (e) below) give all requisite instructions to the bank with whom the trust account is held to transfer the amount (together with any accrued interest) to the successor Agent for distribution to the relevant Recipient Party or Recipient Parties in accordance with Clause 32.2 (</w:t>
      </w:r>
      <w:r>
        <w:rPr>
          <w:rFonts w:ascii="Times New Roman" w:cs="Times New Roman" w:eastAsia="Times New Roman" w:hAnsi="Times New Roman"/>
          <w:sz w:val="18"/>
          <w:szCs w:val="18"/>
          <w:i w:val="1"/>
          <w:iCs w:val="1"/>
          <w:color w:val="auto"/>
        </w:rPr>
        <w:t>Distributions by the Agent</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Paying Party shall, promptly upon request by a Recipient Party and to the extent: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not given an instruction pursuant to paragraph (d) above;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been provided with the necessary information by that Recipient Party,</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24"/>
          </w:cols>
          <w:pgMar w:left="436" w:top="270" w:right="439" w:bottom="1440" w:gutter="0" w:footer="0" w:header="0"/>
        </w:sectPr>
      </w:pPr>
    </w:p>
    <w:bookmarkStart w:id="143" w:name="page144"/>
    <w:bookmarkEnd w:id="143"/>
    <w:p>
      <w:pPr>
        <w:ind w:left="544"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give all requisite instructions to the bank with whom the trust account is held to transfer the relevant amount (together with any accrued interest) to that Recipient Party.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32.6</w:t>
        <w:tab/>
        <w:t>Partial payments</w:t>
      </w:r>
    </w:p>
    <w:p>
      <w:pPr>
        <w:spacing w:after="0" w:line="135" w:lineRule="exact"/>
        <w:rPr>
          <w:sz w:val="20"/>
          <w:szCs w:val="20"/>
          <w:color w:val="auto"/>
        </w:rPr>
      </w:pPr>
    </w:p>
    <w:p>
      <w:pPr>
        <w:ind w:left="544" w:right="360" w:hanging="544"/>
        <w:spacing w:after="0" w:line="312" w:lineRule="auto"/>
        <w:tabs>
          <w:tab w:leader="none" w:pos="544" w:val="left"/>
        </w:tabs>
        <w:numPr>
          <w:ilvl w:val="0"/>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Agent receives a payment that is insufficient to discharge all the amounts then due and payable by an Obligor under the Finance Documents, the Agent shall apply that payment towards the obligations of that Obligor under the Finance Documents in the following order:</w:t>
      </w:r>
    </w:p>
    <w:p>
      <w:pPr>
        <w:spacing w:after="0" w:line="45" w:lineRule="exact"/>
        <w:rPr>
          <w:rFonts w:ascii="Times New Roman" w:cs="Times New Roman" w:eastAsia="Times New Roman" w:hAnsi="Times New Roman"/>
          <w:sz w:val="17"/>
          <w:szCs w:val="17"/>
          <w:color w:val="auto"/>
        </w:rPr>
      </w:pPr>
    </w:p>
    <w:p>
      <w:pPr>
        <w:ind w:left="1184" w:right="340" w:hanging="644"/>
        <w:spacing w:after="0" w:line="282" w:lineRule="auto"/>
        <w:tabs>
          <w:tab w:leader="none" w:pos="1184"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in or towards payment pro rata of any unpaid amount owing to the Agent, the Security Agent, any Receiver, any Delegate, the Global Coordinators, and MLABs, and the MLAs under the Finance Documents;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secondly, in or towards payment pro rata of any accrued interest, fee or commission due but unpaid under this Agreement;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thirdly, in or towards payment pro rata of any principal due but unpaid under this Agreement;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fourthly, in or towards payment pro rata of any other sum due but unpaid under the Finance Documents.</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if so directed by the Majority Lenders, vary the order set out in paragraphs (a)(ii) to (a)(iv) above.</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and (b) above will override any appropriation made by an Obligor.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32.7</w:t>
        <w:tab/>
        <w:t>No set-off by Obligors</w:t>
      </w:r>
    </w:p>
    <w:p>
      <w:pPr>
        <w:spacing w:after="0" w:line="121" w:lineRule="exact"/>
        <w:rPr>
          <w:sz w:val="20"/>
          <w:szCs w:val="20"/>
          <w:color w:val="auto"/>
        </w:rPr>
      </w:pPr>
    </w:p>
    <w:p>
      <w:pPr>
        <w:ind w:left="544" w:right="620"/>
        <w:spacing w:after="0" w:line="282" w:lineRule="auto"/>
        <w:rPr>
          <w:sz w:val="20"/>
          <w:szCs w:val="20"/>
          <w:color w:val="auto"/>
        </w:rPr>
      </w:pPr>
      <w:r>
        <w:rPr>
          <w:rFonts w:ascii="Times New Roman" w:cs="Times New Roman" w:eastAsia="Times New Roman" w:hAnsi="Times New Roman"/>
          <w:sz w:val="18"/>
          <w:szCs w:val="18"/>
          <w:color w:val="auto"/>
        </w:rPr>
        <w:t>All payments to be made by an Obligor under the Finance Documents shall be calculated and be made without (and free and clear of any deduction for) set-off or counterclaim.</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32.8</w:t>
      </w:r>
      <w:r>
        <w:rPr>
          <w:sz w:val="20"/>
          <w:szCs w:val="20"/>
          <w:color w:val="auto"/>
        </w:rPr>
        <w:tab/>
      </w:r>
      <w:r>
        <w:rPr>
          <w:rFonts w:ascii="Times New Roman" w:cs="Times New Roman" w:eastAsia="Times New Roman" w:hAnsi="Times New Roman"/>
          <w:sz w:val="17"/>
          <w:szCs w:val="17"/>
          <w:b w:val="1"/>
          <w:bCs w:val="1"/>
          <w:color w:val="auto"/>
        </w:rPr>
        <w:t>Business Days</w:t>
      </w:r>
    </w:p>
    <w:p>
      <w:pPr>
        <w:spacing w:after="0" w:line="135" w:lineRule="exact"/>
        <w:rPr>
          <w:sz w:val="20"/>
          <w:szCs w:val="20"/>
          <w:color w:val="auto"/>
        </w:rPr>
      </w:pPr>
    </w:p>
    <w:p>
      <w:pPr>
        <w:ind w:left="544" w:right="60" w:hanging="544"/>
        <w:spacing w:after="0" w:line="282" w:lineRule="auto"/>
        <w:tabs>
          <w:tab w:leader="none" w:pos="544"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67" w:lineRule="exact"/>
        <w:rPr>
          <w:rFonts w:ascii="Times New Roman" w:cs="Times New Roman" w:eastAsia="Times New Roman" w:hAnsi="Times New Roman"/>
          <w:sz w:val="18"/>
          <w:szCs w:val="18"/>
          <w:color w:val="auto"/>
        </w:rPr>
      </w:pPr>
    </w:p>
    <w:p>
      <w:pPr>
        <w:ind w:left="544" w:right="260" w:hanging="544"/>
        <w:spacing w:after="0" w:line="282" w:lineRule="auto"/>
        <w:tabs>
          <w:tab w:leader="none" w:pos="544"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32.9</w:t>
      </w:r>
      <w:r>
        <w:rPr>
          <w:sz w:val="20"/>
          <w:szCs w:val="20"/>
          <w:color w:val="auto"/>
        </w:rPr>
        <w:tab/>
      </w:r>
      <w:r>
        <w:rPr>
          <w:rFonts w:ascii="Times New Roman" w:cs="Times New Roman" w:eastAsia="Times New Roman" w:hAnsi="Times New Roman"/>
          <w:sz w:val="17"/>
          <w:szCs w:val="17"/>
          <w:b w:val="1"/>
          <w:bCs w:val="1"/>
          <w:color w:val="auto"/>
        </w:rPr>
        <w:t>Currency of account</w:t>
      </w:r>
    </w:p>
    <w:p>
      <w:pPr>
        <w:spacing w:after="0" w:line="135" w:lineRule="exact"/>
        <w:rPr>
          <w:sz w:val="20"/>
          <w:szCs w:val="20"/>
          <w:color w:val="auto"/>
        </w:rPr>
      </w:pPr>
    </w:p>
    <w:p>
      <w:pPr>
        <w:ind w:left="544" w:right="60" w:hanging="544"/>
        <w:spacing w:after="0" w:line="282" w:lineRule="auto"/>
        <w:tabs>
          <w:tab w:leader="none" w:pos="544"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(b) and (c) below, the currency in which a Facility is denominated is the currency of account and payment for any sum due from an Obligor under any Finance Document in respect of that Facility.</w:t>
      </w:r>
    </w:p>
    <w:p>
      <w:pPr>
        <w:spacing w:after="0" w:line="67" w:lineRule="exact"/>
        <w:rPr>
          <w:rFonts w:ascii="Times New Roman" w:cs="Times New Roman" w:eastAsia="Times New Roman" w:hAnsi="Times New Roman"/>
          <w:sz w:val="18"/>
          <w:szCs w:val="18"/>
          <w:color w:val="auto"/>
        </w:rPr>
      </w:pPr>
    </w:p>
    <w:p>
      <w:pPr>
        <w:ind w:left="544" w:right="280" w:hanging="544"/>
        <w:spacing w:after="0" w:line="282" w:lineRule="auto"/>
        <w:tabs>
          <w:tab w:leader="none" w:pos="544"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repayment of a Loan or Unpaid Sum or a part of a Loan or Unpaid Sum shall be made in the currency in which that Loan or Unpaid Sum is denominated, pursuant to this Agreement, on its due date.</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24"/>
          </w:cols>
          <w:pgMar w:left="436" w:top="270" w:right="439" w:bottom="1440" w:gutter="0" w:footer="0" w:header="0"/>
        </w:sectPr>
      </w:pPr>
    </w:p>
    <w:bookmarkStart w:id="144" w:name="page145"/>
    <w:bookmarkEnd w:id="144"/>
    <w:p>
      <w:pPr>
        <w:ind w:left="544" w:right="40" w:hanging="544"/>
        <w:spacing w:after="0" w:line="282" w:lineRule="auto"/>
        <w:tabs>
          <w:tab w:leader="none" w:pos="544"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payment of interest shall be made in the currency in which the sum in respect of which the interest is payable was denominated, pursuant to this Agreement, when that interest accrued.</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in respect of costs, expenses or Taxes shall be made in the currency in which the costs, expenses or Taxes are incurred.</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32.10  Change of currency</w:t>
      </w:r>
    </w:p>
    <w:p>
      <w:pPr>
        <w:spacing w:after="0" w:line="135" w:lineRule="exact"/>
        <w:rPr>
          <w:sz w:val="20"/>
          <w:szCs w:val="20"/>
          <w:color w:val="auto"/>
        </w:rPr>
      </w:pPr>
    </w:p>
    <w:p>
      <w:pPr>
        <w:ind w:left="544" w:right="580" w:hanging="544"/>
        <w:spacing w:after="0" w:line="282" w:lineRule="auto"/>
        <w:tabs>
          <w:tab w:leader="none" w:pos="544"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prohibited by law, if more than one currency or currency unit are at the same time recognised by the central bank of any country as the lawful currency of that country, then:</w:t>
      </w:r>
    </w:p>
    <w:p>
      <w:pPr>
        <w:spacing w:after="0" w:line="67" w:lineRule="exact"/>
        <w:rPr>
          <w:rFonts w:ascii="Times New Roman" w:cs="Times New Roman" w:eastAsia="Times New Roman" w:hAnsi="Times New Roman"/>
          <w:sz w:val="18"/>
          <w:szCs w:val="18"/>
          <w:color w:val="auto"/>
        </w:rPr>
      </w:pPr>
    </w:p>
    <w:p>
      <w:pPr>
        <w:ind w:left="1184" w:right="240" w:hanging="644"/>
        <w:spacing w:after="0" w:line="266" w:lineRule="auto"/>
        <w:tabs>
          <w:tab w:leader="none" w:pos="118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Company); and</w:t>
      </w:r>
    </w:p>
    <w:p>
      <w:pPr>
        <w:spacing w:after="0" w:line="81"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67" w:lineRule="exact"/>
        <w:rPr>
          <w:rFonts w:ascii="Times New Roman" w:cs="Times New Roman" w:eastAsia="Times New Roman" w:hAnsi="Times New Roman"/>
          <w:sz w:val="18"/>
          <w:szCs w:val="18"/>
          <w:color w:val="auto"/>
        </w:rPr>
      </w:pPr>
    </w:p>
    <w:p>
      <w:pPr>
        <w:ind w:left="544" w:right="60" w:hanging="544"/>
        <w:spacing w:after="0" w:line="266" w:lineRule="auto"/>
        <w:tabs>
          <w:tab w:leader="none" w:pos="544"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any currency of a country occurs, this Agreement will, to the extent the Agent (acting reasonably and after consultation with the Company) specifies to be necessary, be amended to comply with any generally accepted conventions and market practice in the Relevant Market and otherwise to reflect the change in currency.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32.11</w:t>
      </w:r>
      <w:r>
        <w:rPr>
          <w:sz w:val="20"/>
          <w:szCs w:val="20"/>
          <w:color w:val="auto"/>
        </w:rPr>
        <w:tab/>
      </w:r>
      <w:r>
        <w:rPr>
          <w:rFonts w:ascii="Times New Roman" w:cs="Times New Roman" w:eastAsia="Times New Roman" w:hAnsi="Times New Roman"/>
          <w:sz w:val="17"/>
          <w:szCs w:val="17"/>
          <w:b w:val="1"/>
          <w:bCs w:val="1"/>
          <w:color w:val="auto"/>
        </w:rPr>
        <w:t>Disruption to payment systems etc.</w:t>
      </w:r>
    </w:p>
    <w:p>
      <w:pPr>
        <w:spacing w:after="0" w:line="121" w:lineRule="exact"/>
        <w:rPr>
          <w:sz w:val="20"/>
          <w:szCs w:val="20"/>
          <w:color w:val="auto"/>
        </w:rPr>
      </w:pPr>
    </w:p>
    <w:p>
      <w:pPr>
        <w:ind w:left="544" w:right="160"/>
        <w:spacing w:after="0" w:line="282" w:lineRule="auto"/>
        <w:rPr>
          <w:sz w:val="20"/>
          <w:szCs w:val="20"/>
          <w:color w:val="auto"/>
        </w:rPr>
      </w:pPr>
      <w:r>
        <w:rPr>
          <w:rFonts w:ascii="Times New Roman" w:cs="Times New Roman" w:eastAsia="Times New Roman" w:hAnsi="Times New Roman"/>
          <w:sz w:val="18"/>
          <w:szCs w:val="18"/>
          <w:color w:val="auto"/>
        </w:rPr>
        <w:t>If either the Agent determines (in its discretion) that a Disruption Event has occurred or the Agent is notified by the Company that a Disruption Event has occurred:</w:t>
      </w:r>
    </w:p>
    <w:p>
      <w:pPr>
        <w:spacing w:after="0" w:line="67" w:lineRule="exact"/>
        <w:rPr>
          <w:sz w:val="20"/>
          <w:szCs w:val="20"/>
          <w:color w:val="auto"/>
        </w:rPr>
      </w:pPr>
    </w:p>
    <w:p>
      <w:pPr>
        <w:ind w:left="1184" w:right="240" w:hanging="644"/>
        <w:spacing w:after="0" w:line="282" w:lineRule="auto"/>
        <w:tabs>
          <w:tab w:leader="none" w:pos="1184"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and shall if requested to do so by the Company, consult with the Company with a view to agreeing with the Company such changes to the operation or administration of a Facility as the Agent may deem necessary in the circumstances;</w:t>
      </w:r>
    </w:p>
    <w:p>
      <w:pPr>
        <w:spacing w:after="0" w:line="67" w:lineRule="exact"/>
        <w:rPr>
          <w:rFonts w:ascii="Times New Roman" w:cs="Times New Roman" w:eastAsia="Times New Roman" w:hAnsi="Times New Roman"/>
          <w:sz w:val="18"/>
          <w:szCs w:val="18"/>
          <w:color w:val="auto"/>
        </w:rPr>
      </w:pPr>
    </w:p>
    <w:p>
      <w:pPr>
        <w:ind w:left="1184" w:right="580" w:hanging="644"/>
        <w:spacing w:after="0" w:line="282" w:lineRule="auto"/>
        <w:tabs>
          <w:tab w:leader="none" w:pos="1184"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obliged to consult with the Company in relation to any changes mentioned in paragraph (a) above if, in its opinion, it is not practicable to do so in the circumstances and, in any event, shall have no obligation to agree to such changes;</w:t>
      </w:r>
    </w:p>
    <w:p>
      <w:pPr>
        <w:spacing w:after="0" w:line="67"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67" w:lineRule="exact"/>
        <w:rPr>
          <w:rFonts w:ascii="Times New Roman" w:cs="Times New Roman" w:eastAsia="Times New Roman" w:hAnsi="Times New Roman"/>
          <w:sz w:val="18"/>
          <w:szCs w:val="18"/>
          <w:color w:val="auto"/>
        </w:rPr>
      </w:pPr>
    </w:p>
    <w:p>
      <w:pPr>
        <w:ind w:left="1184" w:right="140" w:hanging="644"/>
        <w:spacing w:after="0" w:line="266" w:lineRule="auto"/>
        <w:tabs>
          <w:tab w:leader="none" w:pos="1184"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changes agreed upon by the Agent and the Company shall (whether or not it is finally determined that a Disruption Event has occurred) be binding upon the Parties as an amendment to (or, as the case may be, waiver of) the terms of the Finance Documents notwithstanding the provisions of Clause 38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4" w:right="80" w:hanging="644"/>
        <w:spacing w:after="0" w:line="261" w:lineRule="auto"/>
        <w:tabs>
          <w:tab w:leader="none" w:pos="1184"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32.11; and</w:t>
      </w:r>
    </w:p>
    <w:p>
      <w:pPr>
        <w:spacing w:after="0" w:line="11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24"/>
          </w:cols>
          <w:pgMar w:left="436" w:top="270" w:right="439" w:bottom="1440" w:gutter="0" w:footer="0" w:header="0"/>
        </w:sectPr>
      </w:pPr>
    </w:p>
    <w:bookmarkStart w:id="145" w:name="page146"/>
    <w:bookmarkEnd w:id="145"/>
    <w:p>
      <w:pPr>
        <w:ind w:left="1184" w:hanging="644"/>
        <w:spacing w:after="0"/>
        <w:tabs>
          <w:tab w:leader="none" w:pos="1184"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Agent shall notify the Finance Parties of all changes agreed pursuant to paragraph (d) above.</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32.12  Payments to the Security Agent</w:t>
      </w:r>
    </w:p>
    <w:p>
      <w:pPr>
        <w:spacing w:after="0" w:line="121" w:lineRule="exact"/>
        <w:rPr>
          <w:sz w:val="20"/>
          <w:szCs w:val="20"/>
          <w:color w:val="auto"/>
        </w:rPr>
      </w:pPr>
    </w:p>
    <w:p>
      <w:pPr>
        <w:ind w:left="544" w:right="12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any Finance Document, at any time after any Security created by or pursuant to any Security Document becomes enforceable, the Security Agent may require:</w:t>
      </w:r>
    </w:p>
    <w:p>
      <w:pPr>
        <w:spacing w:after="0" w:line="67" w:lineRule="exact"/>
        <w:rPr>
          <w:sz w:val="20"/>
          <w:szCs w:val="20"/>
          <w:color w:val="auto"/>
        </w:rPr>
      </w:pPr>
    </w:p>
    <w:p>
      <w:pPr>
        <w:ind w:left="1184" w:hanging="644"/>
        <w:spacing w:after="0"/>
        <w:tabs>
          <w:tab w:leader="none" w:pos="1184"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 to pay all sums due under any Finance Document;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to pay all sums received or recovered from an Obligor under any Finance Document,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as the Security Agent may direct for application in accordance with the terms of the Security Documents.</w:t>
      </w:r>
    </w:p>
    <w:p>
      <w:pPr>
        <w:spacing w:after="0" w:line="36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SET-OFF</w:t>
      </w:r>
    </w:p>
    <w:p>
      <w:pPr>
        <w:spacing w:after="0" w:line="121" w:lineRule="exact"/>
        <w:rPr>
          <w:rFonts w:ascii="Times New Roman" w:cs="Times New Roman" w:eastAsia="Times New Roman" w:hAnsi="Times New Roman"/>
          <w:sz w:val="18"/>
          <w:szCs w:val="18"/>
          <w:b w:val="1"/>
          <w:bCs w:val="1"/>
          <w:color w:val="auto"/>
        </w:rPr>
      </w:pPr>
    </w:p>
    <w:p>
      <w:pPr>
        <w:ind w:left="544"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32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34.1</w:t>
      </w:r>
      <w:r>
        <w:rPr>
          <w:sz w:val="20"/>
          <w:szCs w:val="20"/>
          <w:color w:val="auto"/>
        </w:rPr>
        <w:tab/>
      </w:r>
      <w:r>
        <w:rPr>
          <w:rFonts w:ascii="Times New Roman" w:cs="Times New Roman" w:eastAsia="Times New Roman" w:hAnsi="Times New Roman"/>
          <w:sz w:val="17"/>
          <w:szCs w:val="17"/>
          <w:b w:val="1"/>
          <w:bCs w:val="1"/>
          <w:color w:val="auto"/>
        </w:rPr>
        <w:t>Communications in writing</w:t>
      </w:r>
    </w:p>
    <w:p>
      <w:pPr>
        <w:spacing w:after="0" w:line="121"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Any communication to be made under or in connection with the Finance Documents shall be made in writing and, unless otherwise stated, may be made by fax (except for any communication to be made or delivered to the Account Bank) or letter.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34.2</w:t>
        <w:tab/>
        <w:t>Addresses</w:t>
      </w:r>
    </w:p>
    <w:p>
      <w:pPr>
        <w:spacing w:after="0" w:line="121" w:lineRule="exact"/>
        <w:rPr>
          <w:sz w:val="20"/>
          <w:szCs w:val="20"/>
          <w:color w:val="auto"/>
        </w:rPr>
      </w:pPr>
    </w:p>
    <w:p>
      <w:pPr>
        <w:ind w:left="544" w:right="220"/>
        <w:spacing w:after="0" w:line="282" w:lineRule="auto"/>
        <w:rPr>
          <w:sz w:val="20"/>
          <w:szCs w:val="20"/>
          <w:color w:val="auto"/>
        </w:rPr>
      </w:pPr>
      <w:r>
        <w:rPr>
          <w:rFonts w:ascii="Times New Roman" w:cs="Times New Roman" w:eastAsia="Times New Roman" w:hAnsi="Times New Roman"/>
          <w:sz w:val="18"/>
          <w:szCs w:val="18"/>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67" w:lineRule="exact"/>
        <w:rPr>
          <w:sz w:val="20"/>
          <w:szCs w:val="20"/>
          <w:color w:val="auto"/>
        </w:rPr>
      </w:pPr>
    </w:p>
    <w:p>
      <w:pPr>
        <w:ind w:left="1184" w:hanging="644"/>
        <w:spacing w:after="0"/>
        <w:tabs>
          <w:tab w:leader="none" w:pos="118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that identified with its name below (in its signature page);</w:t>
      </w:r>
    </w:p>
    <w:p>
      <w:pPr>
        <w:spacing w:after="0" w:line="130"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Lender or any other Obligor, that notified in writing to the Agent on or prior to the date on which it becomes a Party;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Agent and the Security Agent, that identified with its name below (in its signature page),</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24"/>
          </w:cols>
          <w:pgMar w:left="436" w:top="270" w:right="439" w:bottom="1440" w:gutter="0" w:footer="0" w:header="0"/>
        </w:sectPr>
      </w:pPr>
    </w:p>
    <w:bookmarkStart w:id="146" w:name="page147"/>
    <w:bookmarkEnd w:id="146"/>
    <w:p>
      <w:pPr>
        <w:ind w:left="54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any substitute address, fax number or department or officer as the Party may notify to the Agent (or the Agent may notify to the other Parties, if a change is made by the Agent) by not less than five Business Days’ notice.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34.3</w:t>
      </w:r>
      <w:r>
        <w:rPr>
          <w:sz w:val="20"/>
          <w:szCs w:val="20"/>
          <w:color w:val="auto"/>
        </w:rPr>
        <w:tab/>
      </w:r>
      <w:r>
        <w:rPr>
          <w:rFonts w:ascii="Times New Roman" w:cs="Times New Roman" w:eastAsia="Times New Roman" w:hAnsi="Times New Roman"/>
          <w:sz w:val="17"/>
          <w:szCs w:val="17"/>
          <w:b w:val="1"/>
          <w:bCs w:val="1"/>
          <w:color w:val="auto"/>
        </w:rPr>
        <w:t>Delivery</w:t>
      </w:r>
    </w:p>
    <w:p>
      <w:pPr>
        <w:spacing w:after="0" w:line="135" w:lineRule="exact"/>
        <w:rPr>
          <w:sz w:val="20"/>
          <w:szCs w:val="20"/>
          <w:color w:val="auto"/>
        </w:rPr>
      </w:pPr>
    </w:p>
    <w:p>
      <w:pPr>
        <w:ind w:left="544" w:right="220" w:hanging="544"/>
        <w:spacing w:after="0" w:line="282" w:lineRule="auto"/>
        <w:tabs>
          <w:tab w:leader="none" w:pos="544"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by one person to another under or in connection with the Finance Documents will only be effective: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fax, when received in legible form; or</w:t>
      </w:r>
    </w:p>
    <w:p>
      <w:pPr>
        <w:spacing w:after="0" w:line="130" w:lineRule="exact"/>
        <w:rPr>
          <w:rFonts w:ascii="Times New Roman" w:cs="Times New Roman" w:eastAsia="Times New Roman" w:hAnsi="Times New Roman"/>
          <w:sz w:val="18"/>
          <w:szCs w:val="18"/>
          <w:color w:val="auto"/>
        </w:rPr>
      </w:pPr>
    </w:p>
    <w:p>
      <w:pPr>
        <w:ind w:left="1184" w:right="180" w:hanging="644"/>
        <w:spacing w:after="0" w:line="282" w:lineRule="auto"/>
        <w:tabs>
          <w:tab w:leader="none" w:pos="1184"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letter, when it has been left at the relevant address or 5 Business Days after being deposited in the post postage prepaid in an envelope addressed to it at that address,</w:t>
      </w:r>
    </w:p>
    <w:p>
      <w:pPr>
        <w:spacing w:after="0" w:line="52" w:lineRule="exact"/>
        <w:rPr>
          <w:sz w:val="20"/>
          <w:szCs w:val="20"/>
          <w:color w:val="auto"/>
        </w:rPr>
      </w:pPr>
    </w:p>
    <w:p>
      <w:pPr>
        <w:ind w:left="544" w:right="320"/>
        <w:spacing w:after="0" w:line="284" w:lineRule="auto"/>
        <w:rPr>
          <w:sz w:val="20"/>
          <w:szCs w:val="20"/>
          <w:color w:val="auto"/>
        </w:rPr>
      </w:pPr>
      <w:r>
        <w:rPr>
          <w:rFonts w:ascii="Times New Roman" w:cs="Times New Roman" w:eastAsia="Times New Roman" w:hAnsi="Times New Roman"/>
          <w:sz w:val="18"/>
          <w:szCs w:val="18"/>
          <w:color w:val="auto"/>
        </w:rPr>
        <w:t>and, if a particular department or officer is specified as part of its address details provided under Clause 34.2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if addressed to that department or officer.</w:t>
      </w:r>
    </w:p>
    <w:p>
      <w:pPr>
        <w:spacing w:after="0" w:line="66" w:lineRule="exact"/>
        <w:rPr>
          <w:sz w:val="20"/>
          <w:szCs w:val="20"/>
          <w:color w:val="auto"/>
        </w:rPr>
      </w:pPr>
    </w:p>
    <w:p>
      <w:pPr>
        <w:ind w:left="544" w:right="140" w:hanging="544"/>
        <w:spacing w:after="0" w:line="266" w:lineRule="auto"/>
        <w:tabs>
          <w:tab w:leader="none" w:pos="544"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to be made or delivered to the Agent or the Security Agent will be effective only when actually received by it and then only if it is expressly marked for the attention of the department or officer identified with its signature below (or any substitute department or officer as it shall specify for this purpose).</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from or to an Obligor shall be sent through the Agent.</w:t>
      </w:r>
    </w:p>
    <w:p>
      <w:pPr>
        <w:spacing w:after="0" w:line="130" w:lineRule="exact"/>
        <w:rPr>
          <w:rFonts w:ascii="Times New Roman" w:cs="Times New Roman" w:eastAsia="Times New Roman" w:hAnsi="Times New Roman"/>
          <w:sz w:val="18"/>
          <w:szCs w:val="18"/>
          <w:color w:val="auto"/>
        </w:rPr>
      </w:pPr>
    </w:p>
    <w:p>
      <w:pPr>
        <w:ind w:left="544" w:right="560" w:hanging="544"/>
        <w:spacing w:after="0" w:line="282" w:lineRule="auto"/>
        <w:tabs>
          <w:tab w:leader="none" w:pos="544"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to the Company in accordance with this Clause will be deemed to have been made or delivered to each of the Obligors.</w:t>
      </w:r>
    </w:p>
    <w:p>
      <w:pPr>
        <w:spacing w:after="0" w:line="67" w:lineRule="exact"/>
        <w:rPr>
          <w:rFonts w:ascii="Times New Roman" w:cs="Times New Roman" w:eastAsia="Times New Roman" w:hAnsi="Times New Roman"/>
          <w:sz w:val="18"/>
          <w:szCs w:val="18"/>
          <w:color w:val="auto"/>
        </w:rPr>
      </w:pPr>
    </w:p>
    <w:p>
      <w:pPr>
        <w:ind w:left="544" w:right="40" w:hanging="544"/>
        <w:spacing w:after="0" w:line="282" w:lineRule="auto"/>
        <w:tabs>
          <w:tab w:leader="none" w:pos="544"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which becomes effective, in accordance with paragraphs (a) to (d) above, after 5.00 p.m. in the place of receipt shall be deemed only to become effective on the following day.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34.4</w:t>
      </w:r>
      <w:r>
        <w:rPr>
          <w:sz w:val="20"/>
          <w:szCs w:val="20"/>
          <w:color w:val="auto"/>
        </w:rPr>
        <w:tab/>
      </w:r>
      <w:r>
        <w:rPr>
          <w:rFonts w:ascii="Times New Roman" w:cs="Times New Roman" w:eastAsia="Times New Roman" w:hAnsi="Times New Roman"/>
          <w:sz w:val="17"/>
          <w:szCs w:val="17"/>
          <w:b w:val="1"/>
          <w:bCs w:val="1"/>
          <w:color w:val="auto"/>
        </w:rPr>
        <w:t>Notification of address and fax number</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Promptly upon changing its address or fax number, the Agent shall notify the other Parties.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34.5</w:t>
      </w:r>
      <w:r>
        <w:rPr>
          <w:sz w:val="20"/>
          <w:szCs w:val="20"/>
          <w:color w:val="auto"/>
        </w:rPr>
        <w:tab/>
      </w:r>
      <w:r>
        <w:rPr>
          <w:rFonts w:ascii="Times New Roman" w:cs="Times New Roman" w:eastAsia="Times New Roman" w:hAnsi="Times New Roman"/>
          <w:sz w:val="17"/>
          <w:szCs w:val="17"/>
          <w:b w:val="1"/>
          <w:bCs w:val="1"/>
          <w:color w:val="auto"/>
        </w:rPr>
        <w:t>Electronic communication</w:t>
      </w:r>
    </w:p>
    <w:p>
      <w:pPr>
        <w:spacing w:after="0" w:line="135" w:lineRule="exact"/>
        <w:rPr>
          <w:sz w:val="20"/>
          <w:szCs w:val="20"/>
          <w:color w:val="auto"/>
        </w:rPr>
      </w:pPr>
    </w:p>
    <w:p>
      <w:pPr>
        <w:ind w:left="544" w:right="60" w:hanging="544"/>
        <w:spacing w:after="0" w:line="266" w:lineRule="auto"/>
        <w:tabs>
          <w:tab w:leader="none" w:pos="54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to be made or delivered by one Party to another under or in connection with the Finance Documents may be made or delivered by electronic mail or other electronic means (including, without limitation, by way of posting to a secure website) if those two Parties:</w:t>
      </w:r>
    </w:p>
    <w:p>
      <w:pPr>
        <w:spacing w:after="0" w:line="81" w:lineRule="exact"/>
        <w:rPr>
          <w:rFonts w:ascii="Times New Roman" w:cs="Times New Roman" w:eastAsia="Times New Roman" w:hAnsi="Times New Roman"/>
          <w:sz w:val="18"/>
          <w:szCs w:val="18"/>
          <w:color w:val="auto"/>
        </w:rPr>
      </w:pPr>
    </w:p>
    <w:p>
      <w:pPr>
        <w:ind w:left="1184" w:right="720" w:hanging="644"/>
        <w:spacing w:after="0" w:line="282" w:lineRule="auto"/>
        <w:tabs>
          <w:tab w:leader="none" w:pos="1184"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in writing of their electronic mail address and/or any other information required to enable the transmission of information by that means; and</w:t>
      </w:r>
    </w:p>
    <w:p>
      <w:pPr>
        <w:spacing w:after="0" w:line="67" w:lineRule="exact"/>
        <w:rPr>
          <w:rFonts w:ascii="Times New Roman" w:cs="Times New Roman" w:eastAsia="Times New Roman" w:hAnsi="Times New Roman"/>
          <w:sz w:val="18"/>
          <w:szCs w:val="18"/>
          <w:color w:val="auto"/>
        </w:rPr>
      </w:pPr>
    </w:p>
    <w:p>
      <w:pPr>
        <w:ind w:left="1184" w:right="300" w:hanging="644"/>
        <w:spacing w:after="0" w:line="282" w:lineRule="auto"/>
        <w:tabs>
          <w:tab w:leader="none" w:pos="1184"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of any change to their address or any other such information supplied by them by not less than five Business Days’ notice.</w:t>
      </w:r>
    </w:p>
    <w:p>
      <w:pPr>
        <w:spacing w:after="0" w:line="67" w:lineRule="exact"/>
        <w:rPr>
          <w:rFonts w:ascii="Times New Roman" w:cs="Times New Roman" w:eastAsia="Times New Roman" w:hAnsi="Times New Roman"/>
          <w:sz w:val="18"/>
          <w:szCs w:val="18"/>
          <w:color w:val="auto"/>
        </w:rPr>
      </w:pPr>
    </w:p>
    <w:p>
      <w:pPr>
        <w:ind w:left="544" w:right="100" w:hanging="544"/>
        <w:spacing w:after="0" w:line="266" w:lineRule="auto"/>
        <w:tabs>
          <w:tab w:leader="none" w:pos="54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electronic communication or delivery as specified in paragraph (a) above to be made between an Obligor and a Finance Party may only be made in that way to the extent that those two Parties agree that, unless and until notified to the contrary, this is to be an accepted form of communication or delivery.</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24"/>
          </w:cols>
          <w:pgMar w:left="436" w:top="270" w:right="439" w:bottom="1440" w:gutter="0" w:footer="0" w:header="0"/>
        </w:sectPr>
      </w:pPr>
    </w:p>
    <w:bookmarkStart w:id="147" w:name="page148"/>
    <w:bookmarkEnd w:id="147"/>
    <w:p>
      <w:pPr>
        <w:ind w:left="544" w:right="100" w:hanging="544"/>
        <w:spacing w:after="0" w:line="266" w:lineRule="auto"/>
        <w:tabs>
          <w:tab w:leader="none" w:pos="544"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Party to the Agent only if it is addressed in such a manner as the Agent shall specify for this purpose.</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instruction given to the Account Bank by any other Party shall be: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form set out in the relevant schedules under the Security Document (Closing);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via electronic mail or electronic channels.</w:t>
      </w:r>
    </w:p>
    <w:p>
      <w:pPr>
        <w:spacing w:after="0" w:line="130" w:lineRule="exact"/>
        <w:rPr>
          <w:rFonts w:ascii="Times New Roman" w:cs="Times New Roman" w:eastAsia="Times New Roman" w:hAnsi="Times New Roman"/>
          <w:sz w:val="18"/>
          <w:szCs w:val="18"/>
          <w:color w:val="auto"/>
        </w:rPr>
      </w:pPr>
    </w:p>
    <w:p>
      <w:pPr>
        <w:ind w:left="544" w:right="60" w:hanging="544"/>
        <w:spacing w:after="0" w:line="261" w:lineRule="auto"/>
        <w:tabs>
          <w:tab w:leader="none" w:pos="544"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manual account instructions are provided to the Account Bank, the Account Bank is not liable for risks associated with electronic communications. Each Party acknowledges that there are security and other risks involved in instructions or other communications being sent by electronic mail, including fraud or interference by third parties, breakdown or failure of transmission, and corrupted, incomplete or delayed transmission, and shall bear all such risks in relation to instructions or other communication being, or purporting to be, given by electronic mail.</w:t>
      </w:r>
    </w:p>
    <w:p>
      <w:pPr>
        <w:spacing w:after="0" w:line="85" w:lineRule="exact"/>
        <w:rPr>
          <w:rFonts w:ascii="Times New Roman" w:cs="Times New Roman" w:eastAsia="Times New Roman" w:hAnsi="Times New Roman"/>
          <w:sz w:val="18"/>
          <w:szCs w:val="18"/>
          <w:color w:val="auto"/>
        </w:rPr>
      </w:pPr>
    </w:p>
    <w:p>
      <w:pPr>
        <w:jc w:val="both"/>
        <w:ind w:left="544" w:right="280" w:hanging="544"/>
        <w:spacing w:after="0" w:line="266" w:lineRule="auto"/>
        <w:tabs>
          <w:tab w:leader="none" w:pos="544"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electronic communication or document which becomes effective, in accordance with paragraph (c) above, after 5:00 p.m. in the place in which the Party to whom the relevant communication or document is sent or made available has its address for the purpose of this Agreement shall be deemed only to become effective on the following day.</w:t>
      </w:r>
    </w:p>
    <w:p>
      <w:pPr>
        <w:spacing w:after="0" w:line="81" w:lineRule="exact"/>
        <w:rPr>
          <w:rFonts w:ascii="Times New Roman" w:cs="Times New Roman" w:eastAsia="Times New Roman" w:hAnsi="Times New Roman"/>
          <w:sz w:val="18"/>
          <w:szCs w:val="18"/>
          <w:color w:val="auto"/>
        </w:rPr>
      </w:pPr>
    </w:p>
    <w:p>
      <w:pPr>
        <w:ind w:left="544" w:right="300" w:hanging="544"/>
        <w:spacing w:after="0" w:line="282" w:lineRule="auto"/>
        <w:tabs>
          <w:tab w:leader="none" w:pos="544"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a Finance Document to a communication being sent or received or a document being delivered shall be construed to include that communication or document being made available in accordance with this Clause 34.5.</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34.6</w:t>
      </w:r>
      <w:r>
        <w:rPr>
          <w:sz w:val="20"/>
          <w:szCs w:val="20"/>
          <w:color w:val="auto"/>
        </w:rPr>
        <w:tab/>
      </w:r>
      <w:r>
        <w:rPr>
          <w:rFonts w:ascii="Times New Roman" w:cs="Times New Roman" w:eastAsia="Times New Roman" w:hAnsi="Times New Roman"/>
          <w:sz w:val="17"/>
          <w:szCs w:val="17"/>
          <w:b w:val="1"/>
          <w:bCs w:val="1"/>
          <w:color w:val="auto"/>
        </w:rPr>
        <w:t>Communication when Agent is Impaired Agent</w:t>
      </w:r>
    </w:p>
    <w:p>
      <w:pPr>
        <w:spacing w:after="0" w:line="121" w:lineRule="exact"/>
        <w:rPr>
          <w:sz w:val="20"/>
          <w:szCs w:val="20"/>
          <w:color w:val="auto"/>
        </w:rPr>
      </w:pPr>
    </w:p>
    <w:p>
      <w:pPr>
        <w:ind w:left="544" w:right="220"/>
        <w:spacing w:after="0" w:line="261" w:lineRule="auto"/>
        <w:rPr>
          <w:sz w:val="20"/>
          <w:szCs w:val="20"/>
          <w:color w:val="auto"/>
        </w:rPr>
      </w:pPr>
      <w:r>
        <w:rPr>
          <w:rFonts w:ascii="Times New Roman" w:cs="Times New Roman" w:eastAsia="Times New Roman" w:hAnsi="Times New Roman"/>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34.7</w:t>
        <w:tab/>
        <w:t>English language</w:t>
      </w:r>
    </w:p>
    <w:p>
      <w:pPr>
        <w:spacing w:after="0" w:line="135" w:lineRule="exact"/>
        <w:rPr>
          <w:sz w:val="20"/>
          <w:szCs w:val="20"/>
          <w:color w:val="auto"/>
        </w:rPr>
      </w:pPr>
    </w:p>
    <w:p>
      <w:pPr>
        <w:ind w:left="544" w:hanging="544"/>
        <w:spacing w:after="0"/>
        <w:tabs>
          <w:tab w:leader="none" w:pos="544"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under or in connection with any Finance Document must be in English.</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provided under or in connection with any Finance Document must be: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English; or</w:t>
      </w:r>
    </w:p>
    <w:p>
      <w:pPr>
        <w:spacing w:after="0" w:line="130" w:lineRule="exact"/>
        <w:rPr>
          <w:rFonts w:ascii="Times New Roman" w:cs="Times New Roman" w:eastAsia="Times New Roman" w:hAnsi="Times New Roman"/>
          <w:sz w:val="18"/>
          <w:szCs w:val="18"/>
          <w:color w:val="auto"/>
        </w:rPr>
      </w:pPr>
    </w:p>
    <w:p>
      <w:pPr>
        <w:ind w:left="1184" w:right="820" w:hanging="644"/>
        <w:spacing w:after="0" w:line="282" w:lineRule="auto"/>
        <w:tabs>
          <w:tab w:leader="none" w:pos="1184"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24"/>
          </w:cols>
          <w:pgMar w:left="436" w:top="270" w:right="439" w:bottom="1440" w:gutter="0" w:footer="0" w:header="0"/>
        </w:sectPr>
      </w:pPr>
    </w:p>
    <w:bookmarkStart w:id="148" w:name="page149"/>
    <w:bookmarkEnd w:id="148"/>
    <w:p>
      <w:pPr>
        <w:ind w:left="4" w:right="7240" w:hanging="4"/>
        <w:spacing w:after="0" w:line="385" w:lineRule="auto"/>
        <w:tabs>
          <w:tab w:leader="none" w:pos="544" w:val="left"/>
        </w:tabs>
        <w:numPr>
          <w:ilvl w:val="0"/>
          <w:numId w:val="4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CALCULATIONS AND CERTIFICATES 35.1 Accounts</w:t>
      </w:r>
    </w:p>
    <w:p>
      <w:pPr>
        <w:spacing w:after="0" w:line="1"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In any litigation or arbitration proceedings arising out of or in connection with a Finance Document, the entries made in the accounts maintained by a Finance Party are prima facie evidence of the matters to which they relate.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35.2</w:t>
      </w:r>
      <w:r>
        <w:rPr>
          <w:sz w:val="20"/>
          <w:szCs w:val="20"/>
          <w:color w:val="auto"/>
        </w:rPr>
        <w:tab/>
      </w:r>
      <w:r>
        <w:rPr>
          <w:rFonts w:ascii="Times New Roman" w:cs="Times New Roman" w:eastAsia="Times New Roman" w:hAnsi="Times New Roman"/>
          <w:sz w:val="17"/>
          <w:szCs w:val="17"/>
          <w:b w:val="1"/>
          <w:bCs w:val="1"/>
          <w:color w:val="auto"/>
        </w:rPr>
        <w:t>Certificates and determinations</w:t>
      </w:r>
    </w:p>
    <w:p>
      <w:pPr>
        <w:spacing w:after="0" w:line="121" w:lineRule="exact"/>
        <w:rPr>
          <w:sz w:val="20"/>
          <w:szCs w:val="20"/>
          <w:color w:val="auto"/>
        </w:rPr>
      </w:pPr>
    </w:p>
    <w:p>
      <w:pPr>
        <w:ind w:left="544" w:right="480"/>
        <w:spacing w:after="0" w:line="282" w:lineRule="auto"/>
        <w:rPr>
          <w:sz w:val="20"/>
          <w:szCs w:val="20"/>
          <w:color w:val="auto"/>
        </w:rPr>
      </w:pPr>
      <w:r>
        <w:rPr>
          <w:rFonts w:ascii="Times New Roman" w:cs="Times New Roman" w:eastAsia="Times New Roman" w:hAnsi="Times New Roman"/>
          <w:sz w:val="18"/>
          <w:szCs w:val="18"/>
          <w:color w:val="auto"/>
        </w:rPr>
        <w:t>Any certification or determination by a Finance Party of a rate or amount under any Finance Document is, in the absence of manifest error, conclusive evidence of the matters to which it relates.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35.3</w:t>
      </w:r>
      <w:r>
        <w:rPr>
          <w:sz w:val="20"/>
          <w:szCs w:val="20"/>
          <w:color w:val="auto"/>
        </w:rPr>
        <w:tab/>
      </w:r>
      <w:r>
        <w:rPr>
          <w:rFonts w:ascii="Times New Roman" w:cs="Times New Roman" w:eastAsia="Times New Roman" w:hAnsi="Times New Roman"/>
          <w:sz w:val="17"/>
          <w:szCs w:val="17"/>
          <w:b w:val="1"/>
          <w:bCs w:val="1"/>
          <w:color w:val="auto"/>
        </w:rPr>
        <w:t>Day count convention</w:t>
      </w:r>
    </w:p>
    <w:p>
      <w:pPr>
        <w:spacing w:after="0" w:line="121" w:lineRule="exact"/>
        <w:rPr>
          <w:sz w:val="20"/>
          <w:szCs w:val="20"/>
          <w:color w:val="auto"/>
        </w:rPr>
      </w:pPr>
    </w:p>
    <w:p>
      <w:pPr>
        <w:ind w:left="544" w:right="140"/>
        <w:spacing w:after="0" w:line="266" w:lineRule="auto"/>
        <w:rPr>
          <w:sz w:val="20"/>
          <w:szCs w:val="20"/>
          <w:color w:val="auto"/>
        </w:rPr>
      </w:pPr>
      <w:r>
        <w:rPr>
          <w:rFonts w:ascii="Times New Roman" w:cs="Times New Roman" w:eastAsia="Times New Roman" w:hAnsi="Times New Roman"/>
          <w:sz w:val="18"/>
          <w:szCs w:val="18"/>
          <w:color w:val="auto"/>
        </w:rPr>
        <w:t>Any interest, commission or fee accruing under a Finance Document will accrue from day to day and is calculated on the basis of the actual number of days elapsed and a year of 360 days or, in any case where the practice in the Relevant Market differs, in accordance with that market practice.</w:t>
      </w:r>
    </w:p>
    <w:p>
      <w:pPr>
        <w:spacing w:after="0" w:line="320" w:lineRule="exact"/>
        <w:rPr>
          <w:sz w:val="20"/>
          <w:szCs w:val="20"/>
          <w:color w:val="auto"/>
        </w:rPr>
      </w:pPr>
    </w:p>
    <w:p>
      <w:pPr>
        <w:ind w:left="544" w:hanging="544"/>
        <w:spacing w:after="0"/>
        <w:tabs>
          <w:tab w:leader="none" w:pos="544"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PARTIAL INVALIDITY</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320"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AND WAIVERS</w:t>
      </w:r>
    </w:p>
    <w:p>
      <w:pPr>
        <w:spacing w:after="0" w:line="121" w:lineRule="exact"/>
        <w:rPr>
          <w:rFonts w:ascii="Times New Roman" w:cs="Times New Roman" w:eastAsia="Times New Roman" w:hAnsi="Times New Roman"/>
          <w:sz w:val="18"/>
          <w:szCs w:val="18"/>
          <w:b w:val="1"/>
          <w:bCs w:val="1"/>
          <w:color w:val="auto"/>
        </w:rPr>
      </w:pPr>
    </w:p>
    <w:p>
      <w:pPr>
        <w:ind w:left="544"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failure to exercise, nor any delay in exercising, on the part of any Finance Party or Secured Party, any right or remedy under a Finance Document shall operate as a waiver of any such right or remedy or constitute an election to affirm any Finance Document. No waiver or election to affirm any Finance Document on the part of any Finance Party or Secured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32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38.1</w:t>
      </w:r>
      <w:r>
        <w:rPr>
          <w:sz w:val="20"/>
          <w:szCs w:val="20"/>
          <w:color w:val="auto"/>
        </w:rPr>
        <w:tab/>
      </w:r>
      <w:r>
        <w:rPr>
          <w:rFonts w:ascii="Times New Roman" w:cs="Times New Roman" w:eastAsia="Times New Roman" w:hAnsi="Times New Roman"/>
          <w:sz w:val="17"/>
          <w:szCs w:val="17"/>
          <w:b w:val="1"/>
          <w:bCs w:val="1"/>
          <w:color w:val="auto"/>
        </w:rPr>
        <w:t>Required consents</w:t>
      </w:r>
    </w:p>
    <w:p>
      <w:pPr>
        <w:spacing w:after="0" w:line="133" w:lineRule="exact"/>
        <w:rPr>
          <w:sz w:val="20"/>
          <w:szCs w:val="20"/>
          <w:color w:val="auto"/>
        </w:rPr>
      </w:pPr>
    </w:p>
    <w:p>
      <w:pPr>
        <w:ind w:left="544" w:right="80" w:hanging="544"/>
        <w:spacing w:after="0" w:line="284" w:lineRule="auto"/>
        <w:tabs>
          <w:tab w:leader="none" w:pos="54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38.2 (</w:t>
      </w:r>
      <w:r>
        <w:rPr>
          <w:rFonts w:ascii="Times New Roman" w:cs="Times New Roman" w:eastAsia="Times New Roman" w:hAnsi="Times New Roman"/>
          <w:sz w:val="18"/>
          <w:szCs w:val="18"/>
          <w:i w:val="1"/>
          <w:iCs w:val="1"/>
          <w:color w:val="auto"/>
        </w:rPr>
        <w:t>All Lender matters</w:t>
      </w:r>
      <w:r>
        <w:rPr>
          <w:rFonts w:ascii="Times New Roman" w:cs="Times New Roman" w:eastAsia="Times New Roman" w:hAnsi="Times New Roman"/>
          <w:sz w:val="18"/>
          <w:szCs w:val="18"/>
          <w:color w:val="auto"/>
        </w:rPr>
        <w:t>) and Clause 38.3 (</w:t>
      </w:r>
      <w:r>
        <w:rPr>
          <w:rFonts w:ascii="Times New Roman" w:cs="Times New Roman" w:eastAsia="Times New Roman" w:hAnsi="Times New Roman"/>
          <w:sz w:val="18"/>
          <w:szCs w:val="18"/>
          <w:i w:val="1"/>
          <w:iCs w:val="1"/>
          <w:color w:val="auto"/>
        </w:rPr>
        <w:t>Other exceptions</w:t>
      </w:r>
      <w:r>
        <w:rPr>
          <w:rFonts w:ascii="Times New Roman" w:cs="Times New Roman" w:eastAsia="Times New Roman" w:hAnsi="Times New Roman"/>
          <w:sz w:val="18"/>
          <w:szCs w:val="18"/>
          <w:color w:val="auto"/>
        </w:rPr>
        <w:t>), any term of the Finance Documents may be amended or waived only with the consent of the Majority Lenders and the Obligors and any such amendment or waiver will be binding on all Parties.</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effect, on behalf of any Finance Party, any amendment or waiver permitted by this Clause.</w:t>
      </w:r>
    </w:p>
    <w:p>
      <w:pPr>
        <w:spacing w:after="0" w:line="12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(c) of Clause 25.9 (</w:t>
      </w:r>
      <w:r>
        <w:rPr>
          <w:rFonts w:ascii="Times New Roman" w:cs="Times New Roman" w:eastAsia="Times New Roman" w:hAnsi="Times New Roman"/>
          <w:sz w:val="18"/>
          <w:szCs w:val="18"/>
          <w:i w:val="1"/>
          <w:iCs w:val="1"/>
          <w:color w:val="auto"/>
        </w:rPr>
        <w:t>Pro rata interest settlement</w:t>
      </w:r>
      <w:r>
        <w:rPr>
          <w:rFonts w:ascii="Times New Roman" w:cs="Times New Roman" w:eastAsia="Times New Roman" w:hAnsi="Times New Roman"/>
          <w:sz w:val="18"/>
          <w:szCs w:val="18"/>
          <w:color w:val="auto"/>
        </w:rPr>
        <w:t>) shall apply to this Clause 38.</w:t>
      </w:r>
    </w:p>
    <w:p>
      <w:pPr>
        <w:spacing w:after="0" w:line="160"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24"/>
          </w:cols>
          <w:pgMar w:left="436" w:top="266" w:right="439" w:bottom="1440" w:gutter="0" w:footer="0" w:header="0"/>
        </w:sectPr>
      </w:pPr>
    </w:p>
    <w:bookmarkStart w:id="149" w:name="page150"/>
    <w:bookmarkEnd w:id="149"/>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38.2</w:t>
      </w:r>
      <w:r>
        <w:rPr>
          <w:sz w:val="20"/>
          <w:szCs w:val="20"/>
          <w:color w:val="auto"/>
        </w:rPr>
        <w:tab/>
      </w:r>
      <w:r>
        <w:rPr>
          <w:rFonts w:ascii="Times New Roman" w:cs="Times New Roman" w:eastAsia="Times New Roman" w:hAnsi="Times New Roman"/>
          <w:sz w:val="17"/>
          <w:szCs w:val="17"/>
          <w:b w:val="1"/>
          <w:bCs w:val="1"/>
          <w:color w:val="auto"/>
        </w:rPr>
        <w:t>All Lender matters</w:t>
      </w:r>
    </w:p>
    <w:p>
      <w:pPr>
        <w:spacing w:after="0" w:line="119" w:lineRule="exact"/>
        <w:rPr>
          <w:sz w:val="20"/>
          <w:szCs w:val="20"/>
          <w:color w:val="auto"/>
        </w:rPr>
      </w:pPr>
    </w:p>
    <w:p>
      <w:pPr>
        <w:ind w:left="540" w:right="180"/>
        <w:spacing w:after="0" w:line="284" w:lineRule="auto"/>
        <w:rPr>
          <w:sz w:val="20"/>
          <w:szCs w:val="20"/>
          <w:color w:val="auto"/>
        </w:rPr>
      </w:pPr>
      <w:r>
        <w:rPr>
          <w:rFonts w:ascii="Times New Roman" w:cs="Times New Roman" w:eastAsia="Times New Roman" w:hAnsi="Times New Roman"/>
          <w:sz w:val="18"/>
          <w:szCs w:val="18"/>
          <w:color w:val="auto"/>
        </w:rPr>
        <w:t>Subject to Clause 38.4 (</w:t>
      </w:r>
      <w:r>
        <w:rPr>
          <w:rFonts w:ascii="Times New Roman" w:cs="Times New Roman" w:eastAsia="Times New Roman" w:hAnsi="Times New Roman"/>
          <w:sz w:val="18"/>
          <w:szCs w:val="18"/>
          <w:i w:val="1"/>
          <w:iCs w:val="1"/>
          <w:color w:val="auto"/>
        </w:rPr>
        <w:t>Replacement of Screen Rate – Facility A</w:t>
      </w:r>
      <w:r>
        <w:rPr>
          <w:rFonts w:ascii="Times New Roman" w:cs="Times New Roman" w:eastAsia="Times New Roman" w:hAnsi="Times New Roman"/>
          <w:sz w:val="18"/>
          <w:szCs w:val="18"/>
          <w:color w:val="auto"/>
        </w:rPr>
        <w:t>) and Clause 38.5 (</w:t>
      </w:r>
      <w:r>
        <w:rPr>
          <w:rFonts w:ascii="Times New Roman" w:cs="Times New Roman" w:eastAsia="Times New Roman" w:hAnsi="Times New Roman"/>
          <w:sz w:val="18"/>
          <w:szCs w:val="18"/>
          <w:i w:val="1"/>
          <w:iCs w:val="1"/>
          <w:color w:val="auto"/>
        </w:rPr>
        <w:t>Replacement of Reference Rate – Facility B</w:t>
      </w:r>
      <w:r>
        <w:rPr>
          <w:rFonts w:ascii="Times New Roman" w:cs="Times New Roman" w:eastAsia="Times New Roman" w:hAnsi="Times New Roman"/>
          <w:sz w:val="18"/>
          <w:szCs w:val="18"/>
          <w:color w:val="auto"/>
        </w:rPr>
        <w:t>) an amendment or waiver of any term of any Finance Document that has the effect of changing or which relates to:</w:t>
      </w:r>
    </w:p>
    <w:p>
      <w:pPr>
        <w:spacing w:after="0" w:line="64" w:lineRule="exact"/>
        <w:rPr>
          <w:sz w:val="20"/>
          <w:szCs w:val="20"/>
          <w:color w:val="auto"/>
        </w:rPr>
      </w:pPr>
    </w:p>
    <w:p>
      <w:pPr>
        <w:ind w:left="1180" w:hanging="644"/>
        <w:spacing w:after="0"/>
        <w:tabs>
          <w:tab w:leader="none" w:pos="11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“Majority Lenders” and “Change of Control”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to the date of payment of any amount under the Finance Documents;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Margin or a reduction in the amount of any payment of principal, interest, fees or commission payable;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currency of payment of any amount under the Finance Documents;</w:t>
      </w:r>
    </w:p>
    <w:p>
      <w:pPr>
        <w:spacing w:after="0" w:line="130" w:lineRule="exact"/>
        <w:rPr>
          <w:rFonts w:ascii="Times New Roman" w:cs="Times New Roman" w:eastAsia="Times New Roman" w:hAnsi="Times New Roman"/>
          <w:sz w:val="18"/>
          <w:szCs w:val="18"/>
          <w:color w:val="auto"/>
        </w:rPr>
      </w:pPr>
    </w:p>
    <w:p>
      <w:pPr>
        <w:ind w:left="1180" w:right="860" w:hanging="644"/>
        <w:spacing w:after="0" w:line="282" w:lineRule="auto"/>
        <w:tabs>
          <w:tab w:leader="none" w:pos="11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any Commitment or the Total Commitments, an extension of any Availability Period or any requirement that a cancellation of Commitments reduces the Commitments of the Lenders rateably under the relevant Facility;</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Borrower or the Guarantor;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expressly requires the consent of all the Lenders;</w:t>
      </w:r>
    </w:p>
    <w:p>
      <w:pPr>
        <w:spacing w:after="0" w:line="128" w:lineRule="exact"/>
        <w:rPr>
          <w:rFonts w:ascii="Times New Roman" w:cs="Times New Roman" w:eastAsia="Times New Roman" w:hAnsi="Times New Roman"/>
          <w:sz w:val="18"/>
          <w:szCs w:val="18"/>
          <w:color w:val="auto"/>
        </w:rPr>
      </w:pPr>
    </w:p>
    <w:p>
      <w:pPr>
        <w:ind w:left="1180" w:right="20" w:hanging="644"/>
        <w:spacing w:after="0" w:line="261" w:lineRule="auto"/>
        <w:tabs>
          <w:tab w:leader="none" w:pos="11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2.2 (</w:t>
      </w:r>
      <w:r>
        <w:rPr>
          <w:rFonts w:ascii="Times New Roman" w:cs="Times New Roman" w:eastAsia="Times New Roman" w:hAnsi="Times New Roman"/>
          <w:sz w:val="18"/>
          <w:szCs w:val="18"/>
          <w:i w:val="1"/>
          <w:iCs w:val="1"/>
          <w:color w:val="auto"/>
        </w:rPr>
        <w:t>Finance Parties’ rights and obligations</w:t>
      </w:r>
      <w:r>
        <w:rPr>
          <w:rFonts w:ascii="Times New Roman" w:cs="Times New Roman" w:eastAsia="Times New Roman" w:hAnsi="Times New Roman"/>
          <w:sz w:val="18"/>
          <w:szCs w:val="18"/>
          <w:color w:val="auto"/>
        </w:rPr>
        <w:t>), Clause 5.1 (</w:t>
      </w:r>
      <w:r>
        <w:rPr>
          <w:rFonts w:ascii="Times New Roman" w:cs="Times New Roman" w:eastAsia="Times New Roman" w:hAnsi="Times New Roman"/>
          <w:sz w:val="18"/>
          <w:szCs w:val="18"/>
          <w:i w:val="1"/>
          <w:iCs w:val="1"/>
          <w:color w:val="auto"/>
        </w:rPr>
        <w:t>Delivery of a Utilisation Request</w:t>
      </w:r>
      <w:r>
        <w:rPr>
          <w:rFonts w:ascii="Times New Roman" w:cs="Times New Roman" w:eastAsia="Times New Roman" w:hAnsi="Times New Roman"/>
          <w:sz w:val="18"/>
          <w:szCs w:val="18"/>
          <w:color w:val="auto"/>
        </w:rPr>
        <w:t>),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Clause 8.1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Clause 8.3 (</w:t>
      </w:r>
      <w:r>
        <w:rPr>
          <w:rFonts w:ascii="Times New Roman" w:cs="Times New Roman" w:eastAsia="Times New Roman" w:hAnsi="Times New Roman"/>
          <w:sz w:val="18"/>
          <w:szCs w:val="18"/>
          <w:i w:val="1"/>
          <w:iCs w:val="1"/>
          <w:color w:val="auto"/>
        </w:rPr>
        <w:t>Application of mandatory prepayments and cancellations</w:t>
      </w:r>
      <w:r>
        <w:rPr>
          <w:rFonts w:ascii="Times New Roman" w:cs="Times New Roman" w:eastAsia="Times New Roman" w:hAnsi="Times New Roman"/>
          <w:sz w:val="18"/>
          <w:szCs w:val="18"/>
          <w:color w:val="auto"/>
        </w:rPr>
        <w:t>),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Clause 27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 Clause 29 (</w:t>
      </w:r>
      <w:r>
        <w:rPr>
          <w:rFonts w:ascii="Times New Roman" w:cs="Times New Roman" w:eastAsia="Times New Roman" w:hAnsi="Times New Roman"/>
          <w:sz w:val="18"/>
          <w:szCs w:val="18"/>
          <w:i w:val="1"/>
          <w:iCs w:val="1"/>
          <w:color w:val="auto"/>
        </w:rPr>
        <w:t>Application of Proceeds</w:t>
      </w:r>
      <w:r>
        <w:rPr>
          <w:rFonts w:ascii="Times New Roman" w:cs="Times New Roman" w:eastAsia="Times New Roman" w:hAnsi="Times New Roman"/>
          <w:sz w:val="18"/>
          <w:szCs w:val="18"/>
          <w:color w:val="auto"/>
        </w:rPr>
        <w:t>), Clause 31 (</w:t>
      </w:r>
      <w:r>
        <w:rPr>
          <w:rFonts w:ascii="Times New Roman" w:cs="Times New Roman" w:eastAsia="Times New Roman" w:hAnsi="Times New Roman"/>
          <w:sz w:val="18"/>
          <w:szCs w:val="18"/>
          <w:i w:val="1"/>
          <w:iCs w:val="1"/>
          <w:color w:val="auto"/>
        </w:rPr>
        <w:t>Sharing among the Finance Parties</w:t>
      </w:r>
      <w:r>
        <w:rPr>
          <w:rFonts w:ascii="Times New Roman" w:cs="Times New Roman" w:eastAsia="Times New Roman" w:hAnsi="Times New Roman"/>
          <w:sz w:val="18"/>
          <w:szCs w:val="18"/>
          <w:color w:val="auto"/>
        </w:rPr>
        <w:t>), the governing law of any Finance Document, Clause 45.1 (</w:t>
      </w:r>
      <w:r>
        <w:rPr>
          <w:rFonts w:ascii="Times New Roman" w:cs="Times New Roman" w:eastAsia="Times New Roman" w:hAnsi="Times New Roman"/>
          <w:sz w:val="18"/>
          <w:szCs w:val="18"/>
          <w:i w:val="1"/>
          <w:iCs w:val="1"/>
          <w:color w:val="auto"/>
        </w:rPr>
        <w:t>Jurisdiction of English courts</w:t>
      </w:r>
      <w:r>
        <w:rPr>
          <w:rFonts w:ascii="Times New Roman" w:cs="Times New Roman" w:eastAsia="Times New Roman" w:hAnsi="Times New Roman"/>
          <w:sz w:val="18"/>
          <w:szCs w:val="18"/>
          <w:color w:val="auto"/>
        </w:rPr>
        <w:t>) or this Clause 38;</w:t>
      </w:r>
    </w:p>
    <w:p>
      <w:pPr>
        <w:spacing w:after="0" w:line="85" w:lineRule="exact"/>
        <w:rPr>
          <w:rFonts w:ascii="Times New Roman" w:cs="Times New Roman" w:eastAsia="Times New Roman" w:hAnsi="Times New Roman"/>
          <w:sz w:val="18"/>
          <w:szCs w:val="18"/>
          <w:color w:val="auto"/>
        </w:rPr>
      </w:pPr>
    </w:p>
    <w:p>
      <w:pPr>
        <w:jc w:val="both"/>
        <w:ind w:left="1180" w:right="220" w:hanging="644"/>
        <w:spacing w:after="0" w:line="290" w:lineRule="auto"/>
        <w:tabs>
          <w:tab w:leader="none" w:pos="1180"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release of any guarantee and indemnity granted under Clause 19 (</w:t>
      </w:r>
      <w:r>
        <w:rPr>
          <w:rFonts w:ascii="Times New Roman" w:cs="Times New Roman" w:eastAsia="Times New Roman" w:hAnsi="Times New Roman"/>
          <w:sz w:val="17"/>
          <w:szCs w:val="17"/>
          <w:i w:val="1"/>
          <w:iCs w:val="1"/>
          <w:color w:val="auto"/>
        </w:rPr>
        <w:t>Guarantee and indemnity</w:t>
      </w:r>
      <w:r>
        <w:rPr>
          <w:rFonts w:ascii="Times New Roman" w:cs="Times New Roman" w:eastAsia="Times New Roman" w:hAnsi="Times New Roman"/>
          <w:sz w:val="17"/>
          <w:szCs w:val="17"/>
          <w:color w:val="auto"/>
        </w:rPr>
        <w:t>) or of any Transaction Security unless permitted under this Agreement or any other Finance Document or relating to a sale or disposal of an asset which is the subject of the Transaction Security where such sale or disposal is expressly permitted under this Agreement or any other Finance Document;</w:t>
      </w:r>
    </w:p>
    <w:p>
      <w:pPr>
        <w:spacing w:after="0" w:line="62" w:lineRule="exact"/>
        <w:rPr>
          <w:rFonts w:ascii="Times New Roman" w:cs="Times New Roman" w:eastAsia="Times New Roman" w:hAnsi="Times New Roman"/>
          <w:sz w:val="17"/>
          <w:szCs w:val="17"/>
          <w:color w:val="auto"/>
        </w:rPr>
      </w:pPr>
    </w:p>
    <w:p>
      <w:pPr>
        <w:ind w:left="1180" w:hanging="644"/>
        <w:spacing w:after="0"/>
        <w:tabs>
          <w:tab w:leader="none" w:pos="11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expressly permitted by the provisions of any Finance Document) the nature or scope of:</w:t>
      </w:r>
    </w:p>
    <w:p>
      <w:pPr>
        <w:spacing w:after="0" w:line="128"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and indemnity granted under Clause 19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Charged Property; 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proceeds of enforcement of the Transaction Security are distributed,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or in relation to the Keepwell Deed;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 of priority or subordination contemplated under this Agreement or the Subordination Deed; or</w:t>
      </w:r>
    </w:p>
    <w:p>
      <w:pPr>
        <w:spacing w:after="0" w:line="128" w:lineRule="exact"/>
        <w:rPr>
          <w:rFonts w:ascii="Times New Roman" w:cs="Times New Roman" w:eastAsia="Times New Roman" w:hAnsi="Times New Roman"/>
          <w:sz w:val="18"/>
          <w:szCs w:val="18"/>
          <w:color w:val="auto"/>
        </w:rPr>
      </w:pPr>
    </w:p>
    <w:p>
      <w:pPr>
        <w:ind w:left="1180" w:right="380" w:hanging="644"/>
        <w:spacing w:after="0" w:line="284" w:lineRule="auto"/>
        <w:tabs>
          <w:tab w:leader="none" w:pos="11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20.18 (</w:t>
      </w:r>
      <w:r>
        <w:rPr>
          <w:rFonts w:ascii="Times New Roman" w:cs="Times New Roman" w:eastAsia="Times New Roman" w:hAnsi="Times New Roman"/>
          <w:sz w:val="18"/>
          <w:szCs w:val="18"/>
          <w:i w:val="1"/>
          <w:iCs w:val="1"/>
          <w:color w:val="auto"/>
        </w:rPr>
        <w:t>Anti-corruption and anti-money laundering</w:t>
      </w:r>
      <w:r>
        <w:rPr>
          <w:rFonts w:ascii="Times New Roman" w:cs="Times New Roman" w:eastAsia="Times New Roman" w:hAnsi="Times New Roman"/>
          <w:sz w:val="18"/>
          <w:szCs w:val="18"/>
          <w:color w:val="auto"/>
        </w:rPr>
        <w:t>), Clause 20.19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Clause 21.8 (</w:t>
      </w:r>
      <w:r>
        <w:rPr>
          <w:rFonts w:ascii="Times New Roman" w:cs="Times New Roman" w:eastAsia="Times New Roman" w:hAnsi="Times New Roman"/>
          <w:sz w:val="18"/>
          <w:szCs w:val="18"/>
          <w:i w:val="1"/>
          <w:iCs w:val="1"/>
          <w:color w:val="auto"/>
        </w:rPr>
        <w:t>Anti-corruption information</w:t>
      </w:r>
      <w:r>
        <w:rPr>
          <w:rFonts w:ascii="Times New Roman" w:cs="Times New Roman" w:eastAsia="Times New Roman" w:hAnsi="Times New Roman"/>
          <w:sz w:val="18"/>
          <w:szCs w:val="18"/>
          <w:color w:val="auto"/>
        </w:rPr>
        <w:t>) or Clause 23.17 (</w:t>
      </w:r>
      <w:r>
        <w:rPr>
          <w:rFonts w:ascii="Times New Roman" w:cs="Times New Roman" w:eastAsia="Times New Roman" w:hAnsi="Times New Roman"/>
          <w:sz w:val="18"/>
          <w:szCs w:val="18"/>
          <w:i w:val="1"/>
          <w:iCs w:val="1"/>
          <w:color w:val="auto"/>
        </w:rPr>
        <w:t>Sanctions, anti-corruption, anti-money laundering and anti-terrorism</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shall not be made without the prior consent of all the Lenders.</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20"/>
          </w:cols>
          <w:pgMar w:left="440" w:top="266" w:right="439" w:bottom="1440" w:gutter="0" w:footer="0" w:header="0"/>
        </w:sectPr>
      </w:pPr>
    </w:p>
    <w:bookmarkStart w:id="150" w:name="page151"/>
    <w:bookmarkEnd w:id="150"/>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38.3</w:t>
      </w:r>
      <w:r>
        <w:rPr>
          <w:sz w:val="20"/>
          <w:szCs w:val="20"/>
          <w:color w:val="auto"/>
        </w:rPr>
        <w:tab/>
      </w:r>
      <w:r>
        <w:rPr>
          <w:rFonts w:ascii="Times New Roman" w:cs="Times New Roman" w:eastAsia="Times New Roman" w:hAnsi="Times New Roman"/>
          <w:sz w:val="17"/>
          <w:szCs w:val="17"/>
          <w:b w:val="1"/>
          <w:bCs w:val="1"/>
          <w:color w:val="auto"/>
        </w:rPr>
        <w:t>Other exceptions</w:t>
      </w:r>
    </w:p>
    <w:p>
      <w:pPr>
        <w:spacing w:after="0" w:line="121" w:lineRule="exact"/>
        <w:rPr>
          <w:sz w:val="20"/>
          <w:szCs w:val="20"/>
          <w:color w:val="auto"/>
        </w:rPr>
      </w:pPr>
    </w:p>
    <w:p>
      <w:pPr>
        <w:ind w:left="544" w:right="340"/>
        <w:spacing w:after="0" w:line="266" w:lineRule="auto"/>
        <w:rPr>
          <w:sz w:val="20"/>
          <w:szCs w:val="20"/>
          <w:color w:val="auto"/>
        </w:rPr>
      </w:pPr>
      <w:r>
        <w:rPr>
          <w:rFonts w:ascii="Times New Roman" w:cs="Times New Roman" w:eastAsia="Times New Roman" w:hAnsi="Times New Roman"/>
          <w:sz w:val="18"/>
          <w:szCs w:val="18"/>
          <w:color w:val="auto"/>
        </w:rPr>
        <w:t>An amendment or waiver which relates to the rights or obligations of the Agent, the Security Agent, any of the Global Coordinators, the MLABSs or the MLAs (each in their capacity as such) may not be effected without the consent of the Agent, the Security Agent, that Global Coordinator, that MLAB or that MLA, as the case may be.</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38.4</w:t>
        <w:tab/>
        <w:t>Replacement of Screen Rate – Facility A</w:t>
      </w:r>
    </w:p>
    <w:p>
      <w:pPr>
        <w:spacing w:after="0" w:line="133" w:lineRule="exact"/>
        <w:rPr>
          <w:sz w:val="20"/>
          <w:szCs w:val="20"/>
          <w:color w:val="auto"/>
        </w:rPr>
      </w:pPr>
    </w:p>
    <w:p>
      <w:pPr>
        <w:ind w:left="544" w:right="120" w:hanging="544"/>
        <w:spacing w:after="0" w:line="284" w:lineRule="auto"/>
        <w:tabs>
          <w:tab w:leader="none" w:pos="544"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38.3 (</w:t>
      </w:r>
      <w:r>
        <w:rPr>
          <w:rFonts w:ascii="Times New Roman" w:cs="Times New Roman" w:eastAsia="Times New Roman" w:hAnsi="Times New Roman"/>
          <w:sz w:val="18"/>
          <w:szCs w:val="18"/>
          <w:i w:val="1"/>
          <w:iCs w:val="1"/>
          <w:color w:val="auto"/>
        </w:rPr>
        <w:t>Other exceptions</w:t>
      </w:r>
      <w:r>
        <w:rPr>
          <w:rFonts w:ascii="Times New Roman" w:cs="Times New Roman" w:eastAsia="Times New Roman" w:hAnsi="Times New Roman"/>
          <w:sz w:val="18"/>
          <w:szCs w:val="18"/>
          <w:color w:val="auto"/>
        </w:rPr>
        <w:t>), if a Screen Rate Replacement Event has occurred in relation to any Screen Rate for a currency which can be selected for a Loan (Facility A), any amendment or waiver which relates to:</w:t>
      </w:r>
    </w:p>
    <w:p>
      <w:pPr>
        <w:spacing w:after="0" w:line="6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use of a Replacement Benchmark in relation to that currency in place of that Screen Rate; and</w:t>
      </w:r>
    </w:p>
    <w:p>
      <w:pPr>
        <w:spacing w:after="0" w:line="13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(ii)</w:t>
      </w:r>
    </w:p>
    <w:p>
      <w:pPr>
        <w:spacing w:after="0" w:line="131" w:lineRule="exact"/>
        <w:rPr>
          <w:sz w:val="20"/>
          <w:szCs w:val="20"/>
          <w:color w:val="auto"/>
        </w:rPr>
      </w:pPr>
    </w:p>
    <w:p>
      <w:pPr>
        <w:ind w:left="1744" w:hanging="543"/>
        <w:spacing w:after="0"/>
        <w:tabs>
          <w:tab w:leader="none" w:pos="1744"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any provision of any Finance Document to the use of that Replacement Benchmark;</w:t>
      </w:r>
    </w:p>
    <w:p>
      <w:pPr>
        <w:spacing w:after="0" w:line="130" w:lineRule="exact"/>
        <w:rPr>
          <w:rFonts w:ascii="Times New Roman" w:cs="Times New Roman" w:eastAsia="Times New Roman" w:hAnsi="Times New Roman"/>
          <w:sz w:val="18"/>
          <w:szCs w:val="18"/>
          <w:color w:val="auto"/>
        </w:rPr>
      </w:pPr>
    </w:p>
    <w:p>
      <w:pPr>
        <w:jc w:val="both"/>
        <w:ind w:left="1744" w:right="560" w:hanging="543"/>
        <w:spacing w:after="0" w:line="266" w:lineRule="auto"/>
        <w:tabs>
          <w:tab w:leader="none" w:pos="1744"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81"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market conventions applicable to that Replacement Benchmark;</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appropriate fallback (and market disruption) provisions for that Replacement Benchmark; or</w:t>
      </w:r>
    </w:p>
    <w:p>
      <w:pPr>
        <w:spacing w:after="0" w:line="130" w:lineRule="exact"/>
        <w:rPr>
          <w:rFonts w:ascii="Times New Roman" w:cs="Times New Roman" w:eastAsia="Times New Roman" w:hAnsi="Times New Roman"/>
          <w:sz w:val="18"/>
          <w:szCs w:val="18"/>
          <w:color w:val="auto"/>
        </w:rPr>
      </w:pPr>
    </w:p>
    <w:p>
      <w:pPr>
        <w:ind w:left="1744" w:right="100" w:hanging="543"/>
        <w:spacing w:after="0" w:line="261" w:lineRule="auto"/>
        <w:tabs>
          <w:tab w:leader="none" w:pos="1744"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72"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may be made with the consent of the Agent (acting on the instructions of the Majority Lenders (Facility A)) and the Borrower.</w:t>
      </w:r>
    </w:p>
    <w:p>
      <w:pPr>
        <w:spacing w:after="0" w:line="131" w:lineRule="exact"/>
        <w:rPr>
          <w:sz w:val="20"/>
          <w:szCs w:val="20"/>
          <w:color w:val="auto"/>
        </w:rPr>
      </w:pPr>
    </w:p>
    <w:p>
      <w:pPr>
        <w:ind w:left="544" w:right="120" w:hanging="544"/>
        <w:spacing w:after="0" w:line="266" w:lineRule="auto"/>
        <w:tabs>
          <w:tab w:leader="none" w:pos="54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(acting on the instructions of the Majority Lenders (Facility A) and the Borrower shall enter into negotiations in good faith with a view to agreeing the use of a Replacement Benchmark in relation to euro in place of that Screen Rate as soon as practicable after the occurrence of such Screen Rate Replacement Event.</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38.4:</w:t>
      </w:r>
    </w:p>
    <w:p>
      <w:pPr>
        <w:spacing w:after="0" w:line="113" w:lineRule="exact"/>
        <w:rPr>
          <w:rFonts w:ascii="Times New Roman" w:cs="Times New Roman" w:eastAsia="Times New Roman" w:hAnsi="Times New Roman"/>
          <w:sz w:val="18"/>
          <w:szCs w:val="18"/>
          <w:color w:val="auto"/>
        </w:rPr>
      </w:pPr>
    </w:p>
    <w:p>
      <w:pPr>
        <w:ind w:left="544" w:right="2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Nominating Body</w:t>
      </w:r>
      <w:r>
        <w:rPr>
          <w:rFonts w:ascii="Times New Roman" w:cs="Times New Roman" w:eastAsia="Times New Roman" w:hAnsi="Times New Roman"/>
          <w:sz w:val="18"/>
          <w:szCs w:val="18"/>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91"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24"/>
          </w:cols>
          <w:pgMar w:left="436" w:top="266" w:right="439" w:bottom="1440" w:gutter="0" w:footer="0" w:header="0"/>
        </w:sectPr>
      </w:pPr>
    </w:p>
    <w:bookmarkStart w:id="151" w:name="page152"/>
    <w:bookmarkEnd w:id="151"/>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Replacement Benchmark</w:t>
      </w:r>
      <w:r>
        <w:rPr>
          <w:rFonts w:ascii="Times New Roman" w:cs="Times New Roman" w:eastAsia="Times New Roman" w:hAnsi="Times New Roman"/>
          <w:sz w:val="18"/>
          <w:szCs w:val="18"/>
          <w:color w:val="auto"/>
        </w:rPr>
        <w:t>” means a benchmark rate which is:</w:t>
      </w:r>
    </w:p>
    <w:p>
      <w:pPr>
        <w:spacing w:after="0" w:line="135" w:lineRule="exact"/>
        <w:rPr>
          <w:sz w:val="20"/>
          <w:szCs w:val="20"/>
          <w:color w:val="auto"/>
        </w:rPr>
      </w:pPr>
    </w:p>
    <w:p>
      <w:pPr>
        <w:ind w:left="1180" w:hanging="644"/>
        <w:spacing w:after="0"/>
        <w:tabs>
          <w:tab w:leader="none" w:pos="118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formally designated, nominated or recommended as the replacement for a Screen Rate by:</w:t>
      </w:r>
    </w:p>
    <w:p>
      <w:pPr>
        <w:spacing w:after="0" w:line="130" w:lineRule="exact"/>
        <w:rPr>
          <w:rFonts w:ascii="Times New Roman" w:cs="Times New Roman" w:eastAsia="Times New Roman" w:hAnsi="Times New Roman"/>
          <w:sz w:val="18"/>
          <w:szCs w:val="18"/>
          <w:color w:val="auto"/>
        </w:rPr>
      </w:pPr>
    </w:p>
    <w:p>
      <w:pPr>
        <w:ind w:left="1740" w:right="340" w:hanging="543"/>
        <w:spacing w:after="0" w:line="282" w:lineRule="auto"/>
        <w:tabs>
          <w:tab w:leader="none" w:pos="174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(provided that the market or economic reality that such benchmark rate measures is the same as that measured by that Screen Rate); or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Relevant Nominating Body,</w:t>
      </w:r>
    </w:p>
    <w:p>
      <w:pPr>
        <w:spacing w:after="0" w:line="117" w:lineRule="exact"/>
        <w:rPr>
          <w:sz w:val="20"/>
          <w:szCs w:val="20"/>
          <w:color w:val="auto"/>
        </w:rPr>
      </w:pPr>
    </w:p>
    <w:p>
      <w:pPr>
        <w:ind w:left="1200" w:right="560"/>
        <w:spacing w:after="0" w:line="282" w:lineRule="auto"/>
        <w:rPr>
          <w:sz w:val="20"/>
          <w:szCs w:val="20"/>
          <w:color w:val="auto"/>
        </w:rPr>
      </w:pPr>
      <w:r>
        <w:rPr>
          <w:rFonts w:ascii="Times New Roman" w:cs="Times New Roman" w:eastAsia="Times New Roman" w:hAnsi="Times New Roman"/>
          <w:sz w:val="18"/>
          <w:szCs w:val="18"/>
          <w:color w:val="auto"/>
        </w:rPr>
        <w:t>and if replacements have, at the relevant time, been formally designated, nominated or recommended under both paragraphs, the “Replacement Benchmark” will be the replacement under paragraph (B) above;</w:t>
      </w:r>
    </w:p>
    <w:p>
      <w:pPr>
        <w:spacing w:after="0" w:line="67" w:lineRule="exact"/>
        <w:rPr>
          <w:sz w:val="20"/>
          <w:szCs w:val="20"/>
          <w:color w:val="auto"/>
        </w:rPr>
      </w:pPr>
    </w:p>
    <w:p>
      <w:pPr>
        <w:ind w:left="1180" w:right="240" w:hanging="644"/>
        <w:spacing w:after="0" w:line="282" w:lineRule="auto"/>
        <w:tabs>
          <w:tab w:leader="none" w:pos="118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(Facility A) and the Borrower, generally accepted in the international or any relevant domestic syndicated loan markets as the appropriate successor to a Screen Rate; or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(Facility A) and the Borrower, an appropriate successor to a Screen Rate.</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Screen Rate Replacement Event</w:t>
      </w:r>
      <w:r>
        <w:rPr>
          <w:rFonts w:ascii="Times New Roman" w:cs="Times New Roman" w:eastAsia="Times New Roman" w:hAnsi="Times New Roman"/>
          <w:sz w:val="18"/>
          <w:szCs w:val="18"/>
          <w:color w:val="auto"/>
        </w:rPr>
        <w:t>” means, in relation to a Screen Rate:</w:t>
      </w:r>
    </w:p>
    <w:p>
      <w:pPr>
        <w:spacing w:after="0" w:line="135" w:lineRule="exact"/>
        <w:rPr>
          <w:sz w:val="20"/>
          <w:szCs w:val="20"/>
          <w:color w:val="auto"/>
        </w:rPr>
      </w:pPr>
    </w:p>
    <w:p>
      <w:pPr>
        <w:ind w:left="1180" w:right="200" w:hanging="644"/>
        <w:spacing w:after="0" w:line="282" w:lineRule="auto"/>
        <w:tabs>
          <w:tab w:leader="none" w:pos="118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formula or other means of determining that Screen Rate has, in the opinion of the Majority Lenders (Facility A) and the Obligors, materially changed;</w:t>
      </w:r>
    </w:p>
    <w:p>
      <w:pPr>
        <w:spacing w:after="0" w:line="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(ii)</w:t>
      </w:r>
    </w:p>
    <w:p>
      <w:pPr>
        <w:spacing w:after="0" w:line="1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w:t>
      </w:r>
    </w:p>
    <w:p>
      <w:pPr>
        <w:spacing w:after="0" w:line="131" w:lineRule="exact"/>
        <w:rPr>
          <w:sz w:val="20"/>
          <w:szCs w:val="20"/>
          <w:color w:val="auto"/>
        </w:rPr>
      </w:pPr>
    </w:p>
    <w:p>
      <w:pPr>
        <w:ind w:left="2400" w:hanging="649"/>
        <w:spacing w:after="0"/>
        <w:tabs>
          <w:tab w:leader="none" w:pos="240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or its supervisor publicly announces that such administrator is insolvent; or</w:t>
      </w:r>
    </w:p>
    <w:p>
      <w:pPr>
        <w:spacing w:after="0" w:line="130" w:lineRule="exact"/>
        <w:rPr>
          <w:rFonts w:ascii="Times New Roman" w:cs="Times New Roman" w:eastAsia="Times New Roman" w:hAnsi="Times New Roman"/>
          <w:sz w:val="18"/>
          <w:szCs w:val="18"/>
          <w:color w:val="auto"/>
        </w:rPr>
      </w:pPr>
    </w:p>
    <w:p>
      <w:pPr>
        <w:ind w:left="2400" w:right="400" w:hanging="649"/>
        <w:spacing w:after="0" w:line="266" w:lineRule="auto"/>
        <w:tabs>
          <w:tab w:leader="none" w:pos="240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6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provided that, in each case, at that time, there is no successor administrator to continue to provide that Screen Rate;</w:t>
      </w:r>
    </w:p>
    <w:p>
      <w:pPr>
        <w:spacing w:after="0" w:line="131" w:lineRule="exact"/>
        <w:rPr>
          <w:sz w:val="20"/>
          <w:szCs w:val="20"/>
          <w:color w:val="auto"/>
        </w:rPr>
      </w:pPr>
    </w:p>
    <w:p>
      <w:pPr>
        <w:ind w:left="1740" w:right="620" w:hanging="543"/>
        <w:spacing w:after="0" w:line="282" w:lineRule="auto"/>
        <w:tabs>
          <w:tab w:leader="none" w:pos="1740"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publicly announces that it has ceased or will cease, to provide that Screen Rate permanently or indefinitely and, at that time, there is no successor administrator to continue to provide that Screen Rate;</w:t>
      </w:r>
    </w:p>
    <w:p>
      <w:pPr>
        <w:spacing w:after="0" w:line="67" w:lineRule="exact"/>
        <w:rPr>
          <w:rFonts w:ascii="Times New Roman" w:cs="Times New Roman" w:eastAsia="Times New Roman" w:hAnsi="Times New Roman"/>
          <w:sz w:val="18"/>
          <w:szCs w:val="18"/>
          <w:color w:val="auto"/>
        </w:rPr>
      </w:pPr>
    </w:p>
    <w:p>
      <w:pPr>
        <w:ind w:left="1740" w:right="940" w:hanging="543"/>
        <w:spacing w:after="0" w:line="282" w:lineRule="auto"/>
        <w:tabs>
          <w:tab w:leader="none" w:pos="1740"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 of the administrator of that Screen Rate publicly announces that such Screen Rate has been or will be permanently or indefinitely discontinued; or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or its supervisor announces that that Screen Rate may no longer be used; or</w:t>
      </w:r>
    </w:p>
    <w:p>
      <w:pPr>
        <w:spacing w:after="0" w:line="130"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determines that that Screen Rate should be calculated in accordance with its reduced submissions or other contingency or fallback policies or arrangements and either:</w:t>
      </w:r>
    </w:p>
    <w:p>
      <w:pPr>
        <w:spacing w:after="0" w:line="94"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20"/>
          </w:cols>
          <w:pgMar w:left="440" w:top="266" w:right="439" w:bottom="1440" w:gutter="0" w:footer="0" w:header="0"/>
        </w:sectPr>
      </w:pPr>
    </w:p>
    <w:bookmarkStart w:id="152" w:name="page153"/>
    <w:bookmarkEnd w:id="152"/>
    <w:p>
      <w:pPr>
        <w:ind w:left="1744" w:right="20" w:hanging="543"/>
        <w:spacing w:after="0" w:line="282" w:lineRule="auto"/>
        <w:tabs>
          <w:tab w:leader="none" w:pos="1744"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circumstance(s) or event(s) leading to such determination are not (in the opinion of the Majority Lenders (Facility A) and the Obligors) temporary; or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Screen Rate is calculated in accordance with any such policy or arrangement for a period no less than one month; or</w:t>
      </w:r>
    </w:p>
    <w:p>
      <w:pPr>
        <w:spacing w:after="0" w:line="130" w:lineRule="exact"/>
        <w:rPr>
          <w:rFonts w:ascii="Times New Roman" w:cs="Times New Roman" w:eastAsia="Times New Roman" w:hAnsi="Times New Roman"/>
          <w:sz w:val="18"/>
          <w:szCs w:val="18"/>
          <w:color w:val="auto"/>
        </w:rPr>
      </w:pPr>
    </w:p>
    <w:p>
      <w:pPr>
        <w:ind w:left="1184" w:right="660" w:hanging="644"/>
        <w:spacing w:after="0" w:line="282" w:lineRule="auto"/>
        <w:tabs>
          <w:tab w:leader="none" w:pos="1184"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(Facility A) and the Obligors, that Screen Rate is otherwise no longer appropriate for the purposes of calculating interest under this Agreement.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38.5</w:t>
        <w:tab/>
        <w:t>Replacement of Reference Rate – Facility B</w:t>
      </w:r>
    </w:p>
    <w:p>
      <w:pPr>
        <w:spacing w:after="0" w:line="133" w:lineRule="exact"/>
        <w:rPr>
          <w:sz w:val="20"/>
          <w:szCs w:val="20"/>
          <w:color w:val="auto"/>
        </w:rPr>
      </w:pPr>
    </w:p>
    <w:p>
      <w:pPr>
        <w:ind w:left="544" w:right="860" w:hanging="544"/>
        <w:spacing w:after="0" w:line="284" w:lineRule="auto"/>
        <w:tabs>
          <w:tab w:leader="none" w:pos="544"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38.3 (</w:t>
      </w:r>
      <w:r>
        <w:rPr>
          <w:rFonts w:ascii="Times New Roman" w:cs="Times New Roman" w:eastAsia="Times New Roman" w:hAnsi="Times New Roman"/>
          <w:sz w:val="18"/>
          <w:szCs w:val="18"/>
          <w:i w:val="1"/>
          <w:iCs w:val="1"/>
          <w:color w:val="auto"/>
        </w:rPr>
        <w:t>Other exceptions</w:t>
      </w:r>
      <w:r>
        <w:rPr>
          <w:rFonts w:ascii="Times New Roman" w:cs="Times New Roman" w:eastAsia="Times New Roman" w:hAnsi="Times New Roman"/>
          <w:sz w:val="18"/>
          <w:szCs w:val="18"/>
          <w:color w:val="auto"/>
        </w:rPr>
        <w:t>), if a Published Rate Replacement Event has occurred in relation to any Published Rate, any amendment or waiver which relates to:</w:t>
      </w:r>
    </w:p>
    <w:p>
      <w:pPr>
        <w:spacing w:after="0" w:line="6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use of a Replacement Reference Rate in relation to that currency in place of that Published Rate; and</w:t>
      </w:r>
    </w:p>
    <w:p>
      <w:pPr>
        <w:spacing w:after="0" w:line="13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(ii)</w:t>
      </w:r>
    </w:p>
    <w:p>
      <w:pPr>
        <w:spacing w:after="0" w:line="131" w:lineRule="exact"/>
        <w:rPr>
          <w:sz w:val="20"/>
          <w:szCs w:val="20"/>
          <w:color w:val="auto"/>
        </w:rPr>
      </w:pPr>
    </w:p>
    <w:p>
      <w:pPr>
        <w:ind w:left="1744" w:hanging="543"/>
        <w:spacing w:after="0"/>
        <w:tabs>
          <w:tab w:leader="none" w:pos="1744"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any provision of any Finance Document to the use of that Replacement Reference Rate;</w:t>
      </w:r>
    </w:p>
    <w:p>
      <w:pPr>
        <w:spacing w:after="0" w:line="130" w:lineRule="exact"/>
        <w:rPr>
          <w:rFonts w:ascii="Times New Roman" w:cs="Times New Roman" w:eastAsia="Times New Roman" w:hAnsi="Times New Roman"/>
          <w:sz w:val="18"/>
          <w:szCs w:val="18"/>
          <w:color w:val="auto"/>
        </w:rPr>
      </w:pPr>
    </w:p>
    <w:p>
      <w:pPr>
        <w:jc w:val="both"/>
        <w:ind w:left="1744" w:right="280" w:hanging="543"/>
        <w:spacing w:after="0" w:line="266" w:lineRule="auto"/>
        <w:tabs>
          <w:tab w:leader="none" w:pos="1744"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that Replacement Reference Rate to be used for the calculation of interest under this Agreement (including, without limitation, any consequential changes required to enable that Replacement Reference Rate to be used for the purposes of this Agreement);</w:t>
      </w:r>
    </w:p>
    <w:p>
      <w:pPr>
        <w:spacing w:after="0" w:line="81"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market conventions applicable to that Replacement Reference Rate;</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appropriate fallback (and market disruption) provisions for that Replacement Reference Rate; or</w:t>
      </w:r>
    </w:p>
    <w:p>
      <w:pPr>
        <w:spacing w:after="0" w:line="130" w:lineRule="exact"/>
        <w:rPr>
          <w:rFonts w:ascii="Times New Roman" w:cs="Times New Roman" w:eastAsia="Times New Roman" w:hAnsi="Times New Roman"/>
          <w:sz w:val="18"/>
          <w:szCs w:val="18"/>
          <w:color w:val="auto"/>
        </w:rPr>
      </w:pPr>
    </w:p>
    <w:p>
      <w:pPr>
        <w:ind w:left="1744" w:right="20" w:hanging="543"/>
        <w:spacing w:after="0" w:line="261" w:lineRule="auto"/>
        <w:tabs>
          <w:tab w:leader="none" w:pos="1744"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72"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may be made with the consent of the Agent (acting on the instructions of the Majority Lenders (Facility B)) and the Borrower.</w:t>
      </w:r>
    </w:p>
    <w:p>
      <w:pPr>
        <w:spacing w:after="0" w:line="131" w:lineRule="exact"/>
        <w:rPr>
          <w:sz w:val="20"/>
          <w:szCs w:val="20"/>
          <w:color w:val="auto"/>
        </w:rPr>
      </w:pPr>
    </w:p>
    <w:p>
      <w:pPr>
        <w:ind w:left="544" w:right="20" w:hanging="544"/>
        <w:spacing w:after="0" w:line="266" w:lineRule="auto"/>
        <w:tabs>
          <w:tab w:leader="none" w:pos="54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(acting on the instructions of the Majority Lenders (Facility B)and the Borrower shall enter into negotiations in good faith with a view to agreeing the use of a Replacement Reference Rate in relation to US$ in place of that Reference Rate as soon as practicable after the occurrence of such Published Rate Replacement Event.</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38.5:</w:t>
      </w:r>
    </w:p>
    <w:p>
      <w:pPr>
        <w:spacing w:after="0" w:line="113"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Published Rate</w:t>
      </w:r>
      <w:r>
        <w:rPr>
          <w:rFonts w:ascii="Times New Roman" w:cs="Times New Roman" w:eastAsia="Times New Roman" w:hAnsi="Times New Roman"/>
          <w:sz w:val="18"/>
          <w:szCs w:val="18"/>
          <w:color w:val="auto"/>
        </w:rPr>
        <w:t>” means:</w:t>
      </w:r>
    </w:p>
    <w:p>
      <w:pPr>
        <w:spacing w:after="0" w:line="134"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CME Term SOFR for any Quoted Tenor;</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24"/>
          </w:cols>
          <w:pgMar w:left="436" w:top="270" w:right="439" w:bottom="1440" w:gutter="0" w:footer="0" w:header="0"/>
        </w:sectPr>
      </w:pPr>
    </w:p>
    <w:bookmarkStart w:id="153" w:name="page154"/>
    <w:bookmarkEnd w:id="153"/>
    <w:p>
      <w:pPr>
        <w:ind w:left="1180" w:hanging="644"/>
        <w:spacing w:after="0"/>
        <w:tabs>
          <w:tab w:leader="none" w:pos="118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ICE Term SOFR for any Quoted Tenor;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Published Rate Replacement Event</w:t>
      </w:r>
      <w:r>
        <w:rPr>
          <w:rFonts w:ascii="Times New Roman" w:cs="Times New Roman" w:eastAsia="Times New Roman" w:hAnsi="Times New Roman"/>
          <w:sz w:val="18"/>
          <w:szCs w:val="18"/>
          <w:color w:val="auto"/>
        </w:rPr>
        <w:t>” means, in relation to a Published Rate:</w:t>
      </w:r>
    </w:p>
    <w:p>
      <w:pPr>
        <w:spacing w:after="0" w:line="135" w:lineRule="exact"/>
        <w:rPr>
          <w:sz w:val="20"/>
          <w:szCs w:val="20"/>
          <w:color w:val="auto"/>
        </w:rPr>
      </w:pPr>
    </w:p>
    <w:p>
      <w:pPr>
        <w:ind w:left="1740" w:right="620" w:hanging="543"/>
        <w:spacing w:after="0" w:line="282" w:lineRule="auto"/>
        <w:tabs>
          <w:tab w:leader="none" w:pos="174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formula or other means of determining that Published Rate has, in the opinion of the Majority Lenders (Facility B) and the Obligors, materially changed;</w:t>
      </w:r>
    </w:p>
    <w:p>
      <w:pPr>
        <w:spacing w:after="0" w:line="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w:t>
      </w:r>
    </w:p>
    <w:p>
      <w:pPr>
        <w:spacing w:after="0" w:line="1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w:t>
      </w:r>
    </w:p>
    <w:p>
      <w:pPr>
        <w:spacing w:after="0" w:line="131" w:lineRule="exact"/>
        <w:rPr>
          <w:sz w:val="20"/>
          <w:szCs w:val="20"/>
          <w:color w:val="auto"/>
        </w:rPr>
      </w:pPr>
    </w:p>
    <w:p>
      <w:pPr>
        <w:ind w:left="1740" w:hanging="543"/>
        <w:spacing w:after="0"/>
        <w:tabs>
          <w:tab w:leader="none" w:pos="174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Published Rate or its supervisor publicly announces that such administrator is insolvent; or</w:t>
      </w:r>
    </w:p>
    <w:p>
      <w:pPr>
        <w:spacing w:after="0" w:line="130" w:lineRule="exact"/>
        <w:rPr>
          <w:rFonts w:ascii="Times New Roman" w:cs="Times New Roman" w:eastAsia="Times New Roman" w:hAnsi="Times New Roman"/>
          <w:sz w:val="18"/>
          <w:szCs w:val="18"/>
          <w:color w:val="auto"/>
        </w:rPr>
      </w:pPr>
    </w:p>
    <w:p>
      <w:pPr>
        <w:ind w:left="1740" w:right="400" w:hanging="543"/>
        <w:spacing w:after="0" w:line="266" w:lineRule="auto"/>
        <w:tabs>
          <w:tab w:leader="none" w:pos="174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Published Rate is insolvent,</w:t>
      </w:r>
    </w:p>
    <w:p>
      <w:pPr>
        <w:spacing w:after="0" w:line="6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in each case, at that time, there is no successor administrator to continue to provide that Published Rate;</w:t>
      </w:r>
    </w:p>
    <w:p>
      <w:pPr>
        <w:spacing w:after="0" w:line="135" w:lineRule="exact"/>
        <w:rPr>
          <w:sz w:val="20"/>
          <w:szCs w:val="20"/>
          <w:color w:val="auto"/>
        </w:rPr>
      </w:pPr>
    </w:p>
    <w:p>
      <w:pPr>
        <w:ind w:left="1740" w:right="400" w:hanging="543"/>
        <w:spacing w:after="0" w:line="282" w:lineRule="auto"/>
        <w:tabs>
          <w:tab w:leader="none" w:pos="174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Published Rate publicly announces that it has ceased or will cease to provide that Published Rate permanently or indefinitely and, at that time, there is no successor administrator to continue to provide that Published Rate;</w:t>
      </w:r>
    </w:p>
    <w:p>
      <w:pPr>
        <w:spacing w:after="0" w:line="67" w:lineRule="exact"/>
        <w:rPr>
          <w:rFonts w:ascii="Times New Roman" w:cs="Times New Roman" w:eastAsia="Times New Roman" w:hAnsi="Times New Roman"/>
          <w:sz w:val="18"/>
          <w:szCs w:val="18"/>
          <w:color w:val="auto"/>
        </w:rPr>
      </w:pPr>
    </w:p>
    <w:p>
      <w:pPr>
        <w:ind w:left="1740" w:right="500" w:hanging="543"/>
        <w:spacing w:after="0" w:line="282" w:lineRule="auto"/>
        <w:tabs>
          <w:tab w:leader="none" w:pos="174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 of the administrator of that Published Rate publicly announces that such Published Rate has been or will be permanently or indefinitely discontinued;</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Published Rate or its supervisor announces that that Published Rate may no longer be used; or</w:t>
      </w:r>
    </w:p>
    <w:p>
      <w:pPr>
        <w:spacing w:after="0" w:line="130" w:lineRule="exact"/>
        <w:rPr>
          <w:rFonts w:ascii="Times New Roman" w:cs="Times New Roman" w:eastAsia="Times New Roman" w:hAnsi="Times New Roman"/>
          <w:sz w:val="18"/>
          <w:szCs w:val="18"/>
          <w:color w:val="auto"/>
        </w:rPr>
      </w:pPr>
    </w:p>
    <w:p>
      <w:pPr>
        <w:jc w:val="both"/>
        <w:ind w:left="1180" w:right="220" w:hanging="644"/>
        <w:spacing w:after="0" w:line="266" w:lineRule="auto"/>
        <w:tabs>
          <w:tab w:leader="none" w:pos="118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Published Rate (or the administrator of an interest rate which is a constituent element of that Published Rate) determines that that Published Rate should be calculated in accordance with its reduced submissions or other contingency or fallback policies or arrangements and either:</w:t>
      </w:r>
    </w:p>
    <w:p>
      <w:pPr>
        <w:spacing w:after="0" w:line="81" w:lineRule="exact"/>
        <w:rPr>
          <w:rFonts w:ascii="Times New Roman" w:cs="Times New Roman" w:eastAsia="Times New Roman" w:hAnsi="Times New Roman"/>
          <w:sz w:val="18"/>
          <w:szCs w:val="18"/>
          <w:color w:val="auto"/>
        </w:rPr>
      </w:pPr>
    </w:p>
    <w:p>
      <w:pPr>
        <w:ind w:left="1740" w:right="20" w:hanging="543"/>
        <w:spacing w:after="0" w:line="282" w:lineRule="auto"/>
        <w:tabs>
          <w:tab w:leader="none" w:pos="174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or event(s) leading to such determination are not (in the opinion of the Majority Lenders (Facility B) and the Obligors) temporary; or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Published Rate is calculated in accordance with any such policy or arrangement for a period no less than one Month; or</w:t>
      </w:r>
    </w:p>
    <w:p>
      <w:pPr>
        <w:spacing w:after="0" w:line="130" w:lineRule="exact"/>
        <w:rPr>
          <w:rFonts w:ascii="Times New Roman" w:cs="Times New Roman" w:eastAsia="Times New Roman" w:hAnsi="Times New Roman"/>
          <w:sz w:val="18"/>
          <w:szCs w:val="18"/>
          <w:color w:val="auto"/>
        </w:rPr>
      </w:pPr>
    </w:p>
    <w:p>
      <w:pPr>
        <w:ind w:left="1180" w:right="440" w:hanging="644"/>
        <w:spacing w:after="0" w:line="282" w:lineRule="auto"/>
        <w:tabs>
          <w:tab w:leader="none" w:pos="118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(Facility B) and the Obligors, that Published Rate is otherwise no longer appropriate for the purposes of calculating interest under this Agreement.</w:t>
      </w:r>
    </w:p>
    <w:p>
      <w:pPr>
        <w:spacing w:after="0" w:line="50" w:lineRule="exact"/>
        <w:rPr>
          <w:sz w:val="20"/>
          <w:szCs w:val="20"/>
          <w:color w:val="auto"/>
        </w:rPr>
      </w:pPr>
    </w:p>
    <w:p>
      <w:pPr>
        <w:ind w:left="540" w:right="4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Quoted Tenor</w:t>
      </w:r>
      <w:r>
        <w:rPr>
          <w:rFonts w:ascii="Times New Roman" w:cs="Times New Roman" w:eastAsia="Times New Roman" w:hAnsi="Times New Roman"/>
          <w:sz w:val="18"/>
          <w:szCs w:val="18"/>
          <w:color w:val="auto"/>
        </w:rPr>
        <w:t>” means, in relation to CME Term SOFR or ICE Term SOFR, any period for which that rate is customarily displayed on the relevant page or screen of an information service.</w:t>
      </w:r>
    </w:p>
    <w:p>
      <w:pPr>
        <w:spacing w:after="0" w:line="91"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20"/>
          </w:cols>
          <w:pgMar w:left="440" w:top="270" w:right="439" w:bottom="1440" w:gutter="0" w:footer="0" w:header="0"/>
        </w:sectPr>
      </w:pPr>
    </w:p>
    <w:bookmarkStart w:id="154" w:name="page155"/>
    <w:bookmarkEnd w:id="154"/>
    <w:p>
      <w:pPr>
        <w:ind w:left="544" w:right="20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Relevant Nominating Body</w:t>
      </w:r>
      <w:r>
        <w:rPr>
          <w:rFonts w:ascii="Times New Roman" w:cs="Times New Roman" w:eastAsia="Times New Roman" w:hAnsi="Times New Roman"/>
          <w:sz w:val="18"/>
          <w:szCs w:val="18"/>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Reference Rate</w:t>
      </w:r>
      <w:r>
        <w:rPr>
          <w:rFonts w:ascii="Times New Roman" w:cs="Times New Roman" w:eastAsia="Times New Roman" w:hAnsi="Times New Roman"/>
          <w:sz w:val="18"/>
          <w:szCs w:val="18"/>
          <w:color w:val="auto"/>
        </w:rPr>
        <w:t>” means a reference rate which is:</w:t>
      </w:r>
    </w:p>
    <w:p>
      <w:pPr>
        <w:spacing w:after="0" w:line="135" w:lineRule="exact"/>
        <w:rPr>
          <w:sz w:val="20"/>
          <w:szCs w:val="20"/>
          <w:color w:val="auto"/>
        </w:rPr>
      </w:pPr>
    </w:p>
    <w:p>
      <w:pPr>
        <w:ind w:left="1184" w:hanging="644"/>
        <w:spacing w:after="0"/>
        <w:tabs>
          <w:tab w:leader="none" w:pos="1184"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formally designated, nominated or recommended as the replacement for a Published Rate by:</w:t>
      </w:r>
    </w:p>
    <w:p>
      <w:pPr>
        <w:spacing w:after="0" w:line="126" w:lineRule="exact"/>
        <w:rPr>
          <w:rFonts w:ascii="Times New Roman" w:cs="Times New Roman" w:eastAsia="Times New Roman" w:hAnsi="Times New Roman"/>
          <w:sz w:val="18"/>
          <w:szCs w:val="18"/>
          <w:color w:val="auto"/>
        </w:rPr>
      </w:pPr>
    </w:p>
    <w:p>
      <w:pPr>
        <w:ind w:left="1744" w:right="160" w:hanging="543"/>
        <w:spacing w:after="0" w:line="286" w:lineRule="auto"/>
        <w:tabs>
          <w:tab w:leader="none" w:pos="1744"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Published Rate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the market or the economic reality that such reference rate measures is the same as that measured by that Published Rate); or</w:t>
      </w:r>
    </w:p>
    <w:p>
      <w:pPr>
        <w:spacing w:after="0" w:line="64"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Relevant Nominating Body,</w:t>
      </w:r>
    </w:p>
    <w:p>
      <w:pPr>
        <w:spacing w:after="0" w:line="117" w:lineRule="exact"/>
        <w:rPr>
          <w:sz w:val="20"/>
          <w:szCs w:val="20"/>
          <w:color w:val="auto"/>
        </w:rPr>
      </w:pPr>
    </w:p>
    <w:p>
      <w:pPr>
        <w:ind w:left="1204" w:right="560"/>
        <w:spacing w:after="0" w:line="282" w:lineRule="auto"/>
        <w:rPr>
          <w:sz w:val="20"/>
          <w:szCs w:val="20"/>
          <w:color w:val="auto"/>
        </w:rPr>
      </w:pPr>
      <w:r>
        <w:rPr>
          <w:rFonts w:ascii="Times New Roman" w:cs="Times New Roman" w:eastAsia="Times New Roman" w:hAnsi="Times New Roman"/>
          <w:sz w:val="18"/>
          <w:szCs w:val="18"/>
          <w:color w:val="auto"/>
        </w:rPr>
        <w:t>and if replacements have, at the relevant time, been formally designated, nominated or recommended under both paragraphs, the “Replacement Reference Rate” will be the replacement under paragraph (ii) above;</w:t>
      </w:r>
    </w:p>
    <w:p>
      <w:pPr>
        <w:spacing w:after="0" w:line="67" w:lineRule="exact"/>
        <w:rPr>
          <w:sz w:val="20"/>
          <w:szCs w:val="20"/>
          <w:color w:val="auto"/>
        </w:rPr>
      </w:pPr>
    </w:p>
    <w:p>
      <w:pPr>
        <w:ind w:left="1184" w:right="300" w:hanging="644"/>
        <w:spacing w:after="0" w:line="282" w:lineRule="auto"/>
        <w:tabs>
          <w:tab w:leader="none" w:pos="1184"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(Facility B) and the Obligors, generally accepted in the international or any relevant domestic syndicated loan markets as the appropriate successor to a Published Rate; 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(Facility B) and the Obligors, an appropriate successor to a Published Rate.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38.6</w:t>
      </w:r>
      <w:r>
        <w:rPr>
          <w:sz w:val="20"/>
          <w:szCs w:val="20"/>
          <w:color w:val="auto"/>
        </w:rPr>
        <w:tab/>
      </w:r>
      <w:r>
        <w:rPr>
          <w:rFonts w:ascii="Times New Roman" w:cs="Times New Roman" w:eastAsia="Times New Roman" w:hAnsi="Times New Roman"/>
          <w:sz w:val="17"/>
          <w:szCs w:val="17"/>
          <w:b w:val="1"/>
          <w:bCs w:val="1"/>
          <w:color w:val="auto"/>
        </w:rPr>
        <w:t>Split voting</w:t>
      </w:r>
    </w:p>
    <w:p>
      <w:pPr>
        <w:spacing w:after="0" w:line="135" w:lineRule="exact"/>
        <w:rPr>
          <w:sz w:val="20"/>
          <w:szCs w:val="20"/>
          <w:color w:val="auto"/>
        </w:rPr>
      </w:pPr>
    </w:p>
    <w:p>
      <w:pPr>
        <w:ind w:left="544" w:right="100" w:hanging="544"/>
        <w:spacing w:after="0" w:line="261" w:lineRule="auto"/>
        <w:tabs>
          <w:tab w:leader="none" w:pos="544"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responding (or failing to respond) to a request for a consent, waiver, amendment of or in relation to any term of any Finance Document or any other vote of the Lenders under the terms of this Agreement, a Lender may split its Commitment (or Commitment (Facility A) or Commitment (Facility B), as the case may be) into any number of portions and may respond (or fail to respond) or otherwise exercise its rights in respect of each such individual portion on a several basis.</w:t>
      </w:r>
    </w:p>
    <w:p>
      <w:pPr>
        <w:spacing w:after="0" w:line="85" w:lineRule="exact"/>
        <w:rPr>
          <w:rFonts w:ascii="Times New Roman" w:cs="Times New Roman" w:eastAsia="Times New Roman" w:hAnsi="Times New Roman"/>
          <w:sz w:val="18"/>
          <w:szCs w:val="18"/>
          <w:color w:val="auto"/>
        </w:rPr>
      </w:pPr>
    </w:p>
    <w:p>
      <w:pPr>
        <w:ind w:left="544" w:right="80" w:hanging="544"/>
        <w:spacing w:after="0" w:line="266" w:lineRule="auto"/>
        <w:tabs>
          <w:tab w:leader="none" w:pos="544"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exercises its rights under paragraph (a) above in respect of any part of its Commitment (or Commitment (Facility A) or Commitment (Facility B), as the case may be), such Lender shall notify the Agent of the portions into which it has split its Commitment (or Commitment (Facility A) or Commitment (Facility B), as the case may be).</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38.7</w:t>
      </w:r>
      <w:r>
        <w:rPr>
          <w:sz w:val="20"/>
          <w:szCs w:val="20"/>
          <w:color w:val="auto"/>
        </w:rPr>
        <w:tab/>
      </w:r>
      <w:r>
        <w:rPr>
          <w:rFonts w:ascii="Times New Roman" w:cs="Times New Roman" w:eastAsia="Times New Roman" w:hAnsi="Times New Roman"/>
          <w:sz w:val="17"/>
          <w:szCs w:val="17"/>
          <w:b w:val="1"/>
          <w:bCs w:val="1"/>
          <w:color w:val="auto"/>
        </w:rPr>
        <w:t>Disenfranchisement of Defaulting Lenders</w:t>
      </w:r>
    </w:p>
    <w:p>
      <w:pPr>
        <w:spacing w:after="0" w:line="135" w:lineRule="exact"/>
        <w:rPr>
          <w:sz w:val="20"/>
          <w:szCs w:val="20"/>
          <w:color w:val="auto"/>
        </w:rPr>
      </w:pPr>
    </w:p>
    <w:p>
      <w:pPr>
        <w:ind w:left="544" w:hanging="544"/>
        <w:spacing w:after="0"/>
        <w:tabs>
          <w:tab w:leader="none" w:pos="54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 Defaulting Lender has any Available Commitment, in ascertaining:</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given percentage (including, for the avoidance of doubt, unanimity) of the Total Commitments under the Facilities;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any specified group of Lenders,</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has been obtained to approve any request for a consent, waiver, amendment or other vote under the Finance Documents,</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24"/>
          </w:cols>
          <w:pgMar w:left="436" w:top="266" w:right="439" w:bottom="1440" w:gutter="0" w:footer="0" w:header="0"/>
        </w:sectPr>
      </w:pPr>
    </w:p>
    <w:bookmarkStart w:id="155" w:name="page156"/>
    <w:bookmarkEnd w:id="155"/>
    <w:p>
      <w:pPr>
        <w:jc w:val="both"/>
        <w:ind w:left="54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Defaulting Lender’s Commitments under any Facility will be reduced by the amount of its Available Commitments under that Facility and, to the extent that that reduction results in that Defaulting Lender’s Total Commitments being zero, that Defaulting Lender shall be deemed not to be a Lender for the purposes of paragraphs (A) and (B) above.</w:t>
      </w:r>
    </w:p>
    <w:p>
      <w:pPr>
        <w:spacing w:after="0" w:line="81" w:lineRule="exact"/>
        <w:rPr>
          <w:sz w:val="20"/>
          <w:szCs w:val="20"/>
          <w:color w:val="auto"/>
        </w:rPr>
      </w:pPr>
    </w:p>
    <w:p>
      <w:pPr>
        <w:ind w:left="544" w:hanging="544"/>
        <w:spacing w:after="0"/>
        <w:tabs>
          <w:tab w:leader="none" w:pos="544"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38.7, the Agent may assume that the following Lenders are Defaulting Lenders: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which has notified the Agent that it has become a Defaulting Lender;</w:t>
      </w:r>
    </w:p>
    <w:p>
      <w:pPr>
        <w:spacing w:after="0" w:line="130" w:lineRule="exact"/>
        <w:rPr>
          <w:rFonts w:ascii="Times New Roman" w:cs="Times New Roman" w:eastAsia="Times New Roman" w:hAnsi="Times New Roman"/>
          <w:sz w:val="18"/>
          <w:szCs w:val="18"/>
          <w:color w:val="auto"/>
        </w:rPr>
      </w:pPr>
    </w:p>
    <w:p>
      <w:pPr>
        <w:ind w:left="1184" w:right="680" w:hanging="644"/>
        <w:spacing w:after="0" w:line="282" w:lineRule="auto"/>
        <w:tabs>
          <w:tab w:leader="none" w:pos="1184"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in relation to which it is aware that any of the events or circumstances referred to in paragraphs (a), (b) or (c) of the definition of “</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has occurred,</w:t>
      </w:r>
    </w:p>
    <w:p>
      <w:pPr>
        <w:spacing w:after="0" w:line="54" w:lineRule="exact"/>
        <w:rPr>
          <w:sz w:val="20"/>
          <w:szCs w:val="20"/>
          <w:color w:val="auto"/>
        </w:rPr>
      </w:pPr>
    </w:p>
    <w:p>
      <w:pPr>
        <w:ind w:left="544" w:right="460"/>
        <w:spacing w:after="0" w:line="282" w:lineRule="auto"/>
        <w:rPr>
          <w:sz w:val="20"/>
          <w:szCs w:val="20"/>
          <w:color w:val="auto"/>
        </w:rPr>
      </w:pPr>
      <w:r>
        <w:rPr>
          <w:rFonts w:ascii="Times New Roman" w:cs="Times New Roman" w:eastAsia="Times New Roman" w:hAnsi="Times New Roman"/>
          <w:sz w:val="18"/>
          <w:szCs w:val="18"/>
          <w:color w:val="auto"/>
        </w:rPr>
        <w:t>unless it has received notice to the contrary from the Lender concerned (together with any supporting evidence reasonably requested by the Agent) or the Agent is otherwise aware that the Lender has ceased to be a Defaulting Lender.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38.8</w:t>
        <w:tab/>
        <w:t>Excluded Commitments</w:t>
      </w:r>
    </w:p>
    <w:p>
      <w:pPr>
        <w:spacing w:after="0" w:line="121" w:lineRule="exact"/>
        <w:rPr>
          <w:sz w:val="20"/>
          <w:szCs w:val="20"/>
          <w:color w:val="auto"/>
        </w:rPr>
      </w:pPr>
    </w:p>
    <w:p>
      <w:pPr>
        <w:ind w:left="544" w:right="20"/>
        <w:spacing w:after="0" w:line="261" w:lineRule="auto"/>
        <w:rPr>
          <w:sz w:val="20"/>
          <w:szCs w:val="20"/>
          <w:color w:val="auto"/>
        </w:rPr>
      </w:pPr>
      <w:r>
        <w:rPr>
          <w:rFonts w:ascii="Times New Roman" w:cs="Times New Roman" w:eastAsia="Times New Roman" w:hAnsi="Times New Roman"/>
          <w:sz w:val="18"/>
          <w:szCs w:val="18"/>
          <w:color w:val="auto"/>
        </w:rPr>
        <w:t>If any Lender fails to respond to a request for a consent, waiver, amendment of or in relation to any term of any Finance Document or any other vote of Lenders under the terms of this Agreement in each case in respect of any portion of its Commitment(s) (or Commitment(s) (Facility A) or Commitment(s) (Facility B), as the case may be) within 20 Business Days (unless the Company and the Agent agree to a longer time period in relation to any request) of that request being made:</w:t>
      </w:r>
    </w:p>
    <w:p>
      <w:pPr>
        <w:spacing w:after="0" w:line="85" w:lineRule="exact"/>
        <w:rPr>
          <w:sz w:val="20"/>
          <w:szCs w:val="20"/>
          <w:color w:val="auto"/>
        </w:rPr>
      </w:pPr>
    </w:p>
    <w:p>
      <w:pPr>
        <w:ind w:left="1184" w:right="80" w:hanging="644"/>
        <w:spacing w:after="0" w:line="258" w:lineRule="auto"/>
        <w:tabs>
          <w:tab w:leader="none" w:pos="1184"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its Commitment(s) (or Commitment(s) (Facility A) or Commitment(s) (Facility B), as the case may be) in respect of which it has failed to respond shall not be included for the purpose of calculating the Total Commitments (or Total Facility A Commitments or Total Facility B Commitments, as the case may be) when ascertaining whether any relevant percentage (including, for the avoidance of doubt, unanimity) of Total Commitments (or Total Facility A Commitments or Total Facility B Commitments, as the case may be) has been obtained to approve that request; and</w:t>
      </w:r>
    </w:p>
    <w:p>
      <w:pPr>
        <w:spacing w:after="0" w:line="88" w:lineRule="exact"/>
        <w:rPr>
          <w:rFonts w:ascii="Times New Roman" w:cs="Times New Roman" w:eastAsia="Times New Roman" w:hAnsi="Times New Roman"/>
          <w:sz w:val="18"/>
          <w:szCs w:val="18"/>
          <w:color w:val="auto"/>
        </w:rPr>
      </w:pPr>
    </w:p>
    <w:p>
      <w:pPr>
        <w:jc w:val="both"/>
        <w:ind w:left="1184" w:right="120" w:hanging="644"/>
        <w:spacing w:after="0" w:line="266" w:lineRule="auto"/>
        <w:tabs>
          <w:tab w:leader="none" w:pos="1184"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status as a Lender in respect of the portion of its Commitment(s) (or Commitment(s) (Facility A) or Commitment(s) (Facility B), as the case may be) in respect of which it has failed to respond shall be disregarded for the purpose of ascertaining whether the agreement of any specified group of Lenders has been obtained to approve that request.</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38.9</w:t>
      </w:r>
      <w:r>
        <w:rPr>
          <w:sz w:val="20"/>
          <w:szCs w:val="20"/>
          <w:color w:val="auto"/>
        </w:rPr>
        <w:tab/>
      </w:r>
      <w:r>
        <w:rPr>
          <w:rFonts w:ascii="Times New Roman" w:cs="Times New Roman" w:eastAsia="Times New Roman" w:hAnsi="Times New Roman"/>
          <w:sz w:val="17"/>
          <w:szCs w:val="17"/>
          <w:b w:val="1"/>
          <w:bCs w:val="1"/>
          <w:color w:val="auto"/>
        </w:rPr>
        <w:t>Replacement of a Defaulting Lender</w:t>
      </w:r>
    </w:p>
    <w:p>
      <w:pPr>
        <w:spacing w:after="0" w:line="135" w:lineRule="exact"/>
        <w:rPr>
          <w:sz w:val="20"/>
          <w:szCs w:val="20"/>
          <w:color w:val="auto"/>
        </w:rPr>
      </w:pPr>
    </w:p>
    <w:p>
      <w:pPr>
        <w:ind w:left="544" w:right="20" w:hanging="544"/>
        <w:spacing w:after="0" w:line="256" w:lineRule="auto"/>
        <w:tabs>
          <w:tab w:leader="none" w:pos="54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any time a Lender has become and continues to be a Defaulting Lender, by giving 20 Business Days’ prior written notice to the Agent and such Lender replace such Lender by requiring such Lender to (and, to the extent permitted by law, such Lender shall) transfer pursuant to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all (and not part only) of its rights and obligations under this Agreement to an Eligible Institution (a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which confirms its willingness to assume and does assume all the obligations or all the relevant obligations of the transferring Lender in accordance with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for a purchase price in cash payable at the time of transfer which is either:</w:t>
      </w:r>
    </w:p>
    <w:p>
      <w:pPr>
        <w:spacing w:after="0" w:line="120"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24"/>
          </w:cols>
          <w:pgMar w:left="436" w:top="270" w:right="439" w:bottom="1440" w:gutter="0" w:footer="0" w:header="0"/>
        </w:sectPr>
      </w:pPr>
    </w:p>
    <w:bookmarkStart w:id="156" w:name="page157"/>
    <w:bookmarkEnd w:id="156"/>
    <w:p>
      <w:pPr>
        <w:ind w:left="1184" w:right="120" w:hanging="644"/>
        <w:spacing w:after="0" w:line="266" w:lineRule="auto"/>
        <w:tabs>
          <w:tab w:leader="none" w:pos="1184"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 amount equal to the outstanding principal amount of such Lender’s participation in the outstanding Loans and all accrued interest (to the extent that the Agent has not given a notification under Clause 25.9 (</w:t>
      </w:r>
      <w:r>
        <w:rPr>
          <w:rFonts w:ascii="Times New Roman" w:cs="Times New Roman" w:eastAsia="Times New Roman" w:hAnsi="Times New Roman"/>
          <w:sz w:val="18"/>
          <w:szCs w:val="18"/>
          <w:i w:val="1"/>
          <w:iCs w:val="1"/>
          <w:color w:val="auto"/>
        </w:rPr>
        <w:t>Pro rata interest settlement</w:t>
      </w:r>
      <w:r>
        <w:rPr>
          <w:rFonts w:ascii="Times New Roman" w:cs="Times New Roman" w:eastAsia="Times New Roman" w:hAnsi="Times New Roman"/>
          <w:sz w:val="18"/>
          <w:szCs w:val="18"/>
          <w:color w:val="auto"/>
        </w:rPr>
        <w:t>)), Break Costs and other amounts payable in relation thereto under the Finance Documents; or</w:t>
      </w:r>
    </w:p>
    <w:p>
      <w:pPr>
        <w:spacing w:after="0" w:line="81"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amount agreed between that Defaulting Lender, the Replacement Lender and the Company and which does not exceed the amount described in paragraph (i) above.</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rights and obligations of a Defaulting Lender pursuant to this Clause 38.9 shall be subject to the following conditions: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right to replace the Agent or Security Agent;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the Defaulting Lender shall have any obligation to the Company to find a Replacement Lender;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must take place no later than the date falling 20 Business Days after the notice referred to in paragraph (a) above;</w:t>
      </w:r>
    </w:p>
    <w:p>
      <w:pPr>
        <w:spacing w:after="0" w:line="130" w:lineRule="exact"/>
        <w:rPr>
          <w:rFonts w:ascii="Times New Roman" w:cs="Times New Roman" w:eastAsia="Times New Roman" w:hAnsi="Times New Roman"/>
          <w:sz w:val="18"/>
          <w:szCs w:val="18"/>
          <w:color w:val="auto"/>
        </w:rPr>
      </w:pPr>
    </w:p>
    <w:p>
      <w:pPr>
        <w:ind w:left="1184" w:right="520" w:hanging="644"/>
        <w:spacing w:after="0" w:line="282" w:lineRule="auto"/>
        <w:tabs>
          <w:tab w:leader="none" w:pos="1184"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Defaulting Lender be required to pay or surrender to the Replacement Lender any of the fees received by the Defaulting Lender pursuant to the Finance Documents; and</w:t>
      </w:r>
    </w:p>
    <w:p>
      <w:pPr>
        <w:spacing w:after="0" w:line="67" w:lineRule="exact"/>
        <w:rPr>
          <w:rFonts w:ascii="Times New Roman" w:cs="Times New Roman" w:eastAsia="Times New Roman" w:hAnsi="Times New Roman"/>
          <w:sz w:val="18"/>
          <w:szCs w:val="18"/>
          <w:color w:val="auto"/>
        </w:rPr>
      </w:pPr>
    </w:p>
    <w:p>
      <w:pPr>
        <w:jc w:val="both"/>
        <w:ind w:left="1184" w:right="80" w:hanging="644"/>
        <w:spacing w:after="0" w:line="266" w:lineRule="auto"/>
        <w:tabs>
          <w:tab w:leader="none" w:pos="1184"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Defaulting Lender shall only be obliged to transfer its rights and obligations pursuant to paragraph (a) above once it is satisfied that it has complied with all necessary “know your customer” or other similar checks under all applicable laws and regulations in relation to that transfer to the Replacement Lender.</w:t>
      </w:r>
    </w:p>
    <w:p>
      <w:pPr>
        <w:spacing w:after="0" w:line="81" w:lineRule="exact"/>
        <w:rPr>
          <w:rFonts w:ascii="Times New Roman" w:cs="Times New Roman" w:eastAsia="Times New Roman" w:hAnsi="Times New Roman"/>
          <w:sz w:val="18"/>
          <w:szCs w:val="18"/>
          <w:color w:val="auto"/>
        </w:rPr>
      </w:pPr>
    </w:p>
    <w:p>
      <w:pPr>
        <w:ind w:left="544" w:right="140" w:hanging="544"/>
        <w:spacing w:after="0" w:line="312" w:lineRule="auto"/>
        <w:tabs>
          <w:tab w:leader="none" w:pos="544"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Defaulting Lender shall perform the checks described in paragraph (b)(v) above as soon as reasonably practicable following delivery of a notice referred to in paragraph (a) above and shall notify the Agent and the Company when it is satisfied that it has complied with those checks.</w:t>
      </w:r>
    </w:p>
    <w:p>
      <w:pPr>
        <w:spacing w:after="0" w:line="284" w:lineRule="exact"/>
        <w:rPr>
          <w:sz w:val="20"/>
          <w:szCs w:val="20"/>
          <w:color w:val="auto"/>
        </w:rPr>
      </w:pPr>
    </w:p>
    <w:p>
      <w:pPr>
        <w:ind w:left="4" w:right="7720" w:hanging="4"/>
        <w:spacing w:after="0" w:line="385" w:lineRule="auto"/>
        <w:tabs>
          <w:tab w:leader="none" w:pos="544" w:val="left"/>
        </w:tabs>
        <w:numPr>
          <w:ilvl w:val="0"/>
          <w:numId w:val="4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 39.1 Confidentiality</w:t>
      </w:r>
    </w:p>
    <w:p>
      <w:pPr>
        <w:spacing w:after="0" w:line="1" w:lineRule="exact"/>
        <w:rPr>
          <w:sz w:val="20"/>
          <w:szCs w:val="20"/>
          <w:color w:val="auto"/>
        </w:rPr>
      </w:pPr>
    </w:p>
    <w:p>
      <w:pPr>
        <w:ind w:left="544" w:right="440"/>
        <w:spacing w:after="0" w:line="266" w:lineRule="auto"/>
        <w:rPr>
          <w:sz w:val="20"/>
          <w:szCs w:val="20"/>
          <w:color w:val="auto"/>
        </w:rPr>
      </w:pPr>
      <w:r>
        <w:rPr>
          <w:rFonts w:ascii="Times New Roman" w:cs="Times New Roman" w:eastAsia="Times New Roman" w:hAnsi="Times New Roman"/>
          <w:sz w:val="18"/>
          <w:szCs w:val="18"/>
          <w:color w:val="auto"/>
        </w:rPr>
        <w:t>Each Finance Party agrees to keep all Confidential Information confidential and not to disclose it to anyone, save to the extent permitted by Clause 39.2 (</w:t>
      </w:r>
      <w:r>
        <w:rPr>
          <w:rFonts w:ascii="Times New Roman" w:cs="Times New Roman" w:eastAsia="Times New Roman" w:hAnsi="Times New Roman"/>
          <w:sz w:val="18"/>
          <w:szCs w:val="18"/>
          <w:i w:val="1"/>
          <w:iCs w:val="1"/>
          <w:color w:val="auto"/>
        </w:rPr>
        <w:t>Disclosure of Confidential Information</w:t>
      </w:r>
      <w:r>
        <w:rPr>
          <w:rFonts w:ascii="Times New Roman" w:cs="Times New Roman" w:eastAsia="Times New Roman" w:hAnsi="Times New Roman"/>
          <w:sz w:val="18"/>
          <w:szCs w:val="18"/>
          <w:color w:val="auto"/>
        </w:rPr>
        <w:t>) and Clause 39.3 (</w:t>
      </w:r>
      <w:r>
        <w:rPr>
          <w:rFonts w:ascii="Times New Roman" w:cs="Times New Roman" w:eastAsia="Times New Roman" w:hAnsi="Times New Roman"/>
          <w:sz w:val="18"/>
          <w:szCs w:val="18"/>
          <w:i w:val="1"/>
          <w:iCs w:val="1"/>
          <w:color w:val="auto"/>
        </w:rPr>
        <w:t>Disclosure to numbering service providers</w:t>
      </w:r>
      <w:r>
        <w:rPr>
          <w:rFonts w:ascii="Times New Roman" w:cs="Times New Roman" w:eastAsia="Times New Roman" w:hAnsi="Times New Roman"/>
          <w:sz w:val="18"/>
          <w:szCs w:val="18"/>
          <w:color w:val="auto"/>
        </w:rPr>
        <w:t>), and to ensure that all Confidential Information is protected with security measures and a degree of care that would apply to its own confidential information.</w:t>
      </w:r>
    </w:p>
    <w:p>
      <w:pPr>
        <w:spacing w:after="0" w:line="77" w:lineRule="exact"/>
        <w:rPr>
          <w:sz w:val="20"/>
          <w:szCs w:val="20"/>
          <w:color w:val="auto"/>
        </w:rPr>
      </w:pPr>
    </w:p>
    <w:p>
      <w:pPr>
        <w:jc w:val="center"/>
        <w:ind w:right="7496"/>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39.2</w:t>
      </w:r>
      <w:r>
        <w:rPr>
          <w:sz w:val="20"/>
          <w:szCs w:val="20"/>
          <w:color w:val="auto"/>
        </w:rPr>
        <w:tab/>
      </w:r>
      <w:r>
        <w:rPr>
          <w:rFonts w:ascii="Times New Roman" w:cs="Times New Roman" w:eastAsia="Times New Roman" w:hAnsi="Times New Roman"/>
          <w:sz w:val="17"/>
          <w:szCs w:val="17"/>
          <w:b w:val="1"/>
          <w:bCs w:val="1"/>
          <w:color w:val="auto"/>
        </w:rPr>
        <w:t>Disclosure of Confidential Information</w:t>
      </w:r>
    </w:p>
    <w:p>
      <w:pPr>
        <w:spacing w:after="0" w:line="121" w:lineRule="exact"/>
        <w:rPr>
          <w:sz w:val="20"/>
          <w:szCs w:val="20"/>
          <w:color w:val="auto"/>
        </w:rPr>
      </w:pPr>
    </w:p>
    <w:p>
      <w:pPr>
        <w:jc w:val="center"/>
        <w:ind w:right="7536"/>
        <w:spacing w:after="0"/>
        <w:rPr>
          <w:sz w:val="20"/>
          <w:szCs w:val="20"/>
          <w:color w:val="auto"/>
        </w:rPr>
      </w:pPr>
      <w:r>
        <w:rPr>
          <w:rFonts w:ascii="Times New Roman" w:cs="Times New Roman" w:eastAsia="Times New Roman" w:hAnsi="Times New Roman"/>
          <w:sz w:val="18"/>
          <w:szCs w:val="18"/>
          <w:color w:val="auto"/>
        </w:rPr>
        <w:t>Any Finance Party may disclose:</w:t>
      </w:r>
    </w:p>
    <w:p>
      <w:pPr>
        <w:spacing w:after="0" w:line="131" w:lineRule="exact"/>
        <w:rPr>
          <w:sz w:val="20"/>
          <w:szCs w:val="20"/>
          <w:color w:val="auto"/>
        </w:rPr>
      </w:pPr>
    </w:p>
    <w:p>
      <w:pPr>
        <w:ind w:left="1184" w:right="120" w:hanging="644"/>
        <w:spacing w:after="0" w:line="261" w:lineRule="auto"/>
        <w:tabs>
          <w:tab w:leader="none" w:pos="1184"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 its Affiliates and Related Funds and any of its or their officers, directors, employees, professional advisers, auditors, partners, insurers, reinsurers, insurance brokers, hedging counterparties, service providers and Representatives such Confidential Information as that Finance Party shall consider appropriate if any person to whom the Confidential Information is to be given pursuant to this paragraph (a) is informed in writing</w:t>
      </w:r>
    </w:p>
    <w:p>
      <w:pPr>
        <w:spacing w:after="0" w:line="11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24"/>
          </w:cols>
          <w:pgMar w:left="436" w:top="270" w:right="439" w:bottom="1440" w:gutter="0" w:footer="0" w:header="0"/>
        </w:sectPr>
      </w:pPr>
    </w:p>
    <w:bookmarkStart w:id="157" w:name="page158"/>
    <w:bookmarkEnd w:id="157"/>
    <w:p>
      <w:pPr>
        <w:jc w:val="both"/>
        <w:ind w:left="1200"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81" w:lineRule="exact"/>
        <w:rPr>
          <w:sz w:val="20"/>
          <w:szCs w:val="20"/>
          <w:color w:val="auto"/>
        </w:rPr>
      </w:pPr>
    </w:p>
    <w:p>
      <w:pPr>
        <w:ind w:left="1180" w:hanging="644"/>
        <w:spacing w:after="0"/>
        <w:tabs>
          <w:tab w:leader="none" w:pos="118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w:t>
      </w:r>
    </w:p>
    <w:p>
      <w:pPr>
        <w:spacing w:after="0" w:line="130" w:lineRule="exact"/>
        <w:rPr>
          <w:rFonts w:ascii="Times New Roman" w:cs="Times New Roman" w:eastAsia="Times New Roman" w:hAnsi="Times New Roman"/>
          <w:sz w:val="18"/>
          <w:szCs w:val="18"/>
          <w:color w:val="auto"/>
        </w:rPr>
      </w:pPr>
    </w:p>
    <w:p>
      <w:pPr>
        <w:ind w:left="1740" w:right="220" w:hanging="543"/>
        <w:spacing w:after="0" w:line="266" w:lineRule="auto"/>
        <w:tabs>
          <w:tab w:leader="none" w:pos="1740"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81" w:lineRule="exact"/>
        <w:rPr>
          <w:rFonts w:ascii="Times New Roman" w:cs="Times New Roman" w:eastAsia="Times New Roman" w:hAnsi="Times New Roman"/>
          <w:sz w:val="18"/>
          <w:szCs w:val="18"/>
          <w:color w:val="auto"/>
        </w:rPr>
      </w:pPr>
    </w:p>
    <w:p>
      <w:pPr>
        <w:ind w:left="1740" w:right="80" w:hanging="543"/>
        <w:spacing w:after="0" w:line="261" w:lineRule="auto"/>
        <w:tabs>
          <w:tab w:leader="none" w:pos="1740"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spacing w:after="0" w:line="85" w:lineRule="exact"/>
        <w:rPr>
          <w:rFonts w:ascii="Times New Roman" w:cs="Times New Roman" w:eastAsia="Times New Roman" w:hAnsi="Times New Roman"/>
          <w:sz w:val="18"/>
          <w:szCs w:val="18"/>
          <w:color w:val="auto"/>
        </w:rPr>
      </w:pPr>
    </w:p>
    <w:p>
      <w:pPr>
        <w:ind w:left="1740" w:right="60" w:hanging="543"/>
        <w:spacing w:after="0" w:line="266" w:lineRule="auto"/>
        <w:tabs>
          <w:tab w:leader="none" w:pos="1740"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any Finance Party or by a person to whom paragraph (b)(i) or (b)(ii) above applies to receive communications, notices, information or documents delivered pursuant to the Finance Documents on its behalf (including, without limitation, any person appointed under paragraph (b) of Clause 28.16 (</w:t>
      </w:r>
      <w:r>
        <w:rPr>
          <w:rFonts w:ascii="Times New Roman" w:cs="Times New Roman" w:eastAsia="Times New Roman" w:hAnsi="Times New Roman"/>
          <w:sz w:val="18"/>
          <w:szCs w:val="18"/>
          <w:i w:val="1"/>
          <w:iCs w:val="1"/>
          <w:color w:val="auto"/>
        </w:rPr>
        <w:t>Relationship with the other Finance Parties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740" w:right="260" w:hanging="543"/>
        <w:spacing w:after="0" w:line="282" w:lineRule="auto"/>
        <w:tabs>
          <w:tab w:leader="none" w:pos="1740"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invests in or otherwise finances (or may potentially invest in or otherwise finance), directly or indirectly, any transaction referred to in paragraph (b)(i) or (b)(ii) above;</w:t>
      </w:r>
    </w:p>
    <w:p>
      <w:pPr>
        <w:spacing w:after="0" w:line="67" w:lineRule="exact"/>
        <w:rPr>
          <w:rFonts w:ascii="Times New Roman" w:cs="Times New Roman" w:eastAsia="Times New Roman" w:hAnsi="Times New Roman"/>
          <w:sz w:val="18"/>
          <w:szCs w:val="18"/>
          <w:color w:val="auto"/>
        </w:rPr>
      </w:pPr>
    </w:p>
    <w:p>
      <w:pPr>
        <w:ind w:left="1740" w:right="560" w:hanging="543"/>
        <w:spacing w:after="0" w:line="266" w:lineRule="auto"/>
        <w:tabs>
          <w:tab w:leader="none" w:pos="1740"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or requested to be disclosed by any court or tribunal of competent jurisdiction or any governmental, banking, taxation or other regulatory authority or similar body, the rules of any relevant stock exchange or pursuant to any applicable law or regulation;</w:t>
      </w:r>
    </w:p>
    <w:p>
      <w:pPr>
        <w:spacing w:after="0" w:line="81" w:lineRule="exact"/>
        <w:rPr>
          <w:rFonts w:ascii="Times New Roman" w:cs="Times New Roman" w:eastAsia="Times New Roman" w:hAnsi="Times New Roman"/>
          <w:sz w:val="18"/>
          <w:szCs w:val="18"/>
          <w:color w:val="auto"/>
        </w:rPr>
      </w:pPr>
    </w:p>
    <w:p>
      <w:pPr>
        <w:ind w:left="1740" w:right="760" w:hanging="543"/>
        <w:spacing w:after="0" w:line="282" w:lineRule="auto"/>
        <w:tabs>
          <w:tab w:leader="none" w:pos="1740"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to be disclosed in connection with, and for the purposes of, any litigation, arbitration, administrative or other investigations, proceedings or disputes;</w:t>
      </w:r>
    </w:p>
    <w:p>
      <w:pPr>
        <w:spacing w:after="0" w:line="67" w:lineRule="exact"/>
        <w:rPr>
          <w:rFonts w:ascii="Times New Roman" w:cs="Times New Roman" w:eastAsia="Times New Roman" w:hAnsi="Times New Roman"/>
          <w:sz w:val="18"/>
          <w:szCs w:val="18"/>
          <w:color w:val="auto"/>
        </w:rPr>
      </w:pPr>
    </w:p>
    <w:p>
      <w:pPr>
        <w:ind w:left="1740" w:right="520" w:hanging="543"/>
        <w:spacing w:after="0" w:line="282" w:lineRule="auto"/>
        <w:tabs>
          <w:tab w:leader="none" w:pos="1740"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or for whose benefit that Finance Party charges, assigns or otherwise creates Security (or may do so) pursuant to Clause 25.8 (</w:t>
      </w:r>
      <w:r>
        <w:rPr>
          <w:rFonts w:ascii="Times New Roman" w:cs="Times New Roman" w:eastAsia="Times New Roman" w:hAnsi="Times New Roman"/>
          <w:sz w:val="18"/>
          <w:szCs w:val="18"/>
          <w:i w:val="1"/>
          <w:iCs w:val="1"/>
          <w:color w:val="auto"/>
        </w:rPr>
        <w:t>Security over Lenders’ rights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Party; 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Company;</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20"/>
          </w:cols>
          <w:pgMar w:left="440" w:top="270" w:right="439" w:bottom="1440" w:gutter="0" w:footer="0" w:header="0"/>
        </w:sectPr>
      </w:pPr>
    </w:p>
    <w:bookmarkStart w:id="158" w:name="page159"/>
    <w:bookmarkEnd w:id="158"/>
    <w:p>
      <w:pPr>
        <w:ind w:left="12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each case, such Confidential Information as that Finance Party shall consider appropriate if:</w:t>
      </w:r>
    </w:p>
    <w:p>
      <w:pPr>
        <w:spacing w:after="0" w:line="131" w:lineRule="exact"/>
        <w:rPr>
          <w:sz w:val="20"/>
          <w:szCs w:val="20"/>
          <w:color w:val="auto"/>
        </w:rPr>
      </w:pPr>
    </w:p>
    <w:p>
      <w:pPr>
        <w:ind w:left="1744" w:right="280" w:hanging="543"/>
        <w:spacing w:after="0" w:line="261" w:lineRule="auto"/>
        <w:tabs>
          <w:tab w:leader="none" w:pos="1744"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85" w:lineRule="exact"/>
        <w:rPr>
          <w:rFonts w:ascii="Times New Roman" w:cs="Times New Roman" w:eastAsia="Times New Roman" w:hAnsi="Times New Roman"/>
          <w:sz w:val="18"/>
          <w:szCs w:val="18"/>
          <w:color w:val="auto"/>
        </w:rPr>
      </w:pPr>
    </w:p>
    <w:p>
      <w:pPr>
        <w:ind w:left="1744" w:right="80" w:hanging="543"/>
        <w:spacing w:after="0" w:line="266" w:lineRule="auto"/>
        <w:tabs>
          <w:tab w:leader="none" w:pos="1744"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81" w:lineRule="exact"/>
        <w:rPr>
          <w:rFonts w:ascii="Times New Roman" w:cs="Times New Roman" w:eastAsia="Times New Roman" w:hAnsi="Times New Roman"/>
          <w:sz w:val="18"/>
          <w:szCs w:val="18"/>
          <w:color w:val="auto"/>
        </w:rPr>
      </w:pPr>
    </w:p>
    <w:p>
      <w:pPr>
        <w:ind w:left="1744" w:right="120" w:hanging="543"/>
        <w:spacing w:after="0" w:line="261" w:lineRule="auto"/>
        <w:tabs>
          <w:tab w:leader="none" w:pos="1744"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85" w:lineRule="exact"/>
        <w:rPr>
          <w:rFonts w:ascii="Times New Roman" w:cs="Times New Roman" w:eastAsia="Times New Roman" w:hAnsi="Times New Roman"/>
          <w:sz w:val="18"/>
          <w:szCs w:val="18"/>
          <w:color w:val="auto"/>
        </w:rPr>
      </w:pPr>
    </w:p>
    <w:p>
      <w:pPr>
        <w:ind w:left="1184" w:right="40" w:hanging="644"/>
        <w:spacing w:after="0" w:line="255" w:lineRule="auto"/>
        <w:tabs>
          <w:tab w:leader="none" w:pos="1184"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Company and the relevant Finance Party;</w:t>
      </w:r>
    </w:p>
    <w:p>
      <w:pPr>
        <w:spacing w:after="0" w:line="94" w:lineRule="exact"/>
        <w:rPr>
          <w:rFonts w:ascii="Times New Roman" w:cs="Times New Roman" w:eastAsia="Times New Roman" w:hAnsi="Times New Roman"/>
          <w:sz w:val="18"/>
          <w:szCs w:val="18"/>
          <w:color w:val="auto"/>
        </w:rPr>
      </w:pPr>
    </w:p>
    <w:p>
      <w:pPr>
        <w:ind w:left="1184" w:right="100" w:hanging="644"/>
        <w:spacing w:after="0" w:line="261" w:lineRule="auto"/>
        <w:tabs>
          <w:tab w:leader="none" w:pos="1184"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39.3</w:t>
      </w:r>
      <w:r>
        <w:rPr>
          <w:sz w:val="20"/>
          <w:szCs w:val="20"/>
          <w:color w:val="auto"/>
        </w:rPr>
        <w:tab/>
      </w:r>
      <w:r>
        <w:rPr>
          <w:rFonts w:ascii="Times New Roman" w:cs="Times New Roman" w:eastAsia="Times New Roman" w:hAnsi="Times New Roman"/>
          <w:sz w:val="17"/>
          <w:szCs w:val="17"/>
          <w:b w:val="1"/>
          <w:bCs w:val="1"/>
          <w:color w:val="auto"/>
        </w:rPr>
        <w:t>Disclosure to numbering service providers</w:t>
      </w:r>
    </w:p>
    <w:p>
      <w:pPr>
        <w:spacing w:after="0" w:line="135" w:lineRule="exact"/>
        <w:rPr>
          <w:sz w:val="20"/>
          <w:szCs w:val="20"/>
          <w:color w:val="auto"/>
        </w:rPr>
      </w:pPr>
    </w:p>
    <w:p>
      <w:pPr>
        <w:ind w:left="544" w:right="740" w:hanging="544"/>
        <w:spacing w:after="0" w:line="312" w:lineRule="auto"/>
        <w:tabs>
          <w:tab w:leader="none" w:pos="544" w:val="left"/>
        </w:tabs>
        <w:numPr>
          <w:ilvl w:val="0"/>
          <w:numId w:val="4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Finance Party may disclose to any national or international numbering service provider appointed by that Finance Party to provide identification numbering services in respect of this Agreement, a Facility and/or one or more Obligors the following information:</w:t>
      </w:r>
    </w:p>
    <w:p>
      <w:pPr>
        <w:spacing w:after="0" w:line="45" w:lineRule="exact"/>
        <w:rPr>
          <w:rFonts w:ascii="Times New Roman" w:cs="Times New Roman" w:eastAsia="Times New Roman" w:hAnsi="Times New Roman"/>
          <w:sz w:val="17"/>
          <w:szCs w:val="17"/>
          <w:color w:val="auto"/>
        </w:rPr>
      </w:pPr>
    </w:p>
    <w:p>
      <w:pPr>
        <w:ind w:left="1184" w:hanging="644"/>
        <w:spacing w:after="0"/>
        <w:tabs>
          <w:tab w:leader="none" w:pos="1184"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Obligors;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of domicile of Obligors;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of incorporation of Obligors;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Date;</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24"/>
          </w:cols>
          <w:pgMar w:left="436" w:top="270" w:right="439" w:bottom="1440" w:gutter="0" w:footer="0" w:header="0"/>
        </w:sectPr>
      </w:pPr>
    </w:p>
    <w:bookmarkStart w:id="159" w:name="page160"/>
    <w:bookmarkEnd w:id="159"/>
    <w:p>
      <w:pPr>
        <w:ind w:left="1184" w:hanging="644"/>
        <w:spacing w:after="0"/>
        <w:tabs>
          <w:tab w:leader="none" w:pos="11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Clause 44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184" w:right="600" w:hanging="644"/>
        <w:spacing w:after="0" w:line="282" w:lineRule="auto"/>
        <w:tabs>
          <w:tab w:leader="none" w:pos="11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Agent and the Global Coordinators, the Joint Green Loan Lead Coordinators, the Green Loan Coordinator, the MLABs or the MLAs;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each amendment and restatement of this Agreement;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of, and names of, a Facility (and any tranches);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Total Commitments;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currencies of a Facility;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Facility;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of Facility;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Date for a Facility;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of the information previously supplied pursuant to paragraphs (i) to (xiii) above;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agreed between such Finance Party and the Company,</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to enable such numbering service provider to provide its usual syndicated loan numbering identification services.</w:t>
      </w:r>
    </w:p>
    <w:p>
      <w:pPr>
        <w:spacing w:after="0" w:line="131" w:lineRule="exact"/>
        <w:rPr>
          <w:sz w:val="20"/>
          <w:szCs w:val="20"/>
          <w:color w:val="auto"/>
        </w:rPr>
      </w:pPr>
    </w:p>
    <w:p>
      <w:pPr>
        <w:ind w:left="544" w:right="220" w:hanging="544"/>
        <w:spacing w:after="0" w:line="266" w:lineRule="auto"/>
        <w:tabs>
          <w:tab w:leader="none" w:pos="544"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each identification number assigned to this Agreement, a Facility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81" w:lineRule="exact"/>
        <w:rPr>
          <w:rFonts w:ascii="Times New Roman" w:cs="Times New Roman" w:eastAsia="Times New Roman" w:hAnsi="Times New Roman"/>
          <w:sz w:val="18"/>
          <w:szCs w:val="18"/>
          <w:color w:val="auto"/>
        </w:rPr>
      </w:pPr>
    </w:p>
    <w:p>
      <w:pPr>
        <w:ind w:left="544" w:right="740" w:hanging="544"/>
        <w:spacing w:after="0" w:line="282" w:lineRule="auto"/>
        <w:tabs>
          <w:tab w:leader="none" w:pos="544"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that none of the information set out in paragraphs (i) to (xv) of paragraph (a) above is, nor will at any time be, unpublished price-sensitive information.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39.4</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121" w:lineRule="exact"/>
        <w:rPr>
          <w:sz w:val="20"/>
          <w:szCs w:val="20"/>
          <w:color w:val="auto"/>
        </w:rPr>
      </w:pPr>
    </w:p>
    <w:p>
      <w:pPr>
        <w:jc w:val="both"/>
        <w:ind w:left="544" w:right="420"/>
        <w:spacing w:after="0" w:line="266" w:lineRule="auto"/>
        <w:rPr>
          <w:sz w:val="20"/>
          <w:szCs w:val="20"/>
          <w:color w:val="auto"/>
        </w:rPr>
      </w:pPr>
      <w:r>
        <w:rPr>
          <w:rFonts w:ascii="Times New Roman" w:cs="Times New Roman" w:eastAsia="Times New Roman" w:hAnsi="Times New Roman"/>
          <w:sz w:val="18"/>
          <w:szCs w:val="18"/>
          <w:color w:val="auto"/>
        </w:rPr>
        <w:t>This Clause 39.4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39.5</w:t>
        <w:tab/>
        <w:t>Inside information</w:t>
      </w:r>
    </w:p>
    <w:p>
      <w:pPr>
        <w:spacing w:after="0" w:line="121" w:lineRule="exact"/>
        <w:rPr>
          <w:sz w:val="20"/>
          <w:szCs w:val="20"/>
          <w:color w:val="auto"/>
        </w:rPr>
      </w:pPr>
    </w:p>
    <w:p>
      <w:pPr>
        <w:jc w:val="both"/>
        <w:ind w:left="544" w:right="180"/>
        <w:spacing w:after="0" w:line="266" w:lineRule="auto"/>
        <w:rPr>
          <w:sz w:val="20"/>
          <w:szCs w:val="20"/>
          <w:color w:val="auto"/>
        </w:rPr>
      </w:pPr>
      <w:r>
        <w:rPr>
          <w:rFonts w:ascii="Times New Roman" w:cs="Times New Roman" w:eastAsia="Times New Roman" w:hAnsi="Times New Roman"/>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0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24"/>
          </w:cols>
          <w:pgMar w:left="436" w:top="268" w:right="439" w:bottom="1440" w:gutter="0" w:footer="0" w:header="0"/>
        </w:sectPr>
      </w:pPr>
    </w:p>
    <w:bookmarkStart w:id="160" w:name="page161"/>
    <w:bookmarkEnd w:id="160"/>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39.6</w:t>
      </w:r>
      <w:r>
        <w:rPr>
          <w:sz w:val="20"/>
          <w:szCs w:val="20"/>
          <w:color w:val="auto"/>
        </w:rPr>
        <w:tab/>
      </w:r>
      <w:r>
        <w:rPr>
          <w:rFonts w:ascii="Times New Roman" w:cs="Times New Roman" w:eastAsia="Times New Roman" w:hAnsi="Times New Roman"/>
          <w:sz w:val="17"/>
          <w:szCs w:val="17"/>
          <w:b w:val="1"/>
          <w:bCs w:val="1"/>
          <w:color w:val="auto"/>
        </w:rPr>
        <w:t>Notification of disclosure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Each of the Finance Parties agrees (to the extent permitted by law and regulation) to inform the Company:</w:t>
      </w:r>
    </w:p>
    <w:p>
      <w:pPr>
        <w:spacing w:after="0" w:line="129" w:lineRule="exact"/>
        <w:rPr>
          <w:sz w:val="20"/>
          <w:szCs w:val="20"/>
          <w:color w:val="auto"/>
        </w:rPr>
      </w:pPr>
    </w:p>
    <w:p>
      <w:pPr>
        <w:ind w:left="1184" w:right="180" w:hanging="644"/>
        <w:spacing w:after="0" w:line="267" w:lineRule="auto"/>
        <w:tabs>
          <w:tab w:leader="none" w:pos="1184"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circumstances of any disclosure of Confidential Information made pursuant to paragraph (b)(v) of Clause 39.2 (</w:t>
      </w:r>
      <w:r>
        <w:rPr>
          <w:rFonts w:ascii="Times New Roman" w:cs="Times New Roman" w:eastAsia="Times New Roman" w:hAnsi="Times New Roman"/>
          <w:sz w:val="18"/>
          <w:szCs w:val="18"/>
          <w:i w:val="1"/>
          <w:iCs w:val="1"/>
          <w:color w:val="auto"/>
        </w:rPr>
        <w:t>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except where such disclosure is made to any of the persons referred to in that paragraph during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of its supervisory or regulatory function; and</w:t>
      </w:r>
    </w:p>
    <w:p>
      <w:pPr>
        <w:spacing w:after="0" w:line="8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that Confidential Information has been disclosed in breach of this Clause 39.6.</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39.7</w:t>
      </w:r>
      <w:r>
        <w:rPr>
          <w:sz w:val="20"/>
          <w:szCs w:val="20"/>
          <w:color w:val="auto"/>
        </w:rPr>
        <w:tab/>
      </w:r>
      <w:r>
        <w:rPr>
          <w:rFonts w:ascii="Times New Roman" w:cs="Times New Roman" w:eastAsia="Times New Roman" w:hAnsi="Times New Roman"/>
          <w:sz w:val="17"/>
          <w:szCs w:val="17"/>
          <w:b w:val="1"/>
          <w:bCs w:val="1"/>
          <w:color w:val="auto"/>
        </w:rPr>
        <w:t>Publication</w:t>
      </w:r>
    </w:p>
    <w:p>
      <w:pPr>
        <w:spacing w:after="0" w:line="121" w:lineRule="exact"/>
        <w:rPr>
          <w:sz w:val="20"/>
          <w:szCs w:val="20"/>
          <w:color w:val="auto"/>
        </w:rPr>
      </w:pPr>
    </w:p>
    <w:p>
      <w:pPr>
        <w:jc w:val="both"/>
        <w:ind w:left="544" w:right="200"/>
        <w:spacing w:after="0" w:line="266" w:lineRule="auto"/>
        <w:rPr>
          <w:sz w:val="20"/>
          <w:szCs w:val="20"/>
          <w:color w:val="auto"/>
        </w:rPr>
      </w:pPr>
      <w:r>
        <w:rPr>
          <w:rFonts w:ascii="Times New Roman" w:cs="Times New Roman" w:eastAsia="Times New Roman" w:hAnsi="Times New Roman"/>
          <w:sz w:val="18"/>
          <w:szCs w:val="18"/>
          <w:color w:val="auto"/>
        </w:rPr>
        <w:t>Each of the Global Coordinators, the Joint Green Loan Lead Coordinators, the Green Loan Coordinator, the MLABs, the MLAs shall have the right to disclose its participation in the Facilities including by way of the placement of “tombstone” advertisements, pitches, press releases and for the purposes of league tables.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39.8</w:t>
        <w:tab/>
        <w:t>Continuing obligations</w:t>
      </w:r>
    </w:p>
    <w:p>
      <w:pPr>
        <w:spacing w:after="0" w:line="121"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The obligations in this Clause 39 are continuing and, in particular, shall survive and remain binding on each Finance Party for a period of twelve months from the earlier of:</w:t>
      </w:r>
    </w:p>
    <w:p>
      <w:pPr>
        <w:spacing w:after="0" w:line="67" w:lineRule="exact"/>
        <w:rPr>
          <w:sz w:val="20"/>
          <w:szCs w:val="20"/>
          <w:color w:val="auto"/>
        </w:rPr>
      </w:pPr>
    </w:p>
    <w:p>
      <w:pPr>
        <w:ind w:left="1184" w:right="600" w:hanging="644"/>
        <w:spacing w:after="0" w:line="282" w:lineRule="auto"/>
        <w:tabs>
          <w:tab w:leader="none" w:pos="1184"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Finance Party otherwise ceases to be a Finance Party.</w:t>
      </w:r>
    </w:p>
    <w:p>
      <w:pPr>
        <w:spacing w:after="0" w:line="36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OF FUNDING RATES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40.1</w:t>
      </w:r>
      <w:r>
        <w:rPr>
          <w:sz w:val="20"/>
          <w:szCs w:val="20"/>
          <w:color w:val="auto"/>
        </w:rPr>
        <w:tab/>
      </w:r>
      <w:r>
        <w:rPr>
          <w:rFonts w:ascii="Times New Roman" w:cs="Times New Roman" w:eastAsia="Times New Roman" w:hAnsi="Times New Roman"/>
          <w:sz w:val="17"/>
          <w:szCs w:val="17"/>
          <w:b w:val="1"/>
          <w:bCs w:val="1"/>
          <w:color w:val="auto"/>
        </w:rPr>
        <w:t>Confidentiality and disclosure</w:t>
      </w:r>
    </w:p>
    <w:p>
      <w:pPr>
        <w:spacing w:after="0" w:line="135" w:lineRule="exact"/>
        <w:rPr>
          <w:sz w:val="20"/>
          <w:szCs w:val="20"/>
          <w:color w:val="auto"/>
        </w:rPr>
      </w:pPr>
    </w:p>
    <w:p>
      <w:pPr>
        <w:ind w:left="544" w:right="540" w:hanging="544"/>
        <w:spacing w:after="0" w:line="282" w:lineRule="auto"/>
        <w:tabs>
          <w:tab w:leader="none" w:pos="544"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each Obligor agree to keep each Funding Rate confidential and not to disclose it to anyone, save to the extent permitted by paragraphs (b) or (c) below.</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disclose:</w:t>
      </w:r>
    </w:p>
    <w:p>
      <w:pPr>
        <w:spacing w:after="0" w:line="128"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Funding Rate to the Borrower pursuant to Clause 10.5 (</w:t>
      </w:r>
      <w:r>
        <w:rPr>
          <w:rFonts w:ascii="Times New Roman" w:cs="Times New Roman" w:eastAsia="Times New Roman" w:hAnsi="Times New Roman"/>
          <w:sz w:val="18"/>
          <w:szCs w:val="18"/>
          <w:i w:val="1"/>
          <w:iCs w:val="1"/>
          <w:color w:val="auto"/>
        </w:rPr>
        <w:t>Notification of rates of interest</w:t>
      </w:r>
      <w:r>
        <w:rPr>
          <w:rFonts w:ascii="Times New Roman" w:cs="Times New Roman" w:eastAsia="Times New Roman" w:hAnsi="Times New Roman"/>
          <w:sz w:val="18"/>
          <w:szCs w:val="18"/>
          <w:color w:val="auto"/>
        </w:rPr>
        <w:t>); and</w:t>
      </w:r>
    </w:p>
    <w:p>
      <w:pPr>
        <w:spacing w:after="0" w:line="132" w:lineRule="exact"/>
        <w:rPr>
          <w:rFonts w:ascii="Times New Roman" w:cs="Times New Roman" w:eastAsia="Times New Roman" w:hAnsi="Times New Roman"/>
          <w:sz w:val="18"/>
          <w:szCs w:val="18"/>
          <w:color w:val="auto"/>
        </w:rPr>
      </w:pPr>
    </w:p>
    <w:p>
      <w:pPr>
        <w:ind w:left="1184" w:hanging="644"/>
        <w:spacing w:after="0" w:line="258" w:lineRule="auto"/>
        <w:tabs>
          <w:tab w:leader="none" w:pos="1184"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 as the case may be.</w:t>
      </w:r>
    </w:p>
    <w:p>
      <w:pPr>
        <w:spacing w:after="0" w:line="8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disclose any Funding Rate, and each Obligor may disclose any Funding Rate, to:</w:t>
      </w:r>
    </w:p>
    <w:p>
      <w:pPr>
        <w:spacing w:after="0" w:line="130" w:lineRule="exact"/>
        <w:rPr>
          <w:rFonts w:ascii="Times New Roman" w:cs="Times New Roman" w:eastAsia="Times New Roman" w:hAnsi="Times New Roman"/>
          <w:sz w:val="18"/>
          <w:szCs w:val="18"/>
          <w:color w:val="auto"/>
        </w:rPr>
      </w:pPr>
    </w:p>
    <w:p>
      <w:pPr>
        <w:ind w:left="1184" w:right="80" w:hanging="644"/>
        <w:spacing w:after="0" w:line="258" w:lineRule="auto"/>
        <w:tabs>
          <w:tab w:leader="none" w:pos="1184"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116"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24"/>
          </w:cols>
          <w:pgMar w:left="436" w:top="266" w:right="439" w:bottom="1440" w:gutter="0" w:footer="0" w:header="0"/>
        </w:sectPr>
      </w:pPr>
    </w:p>
    <w:bookmarkStart w:id="161" w:name="page162"/>
    <w:bookmarkEnd w:id="161"/>
    <w:p>
      <w:pPr>
        <w:ind w:left="1184" w:right="100" w:hanging="644"/>
        <w:spacing w:after="0" w:line="258" w:lineRule="auto"/>
        <w:tabs>
          <w:tab w:leader="none" w:pos="1184"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spacing w:after="0" w:line="88" w:lineRule="exact"/>
        <w:rPr>
          <w:rFonts w:ascii="Times New Roman" w:cs="Times New Roman" w:eastAsia="Times New Roman" w:hAnsi="Times New Roman"/>
          <w:sz w:val="18"/>
          <w:szCs w:val="18"/>
          <w:color w:val="auto"/>
        </w:rPr>
      </w:pPr>
    </w:p>
    <w:p>
      <w:pPr>
        <w:ind w:left="1184" w:right="80" w:hanging="644"/>
        <w:spacing w:after="0" w:line="261" w:lineRule="auto"/>
        <w:tabs>
          <w:tab w:leader="none" w:pos="1184"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 and</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with the consent of the relevant Lender, as the case may be.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40.2</w:t>
        <w:tab/>
        <w:t>Related obligations</w:t>
      </w:r>
    </w:p>
    <w:p>
      <w:pPr>
        <w:spacing w:after="0" w:line="135" w:lineRule="exact"/>
        <w:rPr>
          <w:sz w:val="20"/>
          <w:szCs w:val="20"/>
          <w:color w:val="auto"/>
        </w:rPr>
      </w:pPr>
    </w:p>
    <w:p>
      <w:pPr>
        <w:ind w:left="544" w:right="160" w:hanging="544"/>
        <w:spacing w:after="0" w:line="266" w:lineRule="auto"/>
        <w:tabs>
          <w:tab w:leader="none" w:pos="544"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each Obligor acknowledge that each Funding Rate (is or may be price-sensitive information and that its use may be regulated or prohibited by applicable legislation including securities law relating to insider dealing and market abuse and the Agent and each Obligor undertake not to use any Funding Rate for any unlawful purpose.</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each Obligor agree (to the extent permitted by law and regulation) to inform the relevant Lender, as the case may be:</w:t>
      </w:r>
    </w:p>
    <w:p>
      <w:pPr>
        <w:spacing w:after="0" w:line="128" w:lineRule="exact"/>
        <w:rPr>
          <w:rFonts w:ascii="Times New Roman" w:cs="Times New Roman" w:eastAsia="Times New Roman" w:hAnsi="Times New Roman"/>
          <w:sz w:val="18"/>
          <w:szCs w:val="18"/>
          <w:color w:val="auto"/>
        </w:rPr>
      </w:pPr>
    </w:p>
    <w:p>
      <w:pPr>
        <w:ind w:left="1184" w:right="140" w:hanging="644"/>
        <w:spacing w:after="0" w:line="267" w:lineRule="auto"/>
        <w:tabs>
          <w:tab w:leader="none" w:pos="1184"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circumstances of any disclosure made pursuant to paragraph (c)(ii) of Clause 40.1 (</w:t>
      </w:r>
      <w:r>
        <w:rPr>
          <w:rFonts w:ascii="Times New Roman" w:cs="Times New Roman" w:eastAsia="Times New Roman" w:hAnsi="Times New Roman"/>
          <w:sz w:val="18"/>
          <w:szCs w:val="18"/>
          <w:i w:val="1"/>
          <w:iCs w:val="1"/>
          <w:color w:val="auto"/>
        </w:rPr>
        <w:t>Confidentiality and disclosure</w:t>
      </w:r>
      <w:r>
        <w:rPr>
          <w:rFonts w:ascii="Times New Roman" w:cs="Times New Roman" w:eastAsia="Times New Roman" w:hAnsi="Times New Roman"/>
          <w:sz w:val="18"/>
          <w:szCs w:val="18"/>
          <w:color w:val="auto"/>
        </w:rPr>
        <w:t>) except where such disclosure is made to any of the persons referred to in that paragraph during the ordinary course of its supervisory or regulatory function; and</w:t>
      </w:r>
    </w:p>
    <w:p>
      <w:pPr>
        <w:spacing w:after="0" w:line="8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that any information has been disclosed in breach of this Clause 40.</w:t>
      </w:r>
    </w:p>
    <w:p>
      <w:pPr>
        <w:spacing w:after="0" w:line="11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No Event of Default will occur under Clause 24.3 (</w:t>
      </w:r>
      <w:r>
        <w:rPr>
          <w:rFonts w:ascii="Times New Roman" w:cs="Times New Roman" w:eastAsia="Times New Roman" w:hAnsi="Times New Roman"/>
          <w:sz w:val="18"/>
          <w:szCs w:val="18"/>
          <w:i w:val="1"/>
          <w:iCs w:val="1"/>
          <w:color w:val="auto"/>
        </w:rPr>
        <w:t>Other obligations</w:t>
      </w:r>
      <w:r>
        <w:rPr>
          <w:rFonts w:ascii="Times New Roman" w:cs="Times New Roman" w:eastAsia="Times New Roman" w:hAnsi="Times New Roman"/>
          <w:sz w:val="18"/>
          <w:szCs w:val="18"/>
          <w:color w:val="auto"/>
        </w:rPr>
        <w:t>) by reason only of an Obligor’s failure to comply with this Clause 40.</w:t>
      </w:r>
    </w:p>
    <w:p>
      <w:pPr>
        <w:spacing w:after="0" w:line="372" w:lineRule="exact"/>
        <w:rPr>
          <w:sz w:val="20"/>
          <w:szCs w:val="20"/>
          <w:color w:val="auto"/>
        </w:rPr>
      </w:pPr>
    </w:p>
    <w:p>
      <w:pPr>
        <w:ind w:left="544" w:hanging="544"/>
        <w:spacing w:after="0"/>
        <w:tabs>
          <w:tab w:leader="none" w:pos="544" w:val="left"/>
        </w:tabs>
        <w:numPr>
          <w:ilvl w:val="0"/>
          <w:numId w:val="4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134" w:lineRule="exact"/>
        <w:rPr>
          <w:rFonts w:ascii="Times New Roman" w:cs="Times New Roman" w:eastAsia="Times New Roman" w:hAnsi="Times New Roman"/>
          <w:sz w:val="18"/>
          <w:szCs w:val="18"/>
          <w:b w:val="1"/>
          <w:bCs w:val="1"/>
          <w:color w:val="auto"/>
        </w:rPr>
      </w:pPr>
    </w:p>
    <w:p>
      <w:pPr>
        <w:ind w:left="1184" w:right="660" w:hanging="644"/>
        <w:spacing w:after="0" w:line="282" w:lineRule="auto"/>
        <w:tabs>
          <w:tab w:leader="none" w:pos="1184"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Document may be executed in any number of counterparts, and this has the same effect as if the signatures on the counterparts were on a single copy of the Finance Document.</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24"/>
          </w:cols>
          <w:pgMar w:left="436" w:top="270" w:right="439" w:bottom="1440" w:gutter="0" w:footer="0" w:header="0"/>
        </w:sectPr>
      </w:pPr>
    </w:p>
    <w:bookmarkStart w:id="162" w:name="page163"/>
    <w:bookmarkEnd w:id="162"/>
    <w:p>
      <w:pPr>
        <w:ind w:left="1184" w:right="20" w:hanging="644"/>
        <w:spacing w:after="0" w:line="266" w:lineRule="auto"/>
        <w:tabs>
          <w:tab w:leader="none" w:pos="1184"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agree that any Finance Document, Green Loan Impact Report, Utilisation Request, or other related document, notice or communication can be executed using an Electronic Signature and where a Finance Document is executed using an Electronic Signature the original shall be:</w:t>
      </w:r>
    </w:p>
    <w:p>
      <w:pPr>
        <w:spacing w:after="0" w:line="81" w:lineRule="exact"/>
        <w:rPr>
          <w:rFonts w:ascii="Times New Roman" w:cs="Times New Roman" w:eastAsia="Times New Roman" w:hAnsi="Times New Roman"/>
          <w:sz w:val="18"/>
          <w:szCs w:val="18"/>
          <w:color w:val="auto"/>
        </w:rPr>
      </w:pPr>
    </w:p>
    <w:p>
      <w:pPr>
        <w:ind w:left="1744" w:right="140" w:hanging="543"/>
        <w:spacing w:after="0" w:line="266" w:lineRule="auto"/>
        <w:tabs>
          <w:tab w:leader="none" w:pos="1744"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Signing Platform is used, the signed and dated document stored in the cloud of that Signing Platform, any document which a party, or their legal advisors, downloads from the Signing Platform and the dated document circulated by e-mail on, or shortly after, the dating of such Finance Document; and</w:t>
      </w:r>
    </w:p>
    <w:p>
      <w:pPr>
        <w:spacing w:after="0" w:line="81" w:lineRule="exact"/>
        <w:rPr>
          <w:rFonts w:ascii="Times New Roman" w:cs="Times New Roman" w:eastAsia="Times New Roman" w:hAnsi="Times New Roman"/>
          <w:sz w:val="18"/>
          <w:szCs w:val="18"/>
          <w:color w:val="auto"/>
        </w:rPr>
      </w:pPr>
    </w:p>
    <w:p>
      <w:pPr>
        <w:ind w:left="1744" w:right="240" w:hanging="543"/>
        <w:spacing w:after="0" w:line="282" w:lineRule="auto"/>
        <w:tabs>
          <w:tab w:leader="none" w:pos="1744"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 Electronic Signature is affixed outside of a Signing Platform, the dated document circulated by e-mail on, or shortly after, the dating of such Finance Document.</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For the purpose of this Clause</w:t>
      </w:r>
    </w:p>
    <w:p>
      <w:pPr>
        <w:spacing w:after="0" w:line="113"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Signature</w:t>
      </w:r>
      <w:r>
        <w:rPr>
          <w:rFonts w:ascii="Times New Roman" w:cs="Times New Roman" w:eastAsia="Times New Roman" w:hAnsi="Times New Roman"/>
          <w:sz w:val="18"/>
          <w:szCs w:val="18"/>
          <w:color w:val="auto"/>
        </w:rPr>
        <w:t>” means an electronic signature as set out in section 7 of the UK Electronic Communications Act 2000.</w:t>
      </w:r>
    </w:p>
    <w:p>
      <w:pPr>
        <w:spacing w:after="0" w:line="117" w:lineRule="exact"/>
        <w:rPr>
          <w:sz w:val="20"/>
          <w:szCs w:val="20"/>
          <w:color w:val="auto"/>
        </w:rPr>
      </w:pPr>
    </w:p>
    <w:p>
      <w:pPr>
        <w:ind w:left="1204"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Signing Platform</w:t>
      </w:r>
      <w:r>
        <w:rPr>
          <w:rFonts w:ascii="Times New Roman" w:cs="Times New Roman" w:eastAsia="Times New Roman" w:hAnsi="Times New Roman"/>
          <w:sz w:val="18"/>
          <w:szCs w:val="18"/>
          <w:color w:val="auto"/>
        </w:rPr>
        <w:t>” means DocuSign, or any other secure, electronic signing platform which allows a signatory to insert an Electronic Signature into an electronic version of a document and which the parties agree can be used to sign a Finance Document</w:t>
      </w:r>
    </w:p>
    <w:p>
      <w:pPr>
        <w:spacing w:after="0" w:line="303" w:lineRule="exact"/>
        <w:rPr>
          <w:sz w:val="20"/>
          <w:szCs w:val="20"/>
          <w:color w:val="auto"/>
        </w:rPr>
      </w:pPr>
    </w:p>
    <w:p>
      <w:pPr>
        <w:ind w:left="544" w:hanging="544"/>
        <w:spacing w:after="0"/>
        <w:tabs>
          <w:tab w:leader="none" w:pos="544" w:val="left"/>
        </w:tabs>
        <w:numPr>
          <w:ilvl w:val="0"/>
          <w:numId w:val="4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BAIL-IN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42.1</w:t>
      </w:r>
      <w:r>
        <w:rPr>
          <w:sz w:val="20"/>
          <w:szCs w:val="20"/>
          <w:color w:val="auto"/>
        </w:rPr>
        <w:tab/>
      </w:r>
      <w:r>
        <w:rPr>
          <w:rFonts w:ascii="Times New Roman" w:cs="Times New Roman" w:eastAsia="Times New Roman" w:hAnsi="Times New Roman"/>
          <w:sz w:val="17"/>
          <w:szCs w:val="17"/>
          <w:b w:val="1"/>
          <w:bCs w:val="1"/>
          <w:color w:val="auto"/>
        </w:rPr>
        <w:t>Contractual recognition of bail-in</w:t>
      </w:r>
    </w:p>
    <w:p>
      <w:pPr>
        <w:spacing w:after="0" w:line="121" w:lineRule="exact"/>
        <w:rPr>
          <w:sz w:val="20"/>
          <w:szCs w:val="20"/>
          <w:color w:val="auto"/>
        </w:rPr>
      </w:pPr>
    </w:p>
    <w:p>
      <w:pPr>
        <w:jc w:val="both"/>
        <w:ind w:left="544" w:right="20"/>
        <w:spacing w:after="0" w:line="266" w:lineRule="auto"/>
        <w:rPr>
          <w:sz w:val="20"/>
          <w:szCs w:val="20"/>
          <w:color w:val="auto"/>
        </w:rPr>
      </w:pPr>
      <w:r>
        <w:rPr>
          <w:rFonts w:ascii="Times New Roman" w:cs="Times New Roman" w:eastAsia="Times New Roman" w:hAnsi="Times New Roman"/>
          <w:sz w:val="18"/>
          <w:szCs w:val="18"/>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81" w:lineRule="exact"/>
        <w:rPr>
          <w:sz w:val="20"/>
          <w:szCs w:val="20"/>
          <w:color w:val="auto"/>
        </w:rPr>
      </w:pPr>
    </w:p>
    <w:p>
      <w:pPr>
        <w:ind w:left="1184" w:hanging="644"/>
        <w:spacing w:after="0"/>
        <w:tabs>
          <w:tab w:leader="none" w:pos="1184"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Bail-In Action in relation to any such liability, including (without limitation):</w:t>
      </w:r>
    </w:p>
    <w:p>
      <w:pPr>
        <w:spacing w:after="0" w:line="130" w:lineRule="exact"/>
        <w:rPr>
          <w:rFonts w:ascii="Times New Roman" w:cs="Times New Roman" w:eastAsia="Times New Roman" w:hAnsi="Times New Roman"/>
          <w:sz w:val="18"/>
          <w:szCs w:val="18"/>
          <w:color w:val="auto"/>
        </w:rPr>
      </w:pPr>
    </w:p>
    <w:p>
      <w:pPr>
        <w:ind w:left="1744" w:right="140" w:hanging="543"/>
        <w:spacing w:after="0" w:line="282" w:lineRule="auto"/>
        <w:tabs>
          <w:tab w:leader="none" w:pos="1744"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in the principal amount, or outstanding amount due (including any accrued but unpaid interest) in respect of any such liability;</w:t>
      </w:r>
    </w:p>
    <w:p>
      <w:pPr>
        <w:spacing w:after="0" w:line="67" w:lineRule="exact"/>
        <w:rPr>
          <w:rFonts w:ascii="Times New Roman" w:cs="Times New Roman" w:eastAsia="Times New Roman" w:hAnsi="Times New Roman"/>
          <w:sz w:val="18"/>
          <w:szCs w:val="18"/>
          <w:color w:val="auto"/>
        </w:rPr>
      </w:pPr>
    </w:p>
    <w:p>
      <w:pPr>
        <w:ind w:left="1744" w:right="20" w:hanging="543"/>
        <w:spacing w:after="0" w:line="282" w:lineRule="auto"/>
        <w:tabs>
          <w:tab w:leader="none" w:pos="1744"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part of, any such liability into shares or other instruments of ownership that may be issued to, or conferred on, it; and</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cancellation of any such liability; and</w:t>
      </w:r>
    </w:p>
    <w:p>
      <w:pPr>
        <w:spacing w:after="0" w:line="130" w:lineRule="exact"/>
        <w:rPr>
          <w:rFonts w:ascii="Times New Roman" w:cs="Times New Roman" w:eastAsia="Times New Roman" w:hAnsi="Times New Roman"/>
          <w:sz w:val="18"/>
          <w:szCs w:val="18"/>
          <w:color w:val="auto"/>
        </w:rPr>
      </w:pPr>
    </w:p>
    <w:p>
      <w:pPr>
        <w:ind w:left="1184" w:right="400" w:hanging="644"/>
        <w:spacing w:after="0" w:line="282" w:lineRule="auto"/>
        <w:tabs>
          <w:tab w:leader="none" w:pos="1184"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variation of any term of any Finance Document to the extent necessary to give effect to any Bail-In Action in relation to any such liability.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42.2</w:t>
        <w:tab/>
        <w:t>Bail-in definitions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this Clause 42:</w:t>
      </w:r>
    </w:p>
    <w:p>
      <w:pPr>
        <w:spacing w:after="0" w:line="113" w:lineRule="exact"/>
        <w:rPr>
          <w:sz w:val="20"/>
          <w:szCs w:val="20"/>
          <w:color w:val="auto"/>
        </w:rPr>
      </w:pPr>
    </w:p>
    <w:p>
      <w:pPr>
        <w:ind w:left="544"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55 BRRD</w:t>
      </w:r>
      <w:r>
        <w:rPr>
          <w:rFonts w:ascii="Times New Roman" w:cs="Times New Roman" w:eastAsia="Times New Roman" w:hAnsi="Times New Roman"/>
          <w:sz w:val="18"/>
          <w:szCs w:val="18"/>
          <w:color w:val="auto"/>
        </w:rPr>
        <w:t>” means Article 55 of Directive 2014/59/EU establishing a framework for the recovery and resolution of credit institutions and investment firms.</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w:t>
      </w:r>
    </w:p>
    <w:p>
      <w:pPr>
        <w:spacing w:after="0" w:line="16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24"/>
          </w:cols>
          <w:pgMar w:left="436" w:top="270" w:right="439" w:bottom="1440" w:gutter="0" w:footer="0" w:header="0"/>
        </w:sectPr>
      </w:pPr>
    </w:p>
    <w:bookmarkStart w:id="163" w:name="page164"/>
    <w:bookmarkEnd w:id="163"/>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right="520" w:hanging="644"/>
        <w:spacing w:after="0" w:line="282" w:lineRule="auto"/>
        <w:tabs>
          <w:tab w:leader="none" w:pos="11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United Kingdom, the UK Bail-In Legislation; and</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state other than such an EEA Member Country and the United Kingdom, any analogous law or regulation from time to time which requires contractual recognition of any Write-down and Conversion Powers contained in that law or regulation.</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member state of the European Union, Iceland, Liechtenstein and Norway.</w:t>
      </w:r>
    </w:p>
    <w:p>
      <w:pPr>
        <w:spacing w:after="0" w:line="117" w:lineRule="exact"/>
        <w:rPr>
          <w:sz w:val="20"/>
          <w:szCs w:val="20"/>
          <w:color w:val="auto"/>
        </w:rPr>
      </w:pPr>
    </w:p>
    <w:p>
      <w:pPr>
        <w:ind w:left="540"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document described as such and published by the Loan Market Association (or any successor person) from time to time.</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any body which has authority to exercise any Write-down and Conversion Powers.</w:t>
      </w:r>
    </w:p>
    <w:p>
      <w:pPr>
        <w:spacing w:after="0" w:line="117" w:lineRule="exact"/>
        <w:rPr>
          <w:sz w:val="20"/>
          <w:szCs w:val="20"/>
          <w:color w:val="auto"/>
        </w:rPr>
      </w:pPr>
    </w:p>
    <w:p>
      <w:pPr>
        <w:ind w:left="540"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Bail-In Legislation</w:t>
      </w:r>
      <w:r>
        <w:rPr>
          <w:rFonts w:ascii="Times New Roman" w:cs="Times New Roman" w:eastAsia="Times New Roman" w:hAnsi="Times New Roman"/>
          <w:sz w:val="18"/>
          <w:szCs w:val="18"/>
          <w:color w:val="auto"/>
        </w:rPr>
        <w:t>”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right="140" w:hanging="644"/>
        <w:spacing w:after="0" w:line="282" w:lineRule="auto"/>
        <w:tabs>
          <w:tab w:leader="none" w:pos="11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Bail-In Legislation described in the EU Bail-In Legislation Schedule from time to time, the powers described as such in relation to that Bail-In Legislation in the EU Bail-In Legislation Schedule;</w:t>
      </w:r>
    </w:p>
    <w:p>
      <w:pPr>
        <w:spacing w:after="0" w:line="67" w:lineRule="exact"/>
        <w:rPr>
          <w:rFonts w:ascii="Times New Roman" w:cs="Times New Roman" w:eastAsia="Times New Roman" w:hAnsi="Times New Roman"/>
          <w:sz w:val="18"/>
          <w:szCs w:val="18"/>
          <w:color w:val="auto"/>
        </w:rPr>
      </w:pPr>
    </w:p>
    <w:p>
      <w:pPr>
        <w:ind w:left="1180" w:right="60" w:hanging="644"/>
        <w:spacing w:after="0" w:line="256" w:lineRule="auto"/>
        <w:tabs>
          <w:tab w:leader="none" w:pos="11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92"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applicable Bail-In Legislation:</w:t>
      </w:r>
    </w:p>
    <w:p>
      <w:pPr>
        <w:spacing w:after="0" w:line="130" w:lineRule="exact"/>
        <w:rPr>
          <w:rFonts w:ascii="Times New Roman" w:cs="Times New Roman" w:eastAsia="Times New Roman" w:hAnsi="Times New Roman"/>
          <w:sz w:val="18"/>
          <w:szCs w:val="18"/>
          <w:color w:val="auto"/>
        </w:rPr>
      </w:pPr>
    </w:p>
    <w:p>
      <w:pPr>
        <w:ind w:left="1740" w:right="20" w:hanging="543"/>
        <w:spacing w:after="0" w:line="256" w:lineRule="auto"/>
        <w:tabs>
          <w:tab w:leader="none" w:pos="174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20"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20"/>
          </w:cols>
          <w:pgMar w:left="440" w:top="266" w:right="439" w:bottom="1440" w:gutter="0" w:footer="0" w:header="0"/>
        </w:sectPr>
      </w:pPr>
    </w:p>
    <w:bookmarkStart w:id="164" w:name="page165"/>
    <w:bookmarkEnd w:id="164"/>
    <w:p>
      <w:pPr>
        <w:ind w:left="1744" w:hanging="543"/>
        <w:spacing w:after="0"/>
        <w:tabs>
          <w:tab w:leader="none" w:pos="1744"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similar or analogous powers under that Bail-In Legislation.</w:t>
      </w:r>
    </w:p>
    <w:p>
      <w:pPr>
        <w:spacing w:after="0" w:line="36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GREEN LOAN</w:t>
      </w:r>
    </w:p>
    <w:p>
      <w:pPr>
        <w:spacing w:after="0" w:line="131" w:lineRule="exact"/>
        <w:rPr>
          <w:sz w:val="20"/>
          <w:szCs w:val="20"/>
          <w:color w:val="auto"/>
        </w:rPr>
      </w:pPr>
    </w:p>
    <w:p>
      <w:pPr>
        <w:jc w:val="center"/>
        <w:ind w:right="8536"/>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43.1</w:t>
      </w:r>
      <w:r>
        <w:rPr>
          <w:sz w:val="20"/>
          <w:szCs w:val="20"/>
          <w:color w:val="auto"/>
        </w:rPr>
        <w:tab/>
      </w:r>
      <w:r>
        <w:rPr>
          <w:rFonts w:ascii="Times New Roman" w:cs="Times New Roman" w:eastAsia="Times New Roman" w:hAnsi="Times New Roman"/>
          <w:sz w:val="17"/>
          <w:szCs w:val="17"/>
          <w:b w:val="1"/>
          <w:bCs w:val="1"/>
          <w:color w:val="auto"/>
        </w:rPr>
        <w:t>Green Loan – Definitions</w:t>
      </w:r>
    </w:p>
    <w:p>
      <w:pPr>
        <w:spacing w:after="0" w:line="121" w:lineRule="exact"/>
        <w:rPr>
          <w:sz w:val="20"/>
          <w:szCs w:val="20"/>
          <w:color w:val="auto"/>
        </w:rPr>
      </w:pPr>
    </w:p>
    <w:p>
      <w:pPr>
        <w:jc w:val="center"/>
        <w:ind w:right="8576"/>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113" w:lineRule="exact"/>
        <w:rPr>
          <w:sz w:val="20"/>
          <w:szCs w:val="20"/>
          <w:color w:val="auto"/>
        </w:rPr>
      </w:pPr>
    </w:p>
    <w:p>
      <w:pPr>
        <w:ind w:left="544"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Green Activities</w:t>
      </w:r>
      <w:r>
        <w:rPr>
          <w:rFonts w:ascii="Times New Roman" w:cs="Times New Roman" w:eastAsia="Times New Roman" w:hAnsi="Times New Roman"/>
          <w:sz w:val="18"/>
          <w:szCs w:val="18"/>
          <w:color w:val="auto"/>
        </w:rPr>
        <w:t>” means the investments and expenditure incurred by the Borrower and Group Members in the design, manufacturing, sales, and related administrative and operational activities in each case of electric, hydrogen, or hybrid vehicles (under 50 gCO2/km up to 2025, and zero tailpipe emissions thereafter).</w:t>
      </w:r>
    </w:p>
    <w:p>
      <w:pPr>
        <w:spacing w:after="0" w:line="63" w:lineRule="exact"/>
        <w:rPr>
          <w:sz w:val="20"/>
          <w:szCs w:val="20"/>
          <w:color w:val="auto"/>
        </w:rPr>
      </w:pPr>
    </w:p>
    <w:p>
      <w:pPr>
        <w:ind w:left="544" w:righ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means the Green Loan Principles published by the Loan Market Association on 23 February 2023 (as may be amended, restated, supplemented, modified or varied in any manner from time to time).</w:t>
      </w:r>
    </w:p>
    <w:p>
      <w:pPr>
        <w:spacing w:after="0" w:line="47" w:lineRule="exact"/>
        <w:rPr>
          <w:sz w:val="20"/>
          <w:szCs w:val="20"/>
          <w:color w:val="auto"/>
        </w:rPr>
      </w:pPr>
    </w:p>
    <w:p>
      <w:pPr>
        <w:ind w:left="544"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Green Loan Facility</w:t>
      </w:r>
      <w:r>
        <w:rPr>
          <w:rFonts w:ascii="Times New Roman" w:cs="Times New Roman" w:eastAsia="Times New Roman" w:hAnsi="Times New Roman"/>
          <w:sz w:val="18"/>
          <w:szCs w:val="18"/>
          <w:color w:val="auto"/>
        </w:rPr>
        <w:t>” means a Facility which is aligned with the GLP and the Eligible Green Activities (and in respect of which the Borrower complies with all aspects of the GLP).</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Green Loan Impact Report</w:t>
      </w:r>
      <w:r>
        <w:rPr>
          <w:rFonts w:ascii="Times New Roman" w:cs="Times New Roman" w:eastAsia="Times New Roman" w:hAnsi="Times New Roman"/>
          <w:sz w:val="18"/>
          <w:szCs w:val="18"/>
          <w:color w:val="auto"/>
        </w:rPr>
        <w:t>” means a report substantially in the form set out in Schedule 9 (</w:t>
      </w:r>
      <w:r>
        <w:rPr>
          <w:rFonts w:ascii="Times New Roman" w:cs="Times New Roman" w:eastAsia="Times New Roman" w:hAnsi="Times New Roman"/>
          <w:sz w:val="18"/>
          <w:szCs w:val="18"/>
          <w:i w:val="1"/>
          <w:iCs w:val="1"/>
          <w:color w:val="auto"/>
        </w:rPr>
        <w:t>Form of Green Loan Impact Report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“Green Loan Provisions</w:t>
      </w:r>
      <w:r>
        <w:rPr>
          <w:rFonts w:ascii="Times New Roman" w:cs="Times New Roman" w:eastAsia="Times New Roman" w:hAnsi="Times New Roman"/>
          <w:sz w:val="18"/>
          <w:szCs w:val="18"/>
          <w:color w:val="auto"/>
        </w:rPr>
        <w:t>” means each provision in this Clause 43 (</w:t>
      </w:r>
      <w:r>
        <w:rPr>
          <w:rFonts w:ascii="Times New Roman" w:cs="Times New Roman" w:eastAsia="Times New Roman" w:hAnsi="Times New Roman"/>
          <w:sz w:val="18"/>
          <w:szCs w:val="18"/>
          <w:i w:val="1"/>
          <w:iCs w:val="1"/>
          <w:color w:val="auto"/>
        </w:rPr>
        <w:t>Green Loan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4" w:right="6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Green Loan Transaction</w:t>
      </w:r>
      <w:r>
        <w:rPr>
          <w:rFonts w:ascii="Times New Roman" w:cs="Times New Roman" w:eastAsia="Times New Roman" w:hAnsi="Times New Roman"/>
          <w:sz w:val="18"/>
          <w:szCs w:val="18"/>
          <w:color w:val="auto"/>
        </w:rPr>
        <w:t>” means a Loan which is aligned with the GLP and the Eligible Green Activities (and in respect of which the Borrower complies with all aspects thereof).</w:t>
      </w:r>
    </w:p>
    <w:p>
      <w:pPr>
        <w:spacing w:after="0" w:line="6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43.2</w:t>
      </w:r>
      <w:r>
        <w:rPr>
          <w:sz w:val="20"/>
          <w:szCs w:val="20"/>
          <w:color w:val="auto"/>
        </w:rPr>
        <w:tab/>
      </w:r>
      <w:r>
        <w:rPr>
          <w:rFonts w:ascii="Times New Roman" w:cs="Times New Roman" w:eastAsia="Times New Roman" w:hAnsi="Times New Roman"/>
          <w:sz w:val="17"/>
          <w:szCs w:val="17"/>
          <w:b w:val="1"/>
          <w:bCs w:val="1"/>
          <w:color w:val="auto"/>
        </w:rPr>
        <w:t>Green Loan – Purpose</w:t>
      </w:r>
    </w:p>
    <w:p>
      <w:pPr>
        <w:spacing w:after="0" w:line="135" w:lineRule="exact"/>
        <w:rPr>
          <w:sz w:val="20"/>
          <w:szCs w:val="20"/>
          <w:color w:val="auto"/>
        </w:rPr>
      </w:pPr>
    </w:p>
    <w:p>
      <w:pPr>
        <w:ind w:left="544" w:hanging="544"/>
        <w:spacing w:after="0"/>
        <w:tabs>
          <w:tab w:leader="none" w:pos="544"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apply the proceeds of each Facility solely towards:</w:t>
      </w:r>
    </w:p>
    <w:p>
      <w:pPr>
        <w:spacing w:after="0" w:line="130"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or refinancing (including directly or by way of on-lending to, or equity injection into, other Group Members) of Eligible Green Activities in compliance with GLP; and</w:t>
      </w:r>
    </w:p>
    <w:p>
      <w:pPr>
        <w:spacing w:after="0" w:line="67" w:lineRule="exact"/>
        <w:rPr>
          <w:rFonts w:ascii="Times New Roman" w:cs="Times New Roman" w:eastAsia="Times New Roman" w:hAnsi="Times New Roman"/>
          <w:sz w:val="18"/>
          <w:szCs w:val="18"/>
          <w:color w:val="auto"/>
        </w:rPr>
      </w:pPr>
    </w:p>
    <w:p>
      <w:pPr>
        <w:ind w:left="1184" w:right="220" w:hanging="644"/>
        <w:spacing w:after="0" w:line="282" w:lineRule="auto"/>
        <w:tabs>
          <w:tab w:leader="none" w:pos="1184"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fees and expenses (including the funding of any Interest Reserve Amount (and the Borrower hereby authorises the Agent, and the Agent hereby agrees to, such funding)) related to that Facility.</w:t>
      </w:r>
    </w:p>
    <w:p>
      <w:pPr>
        <w:spacing w:after="0" w:line="67" w:lineRule="exact"/>
        <w:rPr>
          <w:rFonts w:ascii="Times New Roman" w:cs="Times New Roman" w:eastAsia="Times New Roman" w:hAnsi="Times New Roman"/>
          <w:sz w:val="18"/>
          <w:szCs w:val="18"/>
          <w:color w:val="auto"/>
        </w:rPr>
      </w:pPr>
    </w:p>
    <w:p>
      <w:pPr>
        <w:ind w:left="544" w:right="140" w:hanging="544"/>
        <w:spacing w:after="0" w:line="258" w:lineRule="auto"/>
        <w:tabs>
          <w:tab w:leader="none" w:pos="544"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ensure that the final allocation of proceeds of the Facilities (as shown in the most recent Green Loan Impact Report) is such that no more than an amount equal to twenty per cent of the aggregate amount of Utilisations drawn under the Facilities is finally allocated to General Expenditures of the Group. For the purpose of this paragraph, General Expenditures means investments and expenditures incurred by any Group Member where such investments and expenditure are not directly used to import or export vehicles or auto parts, capital expenditure or research and development expenditure for planned production cars.</w:t>
      </w:r>
    </w:p>
    <w:p>
      <w:pPr>
        <w:spacing w:after="0" w:line="116"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24"/>
          </w:cols>
          <w:pgMar w:left="436" w:top="270" w:right="439" w:bottom="1440" w:gutter="0" w:footer="0" w:header="0"/>
        </w:sectPr>
      </w:pPr>
    </w:p>
    <w:bookmarkStart w:id="165" w:name="page166"/>
    <w:bookmarkEnd w:id="165"/>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43.3</w:t>
      </w:r>
      <w:r>
        <w:rPr>
          <w:sz w:val="20"/>
          <w:szCs w:val="20"/>
          <w:color w:val="auto"/>
        </w:rPr>
        <w:tab/>
      </w:r>
      <w:r>
        <w:rPr>
          <w:rFonts w:ascii="Times New Roman" w:cs="Times New Roman" w:eastAsia="Times New Roman" w:hAnsi="Times New Roman"/>
          <w:sz w:val="17"/>
          <w:szCs w:val="17"/>
          <w:b w:val="1"/>
          <w:bCs w:val="1"/>
          <w:color w:val="auto"/>
        </w:rPr>
        <w:t>Green Loan – Representations and warranties</w:t>
      </w:r>
    </w:p>
    <w:p>
      <w:pPr>
        <w:spacing w:after="0" w:line="121" w:lineRule="exact"/>
        <w:rPr>
          <w:sz w:val="20"/>
          <w:szCs w:val="20"/>
          <w:color w:val="auto"/>
        </w:rPr>
      </w:pPr>
    </w:p>
    <w:p>
      <w:pPr>
        <w:ind w:left="540" w:right="500"/>
        <w:spacing w:after="0" w:line="282" w:lineRule="auto"/>
        <w:rPr>
          <w:sz w:val="20"/>
          <w:szCs w:val="20"/>
          <w:color w:val="auto"/>
        </w:rPr>
      </w:pPr>
      <w:r>
        <w:rPr>
          <w:rFonts w:ascii="Times New Roman" w:cs="Times New Roman" w:eastAsia="Times New Roman" w:hAnsi="Times New Roman"/>
          <w:sz w:val="18"/>
          <w:szCs w:val="18"/>
          <w:color w:val="auto"/>
        </w:rPr>
        <w:t>The Borrower makes the following representations and warranties to each Finance Party on the date of this Agreement, and (other than the representation in paragraph (b) below) the date of each Utilisation Request and on each Utilisation Date:</w:t>
      </w:r>
    </w:p>
    <w:p>
      <w:pPr>
        <w:spacing w:after="0" w:line="67" w:lineRule="exact"/>
        <w:rPr>
          <w:sz w:val="20"/>
          <w:szCs w:val="20"/>
          <w:color w:val="auto"/>
        </w:rPr>
      </w:pPr>
    </w:p>
    <w:p>
      <w:pPr>
        <w:ind w:left="1180" w:hanging="644"/>
        <w:spacing w:after="0"/>
        <w:tabs>
          <w:tab w:leader="none" w:pos="118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obtained all necessary regulatory approvals and authorisations in relation to the Eligible Green Activities;</w:t>
      </w:r>
    </w:p>
    <w:p>
      <w:pPr>
        <w:spacing w:after="0" w:line="130" w:lineRule="exact"/>
        <w:rPr>
          <w:rFonts w:ascii="Times New Roman" w:cs="Times New Roman" w:eastAsia="Times New Roman" w:hAnsi="Times New Roman"/>
          <w:sz w:val="18"/>
          <w:szCs w:val="18"/>
          <w:color w:val="auto"/>
        </w:rPr>
      </w:pPr>
    </w:p>
    <w:p>
      <w:pPr>
        <w:ind w:left="1180" w:right="380" w:hanging="644"/>
        <w:spacing w:after="0" w:line="266" w:lineRule="auto"/>
        <w:tabs>
          <w:tab w:leader="none" w:pos="118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provided the Agent with all relevant information necessary (which, in each case, is true, complete and correct in all material respects as at the date of delivery, and is not misleading in any respect) for each Lender to evaluate whether a Facility qualifies as a Green Loan Facility or the transaction that the Borrower is applying for qualifies as a Green Loan Transaction;</w:t>
      </w:r>
    </w:p>
    <w:p>
      <w:pPr>
        <w:spacing w:after="0" w:line="81" w:lineRule="exact"/>
        <w:rPr>
          <w:rFonts w:ascii="Times New Roman" w:cs="Times New Roman" w:eastAsia="Times New Roman" w:hAnsi="Times New Roman"/>
          <w:sz w:val="18"/>
          <w:szCs w:val="18"/>
          <w:color w:val="auto"/>
        </w:rPr>
      </w:pPr>
    </w:p>
    <w:p>
      <w:pPr>
        <w:ind w:left="1180" w:right="760" w:hanging="644"/>
        <w:spacing w:after="0" w:line="282" w:lineRule="auto"/>
        <w:tabs>
          <w:tab w:leader="none" w:pos="118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aware of any matter which will reasonably cause the Lenders not to classify a Facility as a Green Loan Facility or any transaction that the Borrower is applying for or has applied for as a Green Loan Transaction; and</w:t>
      </w:r>
    </w:p>
    <w:p>
      <w:pPr>
        <w:spacing w:after="0" w:line="67"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Green Activities comply with the GLP, the environmental sustainability objective pursued by the Eligible Green Activities are aligned with the GLP, the Eligible Green Activities can be categorized as an “eligible green project” under the GLP..</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43.4</w:t>
      </w:r>
      <w:r>
        <w:rPr>
          <w:sz w:val="20"/>
          <w:szCs w:val="20"/>
          <w:color w:val="auto"/>
        </w:rPr>
        <w:tab/>
      </w:r>
      <w:r>
        <w:rPr>
          <w:rFonts w:ascii="Times New Roman" w:cs="Times New Roman" w:eastAsia="Times New Roman" w:hAnsi="Times New Roman"/>
          <w:sz w:val="17"/>
          <w:szCs w:val="17"/>
          <w:b w:val="1"/>
          <w:bCs w:val="1"/>
          <w:color w:val="auto"/>
        </w:rPr>
        <w:t>Green Loan – Undertakings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Borrower shall:</w:t>
      </w:r>
    </w:p>
    <w:p>
      <w:pPr>
        <w:spacing w:after="0" w:line="131" w:lineRule="exact"/>
        <w:rPr>
          <w:sz w:val="20"/>
          <w:szCs w:val="20"/>
          <w:color w:val="auto"/>
        </w:rPr>
      </w:pPr>
    </w:p>
    <w:p>
      <w:pPr>
        <w:ind w:left="1180" w:right="160" w:hanging="644"/>
        <w:spacing w:after="0" w:line="266" w:lineRule="auto"/>
        <w:tabs>
          <w:tab w:leader="none" w:pos="11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all relevant information to the Agent to enable the Lenders to verify and monitor compliance with the GLP in relation to any Facility, and whether any Loan(s) under any Facility have been or are being applied towards the Eligible Green Activities (but without prejudice to the provisions of Clause 3.1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0" w:right="160" w:hanging="644"/>
        <w:spacing w:after="0" w:line="266" w:lineRule="auto"/>
        <w:tabs>
          <w:tab w:leader="none" w:pos="11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Group-wide policies and procedures to enable it to track utilisations under the Green Loan Facility or Green Loan Transaction(s) and monitor and evaluate on an on-going basis that the Green Loan Facility or Green Loan Transaction is being applied towards the Eligible Green Activities;</w:t>
      </w:r>
    </w:p>
    <w:p>
      <w:pPr>
        <w:spacing w:after="0" w:line="81" w:lineRule="exact"/>
        <w:rPr>
          <w:rFonts w:ascii="Times New Roman" w:cs="Times New Roman" w:eastAsia="Times New Roman" w:hAnsi="Times New Roman"/>
          <w:sz w:val="18"/>
          <w:szCs w:val="18"/>
          <w:color w:val="auto"/>
        </w:rPr>
      </w:pPr>
    </w:p>
    <w:p>
      <w:pPr>
        <w:ind w:left="1180" w:right="200" w:hanging="644"/>
        <w:spacing w:after="0" w:line="282" w:lineRule="auto"/>
        <w:tabs>
          <w:tab w:leader="none" w:pos="11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proceeds of any Facility are credited to a dedicated bank account or otherwise tracked in an appropriate manner so that such loan proceeds will be applied in accordance with Clause 43.2 (</w:t>
      </w:r>
      <w:r>
        <w:rPr>
          <w:rFonts w:ascii="Times New Roman" w:cs="Times New Roman" w:eastAsia="Times New Roman" w:hAnsi="Times New Roman"/>
          <w:sz w:val="18"/>
          <w:szCs w:val="18"/>
          <w:i w:val="1"/>
          <w:iCs w:val="1"/>
          <w:color w:val="auto"/>
        </w:rPr>
        <w:t>Green Loan – Purpose</w:t>
      </w:r>
      <w:r>
        <w:rPr>
          <w:rFonts w:ascii="Times New Roman" w:cs="Times New Roman" w:eastAsia="Times New Roman" w:hAnsi="Times New Roman"/>
          <w:sz w:val="18"/>
          <w:szCs w:val="18"/>
          <w:color w:val="auto"/>
        </w:rPr>
        <w:t>) above;</w:t>
      </w:r>
    </w:p>
    <w:p>
      <w:pPr>
        <w:spacing w:after="0" w:line="67" w:lineRule="exact"/>
        <w:rPr>
          <w:rFonts w:ascii="Times New Roman" w:cs="Times New Roman" w:eastAsia="Times New Roman" w:hAnsi="Times New Roman"/>
          <w:sz w:val="18"/>
          <w:szCs w:val="18"/>
          <w:color w:val="auto"/>
        </w:rPr>
      </w:pPr>
    </w:p>
    <w:p>
      <w:pPr>
        <w:ind w:left="1180" w:right="140" w:hanging="644"/>
        <w:spacing w:after="0" w:line="255" w:lineRule="auto"/>
        <w:tabs>
          <w:tab w:leader="none" w:pos="11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its treasury team) be responsible for establishing the parameters for identifying the Eligible Green Activities, being helped by relevant business units in the process. The Borrower shall establish an internal governance process to allocate proceeds of Loans to the Eligible Green Activities in an appropriate manner, including by its or (if required) the relevant Group Member’s treasury team implementing a monitoring and reporting process aimed at ensuring that the aggregate of all outstanding Loans under the Facilities are allocated to the Eligible Green Activities over the term of the Facilities (or are standing to the credit of the relevant dedicated bank account as reported on in the Green Loan Impact Report) and that use of proceeds of Loans is for the Eligible Green Activities and is not subject to any other ‘use of proceeds’ obligation;</w:t>
      </w:r>
    </w:p>
    <w:p>
      <w:pPr>
        <w:spacing w:after="0" w:line="121"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20"/>
          </w:cols>
          <w:pgMar w:left="440" w:top="266" w:right="439" w:bottom="1440" w:gutter="0" w:footer="0" w:header="0"/>
        </w:sectPr>
      </w:pPr>
    </w:p>
    <w:bookmarkStart w:id="166" w:name="page167"/>
    <w:bookmarkEnd w:id="166"/>
    <w:p>
      <w:pPr>
        <w:ind w:left="1184" w:right="380" w:hanging="644"/>
        <w:spacing w:after="0" w:line="266" w:lineRule="auto"/>
        <w:tabs>
          <w:tab w:leader="none" w:pos="1184"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(through its treasury team) or (if required) the Borrower shall procure that the relevant Group Member’s treasury team will be responsible, having received input from relevant business units where necessary, for the preparation and co-ordination of the Green Loan Impact Report; and</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Agent, a Green Loan Impact Report:</w:t>
      </w:r>
    </w:p>
    <w:p>
      <w:pPr>
        <w:spacing w:after="0" w:line="130" w:lineRule="exact"/>
        <w:rPr>
          <w:rFonts w:ascii="Times New Roman" w:cs="Times New Roman" w:eastAsia="Times New Roman" w:hAnsi="Times New Roman"/>
          <w:sz w:val="18"/>
          <w:szCs w:val="18"/>
          <w:color w:val="auto"/>
        </w:rPr>
      </w:pPr>
    </w:p>
    <w:p>
      <w:pPr>
        <w:ind w:left="1744" w:right="60" w:hanging="543"/>
        <w:spacing w:after="0" w:line="266" w:lineRule="auto"/>
        <w:tabs>
          <w:tab w:leader="none" w:pos="1744"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anniversary of the first Utilisation Date (and if such day is not a Business Day, the next Business Day) and thereafter on the date falling on each anniversary of the first Utilisation Date (and if such day is not a Business Day, the next Business Day) until the Facilities are fully utilised and allocated to the Eligible Green Activities; and/or</w:t>
      </w:r>
    </w:p>
    <w:p>
      <w:pPr>
        <w:spacing w:after="0" w:line="81" w:lineRule="exact"/>
        <w:rPr>
          <w:rFonts w:ascii="Times New Roman" w:cs="Times New Roman" w:eastAsia="Times New Roman" w:hAnsi="Times New Roman"/>
          <w:sz w:val="18"/>
          <w:szCs w:val="18"/>
          <w:color w:val="auto"/>
        </w:rPr>
      </w:pPr>
    </w:p>
    <w:p>
      <w:pPr>
        <w:ind w:left="1744" w:right="460" w:hanging="543"/>
        <w:spacing w:after="0" w:line="282" w:lineRule="auto"/>
        <w:tabs>
          <w:tab w:leader="none" w:pos="1744"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request by the Agent in writing (if the Majority Lenders, acting reasonably, consider that a Declassification Event has occurred or may occur).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43.5</w:t>
      </w:r>
      <w:r>
        <w:rPr>
          <w:sz w:val="20"/>
          <w:szCs w:val="20"/>
          <w:color w:val="auto"/>
        </w:rPr>
        <w:tab/>
      </w:r>
      <w:r>
        <w:rPr>
          <w:rFonts w:ascii="Times New Roman" w:cs="Times New Roman" w:eastAsia="Times New Roman" w:hAnsi="Times New Roman"/>
          <w:sz w:val="17"/>
          <w:szCs w:val="17"/>
          <w:b w:val="1"/>
          <w:bCs w:val="1"/>
          <w:color w:val="auto"/>
        </w:rPr>
        <w:t>Green Loan – Audit</w:t>
      </w:r>
    </w:p>
    <w:p>
      <w:pPr>
        <w:spacing w:after="0" w:line="135" w:lineRule="exact"/>
        <w:rPr>
          <w:sz w:val="20"/>
          <w:szCs w:val="20"/>
          <w:color w:val="auto"/>
        </w:rPr>
      </w:pPr>
    </w:p>
    <w:p>
      <w:pPr>
        <w:ind w:left="544" w:hanging="544"/>
        <w:spacing w:after="0"/>
        <w:tabs>
          <w:tab w:leader="none" w:pos="544"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consider it reasonably necessary; or</w:t>
      </w:r>
    </w:p>
    <w:p>
      <w:pPr>
        <w:spacing w:after="0" w:line="130" w:lineRule="exact"/>
        <w:rPr>
          <w:rFonts w:ascii="Times New Roman" w:cs="Times New Roman" w:eastAsia="Times New Roman" w:hAnsi="Times New Roman"/>
          <w:sz w:val="18"/>
          <w:szCs w:val="18"/>
          <w:color w:val="auto"/>
        </w:rPr>
      </w:pPr>
    </w:p>
    <w:p>
      <w:pPr>
        <w:ind w:left="1184" w:right="540" w:hanging="644"/>
        <w:spacing w:after="0" w:line="282" w:lineRule="auto"/>
        <w:tabs>
          <w:tab w:leader="none" w:pos="1184"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or likely breach of this Agreement has occurred which, in the opinion of the Lenders (acting reasonably), will result in a Declassification Event occurring or being reasonably likely to occur,</w:t>
      </w:r>
    </w:p>
    <w:p>
      <w:pPr>
        <w:spacing w:after="0" w:line="54" w:lineRule="exact"/>
        <w:rPr>
          <w:sz w:val="20"/>
          <w:szCs w:val="20"/>
          <w:color w:val="auto"/>
        </w:rPr>
      </w:pPr>
    </w:p>
    <w:p>
      <w:pPr>
        <w:ind w:left="544" w:right="40"/>
        <w:spacing w:after="0" w:line="261" w:lineRule="auto"/>
        <w:rPr>
          <w:sz w:val="20"/>
          <w:szCs w:val="20"/>
          <w:color w:val="auto"/>
        </w:rPr>
      </w:pPr>
      <w:r>
        <w:rPr>
          <w:rFonts w:ascii="Times New Roman" w:cs="Times New Roman" w:eastAsia="Times New Roman" w:hAnsi="Times New Roman"/>
          <w:sz w:val="18"/>
          <w:szCs w:val="18"/>
          <w:color w:val="auto"/>
        </w:rPr>
        <w:t>then the Lenders may at any time carry out (or arrange for a third party to carry out) any verifications or audits of the records of the Borrower to confirm its compliance with the obligations relating to this Clause 43 (</w:t>
      </w:r>
      <w:r>
        <w:rPr>
          <w:rFonts w:ascii="Times New Roman" w:cs="Times New Roman" w:eastAsia="Times New Roman" w:hAnsi="Times New Roman"/>
          <w:sz w:val="18"/>
          <w:szCs w:val="18"/>
          <w:i w:val="1"/>
          <w:iCs w:val="1"/>
          <w:color w:val="auto"/>
        </w:rPr>
        <w:t>Green Loan</w:t>
      </w:r>
      <w:r>
        <w:rPr>
          <w:rFonts w:ascii="Times New Roman" w:cs="Times New Roman" w:eastAsia="Times New Roman" w:hAnsi="Times New Roman"/>
          <w:sz w:val="18"/>
          <w:szCs w:val="18"/>
          <w:color w:val="auto"/>
        </w:rPr>
        <w:t>). For the purposes of sub-paragraph (i) above, the parties agree that it shall always be deemed to be “reasonably necessary” for such verifications or audits (including, without limitation, annual audits) to be carried out where the GLP requires or recommends an audit.</w:t>
      </w:r>
    </w:p>
    <w:p>
      <w:pPr>
        <w:spacing w:after="0" w:line="85" w:lineRule="exact"/>
        <w:rPr>
          <w:sz w:val="20"/>
          <w:szCs w:val="20"/>
          <w:color w:val="auto"/>
        </w:rPr>
      </w:pPr>
    </w:p>
    <w:p>
      <w:pPr>
        <w:ind w:left="544" w:hanging="544"/>
        <w:spacing w:after="0"/>
        <w:tabs>
          <w:tab w:leader="none" w:pos="54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cooperate with the Lenders in good faith to assist the Lenders or third party in carrying out the verification or audit.</w:t>
      </w:r>
    </w:p>
    <w:p>
      <w:pPr>
        <w:spacing w:after="0" w:line="130" w:lineRule="exact"/>
        <w:rPr>
          <w:rFonts w:ascii="Times New Roman" w:cs="Times New Roman" w:eastAsia="Times New Roman" w:hAnsi="Times New Roman"/>
          <w:sz w:val="18"/>
          <w:szCs w:val="18"/>
          <w:color w:val="auto"/>
        </w:rPr>
      </w:pPr>
    </w:p>
    <w:p>
      <w:pPr>
        <w:ind w:left="544" w:right="500" w:hanging="544"/>
        <w:spacing w:after="0" w:line="282" w:lineRule="auto"/>
        <w:tabs>
          <w:tab w:leader="none" w:pos="54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incurred in connection with any verification or audit referred to in paragraph (a) above shall be solely borne by the Borrower.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43.6</w:t>
      </w:r>
      <w:r>
        <w:rPr>
          <w:sz w:val="20"/>
          <w:szCs w:val="20"/>
          <w:color w:val="auto"/>
        </w:rPr>
        <w:tab/>
      </w:r>
      <w:r>
        <w:rPr>
          <w:rFonts w:ascii="Times New Roman" w:cs="Times New Roman" w:eastAsia="Times New Roman" w:hAnsi="Times New Roman"/>
          <w:sz w:val="17"/>
          <w:szCs w:val="17"/>
          <w:b w:val="1"/>
          <w:bCs w:val="1"/>
          <w:color w:val="auto"/>
        </w:rPr>
        <w:t>Green Loan – Declassification Event</w:t>
      </w:r>
    </w:p>
    <w:p>
      <w:pPr>
        <w:spacing w:after="0" w:line="135" w:lineRule="exact"/>
        <w:rPr>
          <w:sz w:val="20"/>
          <w:szCs w:val="20"/>
          <w:color w:val="auto"/>
        </w:rPr>
      </w:pPr>
    </w:p>
    <w:p>
      <w:pPr>
        <w:ind w:left="544" w:right="640" w:hanging="544"/>
        <w:spacing w:after="0" w:line="312" w:lineRule="auto"/>
        <w:tabs>
          <w:tab w:leader="none" w:pos="544"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at any time after the occurrence of a Declassification Event, the Agent may, and shall if so directed by the Majority Lenders), with immediate effect, declassify the Facilities as a Green Loan Facility (the date of such declassification being the Declassification Date).</w:t>
      </w:r>
    </w:p>
    <w:p>
      <w:pPr>
        <w:spacing w:after="0" w:line="45"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is a “Declassification Event”:</w:t>
      </w:r>
    </w:p>
    <w:p>
      <w:pPr>
        <w:spacing w:after="0" w:line="128" w:lineRule="exact"/>
        <w:rPr>
          <w:rFonts w:ascii="Times New Roman" w:cs="Times New Roman" w:eastAsia="Times New Roman" w:hAnsi="Times New Roman"/>
          <w:sz w:val="18"/>
          <w:szCs w:val="18"/>
          <w:color w:val="auto"/>
        </w:rPr>
      </w:pPr>
    </w:p>
    <w:p>
      <w:pPr>
        <w:ind w:left="1184" w:right="260" w:hanging="644"/>
        <w:spacing w:after="0" w:line="284" w:lineRule="auto"/>
        <w:tabs>
          <w:tab w:leader="none" w:pos="1184"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Borrower to perform or comply with the Green Loan undertakings set out in Clause 43.4 (</w:t>
      </w:r>
      <w:r>
        <w:rPr>
          <w:rFonts w:ascii="Times New Roman" w:cs="Times New Roman" w:eastAsia="Times New Roman" w:hAnsi="Times New Roman"/>
          <w:sz w:val="18"/>
          <w:szCs w:val="18"/>
          <w:i w:val="1"/>
          <w:iCs w:val="1"/>
          <w:color w:val="auto"/>
        </w:rPr>
        <w:t>Green Loan – Undertakings</w:t>
      </w:r>
      <w:r>
        <w:rPr>
          <w:rFonts w:ascii="Times New Roman" w:cs="Times New Roman" w:eastAsia="Times New Roman" w:hAnsi="Times New Roman"/>
          <w:sz w:val="18"/>
          <w:szCs w:val="18"/>
          <w:color w:val="auto"/>
        </w:rPr>
        <w:t>) above; and</w:t>
      </w:r>
    </w:p>
    <w:p>
      <w:pPr>
        <w:spacing w:after="0" w:line="6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Green Activities or this Agreement is no longer (or may no longer be) in compliance with the GLP.</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24"/>
          </w:cols>
          <w:pgMar w:left="436" w:top="270" w:right="439" w:bottom="1440" w:gutter="0" w:footer="0" w:header="0"/>
        </w:sectPr>
      </w:pPr>
    </w:p>
    <w:bookmarkStart w:id="167" w:name="page168"/>
    <w:bookmarkEnd w:id="167"/>
    <w:p>
      <w:pPr>
        <w:ind w:left="544" w:hanging="544"/>
        <w:spacing w:after="0"/>
        <w:tabs>
          <w:tab w:leader="none" w:pos="544"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notify the Agent and the Lenders in writing promptly upon becoming aware of the occurrence of a Declassification Event.</w:t>
      </w:r>
    </w:p>
    <w:p>
      <w:pPr>
        <w:spacing w:after="0" w:line="130" w:lineRule="exact"/>
        <w:rPr>
          <w:rFonts w:ascii="Times New Roman" w:cs="Times New Roman" w:eastAsia="Times New Roman" w:hAnsi="Times New Roman"/>
          <w:sz w:val="18"/>
          <w:szCs w:val="18"/>
          <w:color w:val="auto"/>
        </w:rPr>
      </w:pPr>
    </w:p>
    <w:p>
      <w:pPr>
        <w:ind w:left="544" w:right="360" w:hanging="544"/>
        <w:spacing w:after="0" w:line="266" w:lineRule="auto"/>
        <w:tabs>
          <w:tab w:leader="none" w:pos="544"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occur solely as a result of a Declassification Event or a Declassification Date occurring and no Event of Default will occur under the “other obligations Event of Default” by reason only of the Borrower’s failure to comply with a Green Loan Provision.</w:t>
      </w:r>
    </w:p>
    <w:p>
      <w:pPr>
        <w:spacing w:after="0" w:line="81" w:lineRule="exact"/>
        <w:rPr>
          <w:rFonts w:ascii="Times New Roman" w:cs="Times New Roman" w:eastAsia="Times New Roman" w:hAnsi="Times New Roman"/>
          <w:sz w:val="18"/>
          <w:szCs w:val="18"/>
          <w:color w:val="auto"/>
        </w:rPr>
      </w:pPr>
    </w:p>
    <w:p>
      <w:pPr>
        <w:ind w:left="544" w:right="120" w:hanging="544"/>
        <w:spacing w:after="0" w:line="282" w:lineRule="auto"/>
        <w:tabs>
          <w:tab w:leader="none" w:pos="544"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(and shall ensure that no other Group Member will) make any disclosure that references any Facility or Utilisation/Loan as a “Green Loan Facility” or a “Green Loan Transaction” at any time on or after the Declassification Date.</w:t>
      </w:r>
    </w:p>
    <w:p>
      <w:pPr>
        <w:spacing w:after="0" w:line="67" w:lineRule="exact"/>
        <w:rPr>
          <w:rFonts w:ascii="Times New Roman" w:cs="Times New Roman" w:eastAsia="Times New Roman" w:hAnsi="Times New Roman"/>
          <w:sz w:val="18"/>
          <w:szCs w:val="18"/>
          <w:color w:val="auto"/>
        </w:rPr>
      </w:pPr>
    </w:p>
    <w:p>
      <w:pPr>
        <w:ind w:left="544" w:right="1000" w:hanging="544"/>
        <w:spacing w:after="0" w:line="282" w:lineRule="auto"/>
        <w:tabs>
          <w:tab w:leader="none" w:pos="544"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Facility and no Utilisation/Loan may be re-classified as a “Green Loan Facility” “ or a “Green Loan Transaction” on or after the Declassification Date.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43.7</w:t>
      </w:r>
      <w:r>
        <w:rPr>
          <w:sz w:val="20"/>
          <w:szCs w:val="20"/>
          <w:color w:val="auto"/>
        </w:rPr>
        <w:tab/>
      </w:r>
      <w:r>
        <w:rPr>
          <w:rFonts w:ascii="Times New Roman" w:cs="Times New Roman" w:eastAsia="Times New Roman" w:hAnsi="Times New Roman"/>
          <w:sz w:val="17"/>
          <w:szCs w:val="17"/>
          <w:b w:val="1"/>
          <w:bCs w:val="1"/>
          <w:color w:val="auto"/>
        </w:rPr>
        <w:t>Waivers and Amendments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determining whether to consent to any amendment or waiver, the relevant Finance Parties may have regard to the GLP.</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43.8</w:t>
      </w:r>
      <w:r>
        <w:rPr>
          <w:sz w:val="20"/>
          <w:szCs w:val="20"/>
          <w:color w:val="auto"/>
        </w:rPr>
        <w:tab/>
      </w:r>
      <w:r>
        <w:rPr>
          <w:rFonts w:ascii="Times New Roman" w:cs="Times New Roman" w:eastAsia="Times New Roman" w:hAnsi="Times New Roman"/>
          <w:sz w:val="17"/>
          <w:szCs w:val="17"/>
          <w:b w:val="1"/>
          <w:bCs w:val="1"/>
          <w:color w:val="auto"/>
        </w:rPr>
        <w:t>Third Party Challenge</w:t>
      </w:r>
    </w:p>
    <w:p>
      <w:pPr>
        <w:spacing w:after="0" w:line="121" w:lineRule="exact"/>
        <w:rPr>
          <w:sz w:val="20"/>
          <w:szCs w:val="20"/>
          <w:color w:val="auto"/>
        </w:rPr>
      </w:pPr>
    </w:p>
    <w:p>
      <w:pPr>
        <w:ind w:left="544" w:right="160"/>
        <w:spacing w:after="0" w:line="266" w:lineRule="auto"/>
        <w:rPr>
          <w:sz w:val="20"/>
          <w:szCs w:val="20"/>
          <w:color w:val="auto"/>
        </w:rPr>
      </w:pPr>
      <w:r>
        <w:rPr>
          <w:rFonts w:ascii="Times New Roman" w:cs="Times New Roman" w:eastAsia="Times New Roman" w:hAnsi="Times New Roman"/>
          <w:sz w:val="18"/>
          <w:szCs w:val="18"/>
          <w:color w:val="auto"/>
        </w:rPr>
        <w:t>The Borrower shall promptly notify the Agent (for and on behalf of the Finance Parties) in writing if at any time it becomes aware of any challenge (or potential challenge) by a third party that the Eligible Green Activities or Facility Agreement is no longer (or may no longer be) in compliance with the GLP.</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43.9</w:t>
      </w:r>
      <w:r>
        <w:rPr>
          <w:sz w:val="20"/>
          <w:szCs w:val="20"/>
          <w:color w:val="auto"/>
        </w:rPr>
        <w:tab/>
      </w:r>
      <w:r>
        <w:rPr>
          <w:rFonts w:ascii="Times New Roman" w:cs="Times New Roman" w:eastAsia="Times New Roman" w:hAnsi="Times New Roman"/>
          <w:sz w:val="17"/>
          <w:szCs w:val="17"/>
          <w:b w:val="1"/>
          <w:bCs w:val="1"/>
          <w:color w:val="auto"/>
        </w:rPr>
        <w:t>Advertisements &amp; Publicity</w:t>
      </w:r>
    </w:p>
    <w:p>
      <w:pPr>
        <w:spacing w:after="0" w:line="135" w:lineRule="exact"/>
        <w:rPr>
          <w:sz w:val="20"/>
          <w:szCs w:val="20"/>
          <w:color w:val="auto"/>
        </w:rPr>
      </w:pPr>
    </w:p>
    <w:p>
      <w:pPr>
        <w:ind w:left="544" w:right="360" w:hanging="544"/>
        <w:spacing w:after="0" w:line="266" w:lineRule="auto"/>
        <w:tabs>
          <w:tab w:leader="none" w:pos="544"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Green Loan Facility may be described as a ‘Green Loan that is aligned with the Green Loan Principles’ (or similar) in any announcements and/or publicity issued by the Finance Parties and may be disclosed for the purposes of the Finance Parties internal or external disclosure or reporting.</w:t>
      </w:r>
    </w:p>
    <w:p>
      <w:pPr>
        <w:spacing w:after="0" w:line="81" w:lineRule="exact"/>
        <w:rPr>
          <w:rFonts w:ascii="Times New Roman" w:cs="Times New Roman" w:eastAsia="Times New Roman" w:hAnsi="Times New Roman"/>
          <w:sz w:val="18"/>
          <w:szCs w:val="18"/>
          <w:color w:val="auto"/>
        </w:rPr>
      </w:pPr>
    </w:p>
    <w:p>
      <w:pPr>
        <w:ind w:left="544" w:right="100" w:hanging="544"/>
        <w:spacing w:after="0" w:line="312" w:lineRule="auto"/>
        <w:tabs>
          <w:tab w:leader="none" w:pos="544" w:val="left"/>
        </w:tabs>
        <w:numPr>
          <w:ilvl w:val="0"/>
          <w:numId w:val="4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on and after the Declassification Date, neither the Borrower nor any Group Member shall refer to any Facility or any Loan under a Green Loan Facility as a ‘Green Loan that is aligned with the Green Loan Principles’ (or similar):</w:t>
      </w:r>
    </w:p>
    <w:p>
      <w:pPr>
        <w:spacing w:after="0" w:line="45" w:lineRule="exact"/>
        <w:rPr>
          <w:rFonts w:ascii="Times New Roman" w:cs="Times New Roman" w:eastAsia="Times New Roman" w:hAnsi="Times New Roman"/>
          <w:sz w:val="17"/>
          <w:szCs w:val="17"/>
          <w:color w:val="auto"/>
        </w:rPr>
      </w:pPr>
    </w:p>
    <w:p>
      <w:pPr>
        <w:ind w:left="1184" w:hanging="644"/>
        <w:spacing w:after="0"/>
        <w:tabs>
          <w:tab w:leader="none" w:pos="1184"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future financial statements or annual report (if applicable), to the extent that these are publicly available;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Group’s website;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regulatory news service announcement (or similar public announcement).</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24"/>
          </w:cols>
          <w:pgMar w:left="436" w:top="270" w:right="439" w:bottom="1440" w:gutter="0" w:footer="0" w:header="0"/>
        </w:sectPr>
      </w:pPr>
    </w:p>
    <w:bookmarkStart w:id="168" w:name="page169"/>
    <w:bookmarkEnd w:id="16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GOVERNING LAW AND ENFORCEMENT</w:t>
      </w:r>
    </w:p>
    <w:p>
      <w:pPr>
        <w:spacing w:after="0" w:line="252" w:lineRule="exact"/>
        <w:rPr>
          <w:sz w:val="20"/>
          <w:szCs w:val="20"/>
          <w:color w:val="auto"/>
        </w:rPr>
      </w:pPr>
    </w:p>
    <w:p>
      <w:pPr>
        <w:ind w:left="544" w:hanging="544"/>
        <w:spacing w:after="0"/>
        <w:tabs>
          <w:tab w:leader="none" w:pos="544"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English law.</w:t>
      </w:r>
    </w:p>
    <w:p>
      <w:pPr>
        <w:spacing w:after="0" w:line="369"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45.1</w:t>
      </w:r>
      <w:r>
        <w:rPr>
          <w:sz w:val="20"/>
          <w:szCs w:val="20"/>
          <w:color w:val="auto"/>
        </w:rPr>
        <w:tab/>
      </w:r>
      <w:r>
        <w:rPr>
          <w:rFonts w:ascii="Times New Roman" w:cs="Times New Roman" w:eastAsia="Times New Roman" w:hAnsi="Times New Roman"/>
          <w:sz w:val="17"/>
          <w:szCs w:val="17"/>
          <w:b w:val="1"/>
          <w:bCs w:val="1"/>
          <w:color w:val="auto"/>
        </w:rPr>
        <w:t>Jurisdiction of English courts</w:t>
      </w:r>
    </w:p>
    <w:p>
      <w:pPr>
        <w:spacing w:after="0" w:line="135" w:lineRule="exact"/>
        <w:rPr>
          <w:sz w:val="20"/>
          <w:szCs w:val="20"/>
          <w:color w:val="auto"/>
        </w:rPr>
      </w:pPr>
    </w:p>
    <w:p>
      <w:pPr>
        <w:ind w:left="544" w:right="220" w:hanging="544"/>
        <w:spacing w:after="0" w:line="266" w:lineRule="auto"/>
        <w:tabs>
          <w:tab w:leader="none" w:pos="544"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4" w:right="20" w:hanging="544"/>
        <w:spacing w:after="0" w:line="282" w:lineRule="auto"/>
        <w:tabs>
          <w:tab w:leader="none" w:pos="544"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courts of England are the most appropriate and convenient courts to settle Disputes and accordingly no Party will argue to the contrary.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45.2</w:t>
      </w:r>
      <w:r>
        <w:rPr>
          <w:sz w:val="20"/>
          <w:szCs w:val="20"/>
          <w:color w:val="auto"/>
        </w:rPr>
        <w:tab/>
      </w:r>
      <w:r>
        <w:rPr>
          <w:rFonts w:ascii="Times New Roman" w:cs="Times New Roman" w:eastAsia="Times New Roman" w:hAnsi="Times New Roman"/>
          <w:sz w:val="17"/>
          <w:szCs w:val="17"/>
          <w:b w:val="1"/>
          <w:bCs w:val="1"/>
          <w:color w:val="auto"/>
        </w:rPr>
        <w:t>Service of process</w:t>
      </w:r>
    </w:p>
    <w:p>
      <w:pPr>
        <w:spacing w:after="0" w:line="135" w:lineRule="exact"/>
        <w:rPr>
          <w:sz w:val="20"/>
          <w:szCs w:val="20"/>
          <w:color w:val="auto"/>
        </w:rPr>
      </w:pPr>
    </w:p>
    <w:p>
      <w:pPr>
        <w:ind w:left="544" w:hanging="544"/>
        <w:spacing w:after="0"/>
        <w:tabs>
          <w:tab w:leader="none" w:pos="544"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other mode of service allowed under any relevant law, the Guarantor:</w:t>
      </w:r>
    </w:p>
    <w:p>
      <w:pPr>
        <w:spacing w:after="0" w:line="130" w:lineRule="exact"/>
        <w:rPr>
          <w:rFonts w:ascii="Times New Roman" w:cs="Times New Roman" w:eastAsia="Times New Roman" w:hAnsi="Times New Roman"/>
          <w:sz w:val="18"/>
          <w:szCs w:val="18"/>
          <w:color w:val="auto"/>
        </w:rPr>
      </w:pPr>
    </w:p>
    <w:p>
      <w:pPr>
        <w:jc w:val="both"/>
        <w:ind w:left="1184" w:right="700" w:hanging="644"/>
        <w:spacing w:after="0" w:line="282" w:lineRule="auto"/>
        <w:tabs>
          <w:tab w:leader="none" w:pos="1184"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appoints the Company as its agent for service of process in relation to any proceedings before the English courts in connection with any Finance Document (and the Company, by its execution of this Agreement, accepts that appointment);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failure by a process agent to notify the relevant Obligor of the process will not invalidate the proceedings concerned.</w:t>
      </w:r>
    </w:p>
    <w:p>
      <w:pPr>
        <w:spacing w:after="0" w:line="130" w:lineRule="exact"/>
        <w:rPr>
          <w:rFonts w:ascii="Times New Roman" w:cs="Times New Roman" w:eastAsia="Times New Roman" w:hAnsi="Times New Roman"/>
          <w:sz w:val="18"/>
          <w:szCs w:val="18"/>
          <w:color w:val="auto"/>
        </w:rPr>
      </w:pPr>
    </w:p>
    <w:p>
      <w:pPr>
        <w:ind w:left="544" w:right="120" w:hanging="544"/>
        <w:spacing w:after="0" w:line="266" w:lineRule="auto"/>
        <w:tabs>
          <w:tab w:leader="none" w:pos="544"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appointed as an agent for service of process is unable for any reason to act as agent for service of process, the Obligors’ Agent (on behalf of all the other Obligors) must immediately (and in any event within 10 days of such event taking place) appoint another agent on terms acceptable to the Agent. Failing this, the Agent may appoint another agent for this purpose.</w:t>
      </w:r>
    </w:p>
    <w:p>
      <w:pPr>
        <w:spacing w:after="0" w:line="7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agrees and consents to the provisions of this Clause 45 and Clause 44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544" w:hanging="544"/>
        <w:spacing w:after="0"/>
        <w:tabs>
          <w:tab w:leader="none" w:pos="544"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RECOGNITION OF HONG KONG STAY POWERS</w:t>
      </w:r>
    </w:p>
    <w:p>
      <w:pPr>
        <w:spacing w:after="0" w:line="121" w:lineRule="exact"/>
        <w:rPr>
          <w:rFonts w:ascii="Times New Roman" w:cs="Times New Roman" w:eastAsia="Times New Roman" w:hAnsi="Times New Roman"/>
          <w:sz w:val="18"/>
          <w:szCs w:val="18"/>
          <w:b w:val="1"/>
          <w:bCs w:val="1"/>
          <w:color w:val="auto"/>
        </w:rPr>
      </w:pPr>
    </w:p>
    <w:p>
      <w:pPr>
        <w:ind w:left="544"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in this Agreement or any other Finance Document or any other agreement, arrangement or understanding between the Parties relating to this Agreement, each of the Parties (other than the Excluded Counterparties) expressly agrees to be bound by any suspension of any termination right in relation to this Agreement imposed by the Resolution Authority in accordance with section 90(2) of the Financial Institutions (Resolution) Ordinance (Cap. 628) of Hong Kong, to the same extent as if this Agreement was governed by the laws of Hong Kong.</w:t>
      </w:r>
    </w:p>
    <w:p>
      <w:pPr>
        <w:spacing w:after="0" w:line="116"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24"/>
          </w:cols>
          <w:pgMar w:left="436" w:top="266" w:right="439" w:bottom="1440" w:gutter="0" w:footer="0" w:header="0"/>
        </w:sectPr>
      </w:pPr>
    </w:p>
    <w:bookmarkStart w:id="169" w:name="page170"/>
    <w:bookmarkEnd w:id="169"/>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 of this Clause 46 (</w:t>
      </w:r>
      <w:r>
        <w:rPr>
          <w:rFonts w:ascii="Times New Roman" w:cs="Times New Roman" w:eastAsia="Times New Roman" w:hAnsi="Times New Roman"/>
          <w:sz w:val="18"/>
          <w:szCs w:val="18"/>
          <w:i w:val="1"/>
          <w:iCs w:val="1"/>
          <w:color w:val="auto"/>
        </w:rPr>
        <w:t>Recognition of Hong Kong Stay Powers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540" w:right="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Counterparty</w:t>
      </w:r>
      <w:r>
        <w:rPr>
          <w:rFonts w:ascii="Times New Roman" w:cs="Times New Roman" w:eastAsia="Times New Roman" w:hAnsi="Times New Roman"/>
          <w:sz w:val="18"/>
          <w:szCs w:val="18"/>
          <w:color w:val="auto"/>
        </w:rPr>
        <w:t>” means any Party which is (a) a financial market infrastructure; (b) the Hong Kong Monetary Authority; (c) the Government of the Hong Kong Special Administrative Region; (d) the government of a jurisdiction other than Hong Kong; or (e) the central bank of a jurisdiction other than Hong Kong; and</w:t>
      </w:r>
    </w:p>
    <w:p>
      <w:pPr>
        <w:spacing w:after="0" w:line="63" w:lineRule="exact"/>
        <w:rPr>
          <w:sz w:val="20"/>
          <w:szCs w:val="20"/>
          <w:color w:val="auto"/>
        </w:rPr>
      </w:pPr>
    </w:p>
    <w:p>
      <w:pPr>
        <w:ind w:left="540"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the resolution authority in Hong Kong in relation to a banking sector entity from time to time, which is currently the Hong Kong Monetary Authority.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has been entered into on the date stated at the beginning of this Agreement.</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20"/>
          </w:cols>
          <w:pgMar w:left="440" w:top="268" w:right="439" w:bottom="1440" w:gutter="0" w:footer="0" w:header="0"/>
        </w:sectPr>
      </w:pPr>
    </w:p>
    <w:bookmarkStart w:id="170" w:name="page171"/>
    <w:bookmarkEnd w:id="17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RIGINAL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ENDERS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Lender status</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confirmation, Treaty</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Passport scheme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number and</w:t>
            </w:r>
          </w:p>
        </w:tc>
        <w:tc>
          <w:tcPr>
            <w:tcW w:w="0" w:type="dxa"/>
            <w:vAlign w:val="bottom"/>
          </w:tcPr>
          <w:p>
            <w:pPr>
              <w:spacing w:after="0"/>
              <w:rPr>
                <w:sz w:val="1"/>
                <w:szCs w:val="1"/>
                <w:color w:val="auto"/>
              </w:rPr>
            </w:pPr>
          </w:p>
        </w:tc>
      </w:tr>
      <w:tr>
        <w:trPr>
          <w:trHeight w:val="148"/>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Original</w:t>
            </w:r>
          </w:p>
        </w:tc>
        <w:tc>
          <w:tcPr>
            <w:tcW w:w="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34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 tax</w:t>
            </w:r>
          </w:p>
        </w:tc>
        <w:tc>
          <w:tcPr>
            <w:tcW w:w="0" w:type="dxa"/>
            <w:vAlign w:val="bottom"/>
          </w:tcPr>
          <w:p>
            <w:pPr>
              <w:spacing w:after="0"/>
              <w:rPr>
                <w:sz w:val="1"/>
                <w:szCs w:val="1"/>
                <w:color w:val="auto"/>
              </w:rPr>
            </w:pPr>
          </w:p>
        </w:tc>
      </w:tr>
      <w:tr>
        <w:trPr>
          <w:trHeight w:val="148"/>
        </w:trPr>
        <w:tc>
          <w:tcPr>
            <w:tcW w:w="3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(Facility A)</w:t>
            </w:r>
          </w:p>
        </w:tc>
        <w:tc>
          <w:tcPr>
            <w:tcW w:w="10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(Facility B)</w:t>
            </w:r>
          </w:p>
        </w:tc>
        <w:tc>
          <w:tcPr>
            <w:tcW w:w="1120" w:type="dxa"/>
            <w:vAlign w:val="bottom"/>
            <w:gridSpan w:val="2"/>
            <w:vMerge w:val="continue"/>
          </w:tcPr>
          <w:p>
            <w:pPr>
              <w:spacing w:after="0"/>
              <w:rPr>
                <w:sz w:val="12"/>
                <w:szCs w:val="12"/>
                <w:color w:val="auto"/>
              </w:rPr>
            </w:pPr>
          </w:p>
        </w:tc>
        <w:tc>
          <w:tcPr>
            <w:tcW w:w="34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residence (if</w:t>
            </w: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EUR)</w:t>
            </w: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USD)</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71"/>
        </w:trPr>
        <w:tc>
          <w:tcPr>
            <w:tcW w:w="46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BNP</w:t>
            </w:r>
          </w:p>
        </w:tc>
        <w:tc>
          <w:tcPr>
            <w:tcW w:w="33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w w:val="98"/>
              </w:rPr>
              <w:t>PARIBAS, ACTING THROUGH ITS HONG</w:t>
            </w:r>
          </w:p>
        </w:tc>
        <w:tc>
          <w:tcPr>
            <w:tcW w:w="60" w:type="dxa"/>
            <w:vAlign w:val="bottom"/>
          </w:tcPr>
          <w:p>
            <w:pPr>
              <w:spacing w:after="0"/>
              <w:rPr>
                <w:sz w:val="14"/>
                <w:szCs w:val="14"/>
                <w:color w:val="auto"/>
              </w:rPr>
            </w:pPr>
          </w:p>
        </w:tc>
        <w:tc>
          <w:tcPr>
            <w:tcW w:w="144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107,970,000</w:t>
            </w:r>
          </w:p>
        </w:tc>
        <w:tc>
          <w:tcPr>
            <w:tcW w:w="120" w:type="dxa"/>
            <w:vAlign w:val="bottom"/>
          </w:tcPr>
          <w:p>
            <w:pPr>
              <w:spacing w:after="0"/>
              <w:rPr>
                <w:sz w:val="14"/>
                <w:szCs w:val="14"/>
                <w:color w:val="auto"/>
              </w:rPr>
            </w:pPr>
          </w:p>
        </w:tc>
        <w:tc>
          <w:tcPr>
            <w:tcW w:w="98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France</w:t>
            </w:r>
          </w:p>
        </w:tc>
        <w:tc>
          <w:tcPr>
            <w:tcW w:w="140" w:type="dxa"/>
            <w:vAlign w:val="bottom"/>
          </w:tcPr>
          <w:p>
            <w:pPr>
              <w:spacing w:after="0"/>
              <w:rPr>
                <w:sz w:val="14"/>
                <w:szCs w:val="14"/>
                <w:color w:val="auto"/>
              </w:rPr>
            </w:pPr>
          </w:p>
        </w:tc>
        <w:tc>
          <w:tcPr>
            <w:tcW w:w="342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A Treaty Lender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KONG BRANCH</w:t>
            </w: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Jurisdiction of tax residence: France</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Treaty Passport scheme reference Number:</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5/B/255139/DTTP</w:t>
            </w:r>
          </w:p>
        </w:tc>
        <w:tc>
          <w:tcPr>
            <w:tcW w:w="0" w:type="dxa"/>
            <w:vAlign w:val="bottom"/>
          </w:tcPr>
          <w:p>
            <w:pPr>
              <w:spacing w:after="0"/>
              <w:rPr>
                <w:sz w:val="1"/>
                <w:szCs w:val="1"/>
                <w:color w:val="auto"/>
              </w:rPr>
            </w:pPr>
          </w:p>
        </w:tc>
      </w:tr>
      <w:tr>
        <w:trPr>
          <w:trHeight w:val="319"/>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NATIXIS, HONG KONG BRANCH (incorporated</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100,000,000</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Nil.</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Treaty Lender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France and the liability of its members is</w:t>
            </w: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Jurisdiction of tax residence: France</w:t>
            </w:r>
          </w:p>
        </w:tc>
        <w:tc>
          <w:tcPr>
            <w:tcW w:w="0" w:type="dxa"/>
            <w:vAlign w:val="bottom"/>
          </w:tcPr>
          <w:p>
            <w:pPr>
              <w:spacing w:after="0"/>
              <w:rPr>
                <w:sz w:val="1"/>
                <w:szCs w:val="1"/>
                <w:color w:val="auto"/>
              </w:rPr>
            </w:pPr>
          </w:p>
        </w:tc>
      </w:tr>
      <w:tr>
        <w:trPr>
          <w:trHeight w:val="140"/>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limited)</w:t>
            </w: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Treaty Passport scheme reference Number:</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5/N/243838/DTTP</w:t>
            </w:r>
          </w:p>
        </w:tc>
        <w:tc>
          <w:tcPr>
            <w:tcW w:w="0" w:type="dxa"/>
            <w:vAlign w:val="bottom"/>
          </w:tcPr>
          <w:p>
            <w:pPr>
              <w:spacing w:after="0"/>
              <w:rPr>
                <w:sz w:val="1"/>
                <w:szCs w:val="1"/>
                <w:color w:val="auto"/>
              </w:rPr>
            </w:pPr>
          </w:p>
        </w:tc>
      </w:tr>
      <w:tr>
        <w:trPr>
          <w:trHeight w:val="319"/>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STANDARD CHARTERED BANK (HONG</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Nil.</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107,970,000</w:t>
            </w: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Treaty Lender</w:t>
            </w: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KONG) LIMITED</w:t>
            </w: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Jurisdiction of tax residence: Hong Kong</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Treaty Passport scheme reference Number:</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099/S/0361738/DTTP</w:t>
            </w:r>
          </w:p>
        </w:tc>
        <w:tc>
          <w:tcPr>
            <w:tcW w:w="0" w:type="dxa"/>
            <w:vAlign w:val="bottom"/>
          </w:tcPr>
          <w:p>
            <w:pPr>
              <w:spacing w:after="0"/>
              <w:rPr>
                <w:sz w:val="1"/>
                <w:szCs w:val="1"/>
                <w:color w:val="auto"/>
              </w:rPr>
            </w:pPr>
          </w:p>
        </w:tc>
      </w:tr>
      <w:tr>
        <w:trPr>
          <w:trHeight w:val="37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A53429063</w:t>
            </w: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Polestar Facilities Agreement</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71" w:name="page172"/>
    <w:bookmarkEnd w:id="1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BANCO BILBAO VIZCAYA ARGENTARIA,</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100,000,000</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Nil.</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Qualifying Lender (other than a Treaty</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S.A., LONDON BRANCH</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Lender or a QPP Lender)</w:t>
            </w:r>
          </w:p>
        </w:tc>
        <w:tc>
          <w:tcPr>
            <w:tcW w:w="0" w:type="dxa"/>
            <w:vAlign w:val="bottom"/>
          </w:tcPr>
          <w:p>
            <w:pPr>
              <w:spacing w:after="0"/>
              <w:rPr>
                <w:sz w:val="1"/>
                <w:szCs w:val="1"/>
                <w:color w:val="auto"/>
              </w:rPr>
            </w:pP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THE HONGKONG AND SHANGHAI BANKING</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Nil.</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100,000,000</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Hong Kong</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Treaty Lender</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CORPORATION LIMITED</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Jurisdiction of tax residence: Hong Kong</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Treaty Passport scheme reference Number:</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99/H/358123/DTTP</w:t>
            </w:r>
          </w:p>
        </w:tc>
        <w:tc>
          <w:tcPr>
            <w:tcW w:w="0" w:type="dxa"/>
            <w:vAlign w:val="bottom"/>
          </w:tcPr>
          <w:p>
            <w:pPr>
              <w:spacing w:after="0"/>
              <w:rPr>
                <w:sz w:val="1"/>
                <w:szCs w:val="1"/>
                <w:color w:val="auto"/>
              </w:rPr>
            </w:pPr>
          </w:p>
        </w:tc>
      </w:tr>
      <w:tr>
        <w:trPr>
          <w:trHeight w:val="31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SHANGHAI PUDONG DEVELOPMENT BANK</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Nil.</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84,000,000</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PRC</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Qualifying Lender other than a Treaty Lender</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 LTD. (acting through its Offshore Banking</w:t>
            </w: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a QPP Lender, solely by virtue of paragraph</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Unit) (a company incorporated in the PRC with</w:t>
            </w: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 of the Qualifying Lender definition</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CRÉDIT AGRICOLE CORPORATE AND</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40,000,000</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21,594,000</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Treaty Lender</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INVESTMENT BANK, HONG KONG BRANCH</w:t>
            </w: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Jurisdiction of tax residence: France</w:t>
            </w:r>
          </w:p>
        </w:tc>
        <w:tc>
          <w:tcPr>
            <w:tcW w:w="0" w:type="dxa"/>
            <w:vAlign w:val="bottom"/>
          </w:tcPr>
          <w:p>
            <w:pPr>
              <w:spacing w:after="0"/>
              <w:rPr>
                <w:sz w:val="1"/>
                <w:szCs w:val="1"/>
                <w:color w:val="auto"/>
              </w:rPr>
            </w:pPr>
          </w:p>
        </w:tc>
      </w:tr>
      <w:tr>
        <w:trPr>
          <w:trHeight w:val="14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(INCORPORATED IN FRANCE WITH LIMITED</w:t>
            </w:r>
          </w:p>
        </w:tc>
        <w:tc>
          <w:tcPr>
            <w:tcW w:w="1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378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LIABILITY)</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Treaty Passport scheme reference Number:</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5/C/222082/DTTP</w:t>
            </w:r>
          </w:p>
        </w:tc>
        <w:tc>
          <w:tcPr>
            <w:tcW w:w="0" w:type="dxa"/>
            <w:vAlign w:val="bottom"/>
          </w:tcPr>
          <w:p>
            <w:pPr>
              <w:spacing w:after="0"/>
              <w:rPr>
                <w:sz w:val="1"/>
                <w:szCs w:val="1"/>
                <w:color w:val="auto"/>
              </w:rPr>
            </w:pPr>
          </w:p>
        </w:tc>
      </w:tr>
      <w:tr>
        <w:trPr>
          <w:trHeight w:val="31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CITIBANK N.A., LONDON BRANCH</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Nil.</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53,985,000</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Qualifying Lender (other than a Treaty</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Lender or a QPP Lender)</w:t>
            </w:r>
          </w:p>
        </w:tc>
        <w:tc>
          <w:tcPr>
            <w:tcW w:w="0" w:type="dxa"/>
            <w:vAlign w:val="bottom"/>
          </w:tcPr>
          <w:p>
            <w:pPr>
              <w:spacing w:after="0"/>
              <w:rPr>
                <w:sz w:val="1"/>
                <w:szCs w:val="1"/>
                <w:color w:val="auto"/>
              </w:rPr>
            </w:pP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China Bohai Bank Co., Ltd. Shanghai Free Trade</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50,000,000</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Nil.</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PRC</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Qualifying Lender other than a Treaty Lender</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Zone Branch</w:t>
            </w: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a QPP Lender, solely by virtue of paragraph</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 of the Qualifying Lender definition</w:t>
            </w:r>
          </w:p>
        </w:tc>
        <w:tc>
          <w:tcPr>
            <w:tcW w:w="0" w:type="dxa"/>
            <w:vAlign w:val="bottom"/>
          </w:tcPr>
          <w:p>
            <w:pPr>
              <w:spacing w:after="0"/>
              <w:rPr>
                <w:sz w:val="1"/>
                <w:szCs w:val="1"/>
                <w:color w:val="auto"/>
              </w:rPr>
            </w:pPr>
          </w:p>
        </w:tc>
      </w:tr>
      <w:tr>
        <w:trPr>
          <w:trHeight w:val="36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A53429063</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6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Polestar Facilities Agreement</w:t>
            </w: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164</w:t>
            </w:r>
          </w:p>
        </w:tc>
        <w:tc>
          <w:tcPr>
            <w:tcW w:w="10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72" w:name="page173"/>
    <w:bookmarkEnd w:id="1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CHINA ZHESHANG BANK CO., LTD.</w:t>
            </w:r>
          </w:p>
        </w:tc>
        <w:tc>
          <w:tcPr>
            <w:tcW w:w="1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50,000,000</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Nil.</w:t>
            </w: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PRC</w:t>
            </w:r>
          </w:p>
        </w:tc>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Qualifying Lender other than a Treaty Lender</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(HANGZHOU BRANCH)</w:t>
            </w: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 a QPP Lender, solely by virtue of paragraph</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 of the Qualifying Lender definition</w:t>
            </w:r>
          </w:p>
        </w:tc>
        <w:tc>
          <w:tcPr>
            <w:tcW w:w="0" w:type="dxa"/>
            <w:vAlign w:val="bottom"/>
          </w:tcPr>
          <w:p>
            <w:pPr>
              <w:spacing w:after="0"/>
              <w:rPr>
                <w:sz w:val="1"/>
                <w:szCs w:val="1"/>
                <w:color w:val="auto"/>
              </w:rPr>
            </w:pPr>
          </w:p>
        </w:tc>
      </w:tr>
      <w:tr>
        <w:trPr>
          <w:trHeight w:val="30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MIZUHO BANK, LTD. (INCORPORATED IN</w:t>
            </w:r>
          </w:p>
        </w:tc>
        <w:tc>
          <w:tcPr>
            <w:tcW w:w="1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53,985,000</w:t>
            </w: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 Treaty Lender</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JAPAN WITH LIMITED LIABILITY), HONG</w:t>
            </w: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Jurisdiction of tax residence: Japan</w:t>
            </w:r>
          </w:p>
        </w:tc>
        <w:tc>
          <w:tcPr>
            <w:tcW w:w="0" w:type="dxa"/>
            <w:vAlign w:val="bottom"/>
          </w:tcPr>
          <w:p>
            <w:pPr>
              <w:spacing w:after="0"/>
              <w:rPr>
                <w:sz w:val="1"/>
                <w:szCs w:val="1"/>
                <w:color w:val="auto"/>
              </w:rPr>
            </w:pPr>
          </w:p>
        </w:tc>
      </w:tr>
      <w:tr>
        <w:trPr>
          <w:trHeight w:val="140"/>
        </w:trPr>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KONG BRANCH</w:t>
            </w:r>
          </w:p>
        </w:tc>
        <w:tc>
          <w:tcPr>
            <w:tcW w:w="1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Treaty Passport scheme reference Number:</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43/M/274822/DTTP</w:t>
            </w:r>
          </w:p>
        </w:tc>
        <w:tc>
          <w:tcPr>
            <w:tcW w:w="0" w:type="dxa"/>
            <w:vAlign w:val="bottom"/>
          </w:tcPr>
          <w:p>
            <w:pPr>
              <w:spacing w:after="0"/>
              <w:rPr>
                <w:sz w:val="1"/>
                <w:szCs w:val="1"/>
                <w:color w:val="auto"/>
              </w:rPr>
            </w:pPr>
          </w:p>
        </w:tc>
      </w:tr>
      <w:tr>
        <w:trPr>
          <w:trHeight w:val="31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MUFG BANK, LTD. (INCORPORATED IN</w:t>
            </w:r>
          </w:p>
        </w:tc>
        <w:tc>
          <w:tcPr>
            <w:tcW w:w="1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53,985,000</w:t>
            </w: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 Treaty Lender</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JAPAN WITH LIMITED LIABILITY), HONG</w:t>
            </w: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Jurisdiction of tax residence: Japan</w:t>
            </w:r>
          </w:p>
        </w:tc>
        <w:tc>
          <w:tcPr>
            <w:tcW w:w="0" w:type="dxa"/>
            <w:vAlign w:val="bottom"/>
          </w:tcPr>
          <w:p>
            <w:pPr>
              <w:spacing w:after="0"/>
              <w:rPr>
                <w:sz w:val="1"/>
                <w:szCs w:val="1"/>
                <w:color w:val="auto"/>
              </w:rPr>
            </w:pPr>
          </w:p>
        </w:tc>
      </w:tr>
      <w:tr>
        <w:trPr>
          <w:trHeight w:val="140"/>
        </w:trPr>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KONG BRANCH</w:t>
            </w:r>
          </w:p>
        </w:tc>
        <w:tc>
          <w:tcPr>
            <w:tcW w:w="1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Treaty Passport scheme reference Number:</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43/M/322072/DTTP</w:t>
            </w:r>
          </w:p>
        </w:tc>
        <w:tc>
          <w:tcPr>
            <w:tcW w:w="0" w:type="dxa"/>
            <w:vAlign w:val="bottom"/>
          </w:tcPr>
          <w:p>
            <w:pPr>
              <w:spacing w:after="0"/>
              <w:rPr>
                <w:sz w:val="1"/>
                <w:szCs w:val="1"/>
                <w:color w:val="auto"/>
              </w:rPr>
            </w:pPr>
          </w:p>
        </w:tc>
      </w:tr>
      <w:tr>
        <w:trPr>
          <w:trHeight w:val="33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340,000,000</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583,489,000</w:t>
            </w: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A53429063</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Polestar Facilities Agreement</w:t>
            </w:r>
          </w:p>
        </w:tc>
        <w:tc>
          <w:tcPr>
            <w:tcW w:w="0" w:type="dxa"/>
            <w:vAlign w:val="bottom"/>
          </w:tcPr>
          <w:p>
            <w:pPr>
              <w:spacing w:after="0"/>
              <w:rPr>
                <w:sz w:val="1"/>
                <w:szCs w:val="1"/>
                <w:color w:val="auto"/>
              </w:rPr>
            </w:pPr>
          </w:p>
        </w:tc>
      </w:tr>
      <w:tr>
        <w:trPr>
          <w:trHeight w:val="432"/>
        </w:trPr>
        <w:tc>
          <w:tcPr>
            <w:tcW w:w="3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165</w:t>
            </w: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73" w:name="page174"/>
    <w:bookmarkEnd w:id="17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RECEDENT</w:t>
      </w:r>
    </w:p>
    <w:p>
      <w:pPr>
        <w:spacing w:after="0" w:line="252" w:lineRule="exact"/>
        <w:rPr>
          <w:sz w:val="20"/>
          <w:szCs w:val="20"/>
          <w:color w:val="auto"/>
        </w:rPr>
      </w:pPr>
    </w:p>
    <w:p>
      <w:pPr>
        <w:ind w:left="544" w:hanging="544"/>
        <w:spacing w:after="0"/>
        <w:tabs>
          <w:tab w:leader="none" w:pos="544" w:val="left"/>
        </w:tabs>
        <w:numPr>
          <w:ilvl w:val="0"/>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Obligors and Subordinated Creditor</w:t>
      </w:r>
    </w:p>
    <w:p>
      <w:pPr>
        <w:spacing w:after="0" w:line="135" w:lineRule="exact"/>
        <w:rPr>
          <w:sz w:val="20"/>
          <w:szCs w:val="20"/>
          <w:color w:val="auto"/>
        </w:rPr>
      </w:pPr>
    </w:p>
    <w:p>
      <w:pPr>
        <w:ind w:left="544" w:hanging="544"/>
        <w:spacing w:after="0"/>
        <w:tabs>
          <w:tab w:leader="none" w:pos="54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constitutional documents of each Obligor and each Subordinated Creditor party to the Subordination Deed.</w:t>
      </w:r>
    </w:p>
    <w:p>
      <w:pPr>
        <w:spacing w:after="0" w:line="130" w:lineRule="exact"/>
        <w:rPr>
          <w:rFonts w:ascii="Times New Roman" w:cs="Times New Roman" w:eastAsia="Times New Roman" w:hAnsi="Times New Roman"/>
          <w:sz w:val="18"/>
          <w:szCs w:val="18"/>
          <w:color w:val="auto"/>
        </w:rPr>
      </w:pPr>
    </w:p>
    <w:p>
      <w:pPr>
        <w:ind w:left="544" w:right="240" w:hanging="544"/>
        <w:spacing w:after="0" w:line="282" w:lineRule="auto"/>
        <w:tabs>
          <w:tab w:leader="none" w:pos="54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of the board of directors (or equivalent decision-making body) of each Obligor and each Subordinated Creditor party to the Subordination Deed:</w:t>
      </w:r>
    </w:p>
    <w:p>
      <w:pPr>
        <w:spacing w:after="0" w:line="67"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and the transactions contemplated by, the Finance Documents to which it is a party and resolving that it execute the Finance Documents to which it is a party;</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Finance Documents to which it is a party on its behalf; and</w:t>
      </w:r>
    </w:p>
    <w:p>
      <w:pPr>
        <w:spacing w:after="0" w:line="130" w:lineRule="exact"/>
        <w:rPr>
          <w:rFonts w:ascii="Times New Roman" w:cs="Times New Roman" w:eastAsia="Times New Roman" w:hAnsi="Times New Roman"/>
          <w:sz w:val="18"/>
          <w:szCs w:val="18"/>
          <w:color w:val="auto"/>
        </w:rPr>
      </w:pPr>
    </w:p>
    <w:p>
      <w:pPr>
        <w:jc w:val="both"/>
        <w:ind w:left="1184" w:right="260" w:hanging="644"/>
        <w:spacing w:after="0" w:line="266" w:lineRule="auto"/>
        <w:tabs>
          <w:tab w:leader="none" w:pos="1184"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documents and notices (including, if relevant, any Utilisation Request and Selection Notice) to be signed and/or despatched by it under or in connection with the Finance Documents to which it is a party.</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of the signature of each person authorised by the resolution referred to in paragraph (b) above.</w:t>
      </w:r>
    </w:p>
    <w:p>
      <w:pPr>
        <w:spacing w:after="0" w:line="130" w:lineRule="exact"/>
        <w:rPr>
          <w:rFonts w:ascii="Times New Roman" w:cs="Times New Roman" w:eastAsia="Times New Roman" w:hAnsi="Times New Roman"/>
          <w:sz w:val="18"/>
          <w:szCs w:val="18"/>
          <w:color w:val="auto"/>
        </w:rPr>
      </w:pPr>
    </w:p>
    <w:p>
      <w:pPr>
        <w:ind w:left="544" w:right="640" w:hanging="544"/>
        <w:spacing w:after="0" w:line="266" w:lineRule="auto"/>
        <w:tabs>
          <w:tab w:leader="none" w:pos="54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Obligor (signed by a director or an authorised signatory) confirming that borrowing or guaranteeing or securing, as appropriate, the Total Commitments would not cause any borrowing, guaranteeing, security or similar limit binding on any Obligor to be exceeded.</w:t>
      </w:r>
    </w:p>
    <w:p>
      <w:pPr>
        <w:spacing w:after="0" w:line="81" w:lineRule="exact"/>
        <w:rPr>
          <w:rFonts w:ascii="Times New Roman" w:cs="Times New Roman" w:eastAsia="Times New Roman" w:hAnsi="Times New Roman"/>
          <w:sz w:val="18"/>
          <w:szCs w:val="18"/>
          <w:color w:val="auto"/>
        </w:rPr>
      </w:pPr>
    </w:p>
    <w:p>
      <w:pPr>
        <w:ind w:left="544" w:right="20" w:hanging="544"/>
        <w:spacing w:after="0" w:line="266" w:lineRule="auto"/>
        <w:tabs>
          <w:tab w:leader="none" w:pos="54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Obligor and each Subordinated Creditor (signed by a director or an authorised signatory) party to the Subordination Deed certifying that each copy document relating to it specified in this Schedule 2 is correct, complete and in full force and effect as at a date no earlier than the Signing Date.</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each Subordinated Creditor party to the Subordination Deed who is incorporated in Singapore:</w:t>
      </w:r>
    </w:p>
    <w:p>
      <w:pPr>
        <w:spacing w:after="0" w:line="130" w:lineRule="exact"/>
        <w:rPr>
          <w:rFonts w:ascii="Times New Roman" w:cs="Times New Roman" w:eastAsia="Times New Roman" w:hAnsi="Times New Roman"/>
          <w:sz w:val="18"/>
          <w:szCs w:val="18"/>
          <w:color w:val="auto"/>
        </w:rPr>
      </w:pPr>
    </w:p>
    <w:p>
      <w:pPr>
        <w:ind w:left="1184" w:right="300" w:hanging="644"/>
        <w:spacing w:after="0" w:line="282" w:lineRule="auto"/>
        <w:tabs>
          <w:tab w:leader="none" w:pos="1184"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signed by all the holders of its issued shares, approving the terms of, and the transactions contemplated by, the Finance Documents to which it is a party and resolving that it execute the Finance Documents to which it is a party; and</w:t>
      </w:r>
    </w:p>
    <w:p>
      <w:pPr>
        <w:spacing w:after="0" w:line="67" w:lineRule="exact"/>
        <w:rPr>
          <w:rFonts w:ascii="Times New Roman" w:cs="Times New Roman" w:eastAsia="Times New Roman" w:hAnsi="Times New Roman"/>
          <w:sz w:val="18"/>
          <w:szCs w:val="18"/>
          <w:color w:val="auto"/>
        </w:rPr>
      </w:pPr>
    </w:p>
    <w:p>
      <w:pPr>
        <w:ind w:left="1184" w:right="220" w:hanging="644"/>
        <w:spacing w:after="0" w:line="282" w:lineRule="auto"/>
        <w:tabs>
          <w:tab w:leader="none" w:pos="1184"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appointment of corporate representative, executed by its shareholder(s), confirming the appointment of the representative of such shareholder(s) authorised to sign the resolutions delivered under paragraph (i) above.</w:t>
      </w:r>
    </w:p>
    <w:p>
      <w:pPr>
        <w:spacing w:after="0" w:line="306" w:lineRule="exact"/>
        <w:rPr>
          <w:sz w:val="20"/>
          <w:szCs w:val="20"/>
          <w:color w:val="auto"/>
        </w:rPr>
      </w:pPr>
    </w:p>
    <w:p>
      <w:pPr>
        <w:ind w:left="544" w:hanging="544"/>
        <w:spacing w:after="0"/>
        <w:tabs>
          <w:tab w:leader="none" w:pos="544" w:val="left"/>
        </w:tabs>
        <w:numPr>
          <w:ilvl w:val="0"/>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Keepwell Provider</w:t>
      </w:r>
    </w:p>
    <w:p>
      <w:pPr>
        <w:spacing w:after="0" w:line="135" w:lineRule="exact"/>
        <w:rPr>
          <w:sz w:val="20"/>
          <w:szCs w:val="20"/>
          <w:color w:val="auto"/>
        </w:rPr>
      </w:pPr>
    </w:p>
    <w:p>
      <w:pPr>
        <w:ind w:left="544" w:hanging="544"/>
        <w:spacing w:after="0"/>
        <w:tabs>
          <w:tab w:leader="none" w:pos="544"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constitutional documents of the Keepwell Provider.</w:t>
      </w:r>
    </w:p>
    <w:p>
      <w:pPr>
        <w:spacing w:after="0" w:line="158"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24"/>
          </w:cols>
          <w:pgMar w:left="436" w:top="266" w:right="439" w:bottom="1440" w:gutter="0" w:footer="0" w:header="0"/>
        </w:sectPr>
      </w:pPr>
    </w:p>
    <w:bookmarkStart w:id="174" w:name="page175"/>
    <w:bookmarkEnd w:id="174"/>
    <w:p>
      <w:pPr>
        <w:ind w:left="544" w:hanging="544"/>
        <w:spacing w:after="0"/>
        <w:tabs>
          <w:tab w:leader="none" w:pos="544"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of a resolution of the shareholders (or equivalent decision-making body) of the Keepwell Provider:</w:t>
      </w:r>
    </w:p>
    <w:p>
      <w:pPr>
        <w:spacing w:after="0" w:line="130"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and the transactions contemplated by, the Finance Documents to which it is a party and resolving that it execute the Finance Documents to which it is a party;</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Finance Documents to which it is a party on its behalf; and</w:t>
      </w:r>
    </w:p>
    <w:p>
      <w:pPr>
        <w:spacing w:after="0" w:line="130" w:lineRule="exact"/>
        <w:rPr>
          <w:rFonts w:ascii="Times New Roman" w:cs="Times New Roman" w:eastAsia="Times New Roman" w:hAnsi="Times New Roman"/>
          <w:sz w:val="18"/>
          <w:szCs w:val="18"/>
          <w:color w:val="auto"/>
        </w:rPr>
      </w:pPr>
    </w:p>
    <w:p>
      <w:pPr>
        <w:ind w:left="1184" w:right="840" w:hanging="644"/>
        <w:spacing w:after="0" w:line="282" w:lineRule="auto"/>
        <w:tabs>
          <w:tab w:leader="none" w:pos="1184"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documents and notices to be signed and/or despatched by it under or in connection with the Finance Documents to which it is a party.</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of the signature of each person authorised by the resolution referred to in paragraph (b) above.</w:t>
      </w:r>
    </w:p>
    <w:p>
      <w:pPr>
        <w:spacing w:after="0" w:line="130" w:lineRule="exact"/>
        <w:rPr>
          <w:rFonts w:ascii="Times New Roman" w:cs="Times New Roman" w:eastAsia="Times New Roman" w:hAnsi="Times New Roman"/>
          <w:sz w:val="18"/>
          <w:szCs w:val="18"/>
          <w:color w:val="auto"/>
        </w:rPr>
      </w:pPr>
    </w:p>
    <w:p>
      <w:pPr>
        <w:ind w:left="544" w:right="460" w:hanging="544"/>
        <w:spacing w:after="0" w:line="282" w:lineRule="auto"/>
        <w:tabs>
          <w:tab w:leader="none" w:pos="544"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Keepwell Provider (signed by a director) confirming the obligations of the Keepwell Provider under the Keepwell Deed would not cause any relevant limit (if any) binding on the Keepwell Provider to be exceeded.</w:t>
      </w:r>
    </w:p>
    <w:p>
      <w:pPr>
        <w:spacing w:after="0" w:line="67" w:lineRule="exact"/>
        <w:rPr>
          <w:rFonts w:ascii="Times New Roman" w:cs="Times New Roman" w:eastAsia="Times New Roman" w:hAnsi="Times New Roman"/>
          <w:sz w:val="18"/>
          <w:szCs w:val="18"/>
          <w:color w:val="auto"/>
        </w:rPr>
      </w:pPr>
    </w:p>
    <w:p>
      <w:pPr>
        <w:ind w:left="544" w:right="600" w:hanging="544"/>
        <w:spacing w:after="0" w:line="282" w:lineRule="auto"/>
        <w:tabs>
          <w:tab w:leader="none" w:pos="544"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Keepwell Provider (signed by a director) that each copy document relating to it specified in this Schedule 2 is correct, complete and in full force and effect as at a date no earlier than the Signing Date.</w:t>
      </w:r>
    </w:p>
    <w:p>
      <w:pPr>
        <w:spacing w:after="0" w:line="306" w:lineRule="exact"/>
        <w:rPr>
          <w:sz w:val="20"/>
          <w:szCs w:val="20"/>
          <w:color w:val="auto"/>
        </w:rPr>
      </w:pPr>
    </w:p>
    <w:p>
      <w:pPr>
        <w:ind w:left="544" w:hanging="544"/>
        <w:spacing w:after="0"/>
        <w:tabs>
          <w:tab w:leader="none" w:pos="544" w:val="left"/>
        </w:tabs>
        <w:numPr>
          <w:ilvl w:val="0"/>
          <w:numId w:val="4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Documents</w:t>
      </w:r>
    </w:p>
    <w:p>
      <w:pPr>
        <w:spacing w:after="0" w:line="135" w:lineRule="exact"/>
        <w:rPr>
          <w:sz w:val="20"/>
          <w:szCs w:val="20"/>
          <w:color w:val="auto"/>
        </w:rPr>
      </w:pPr>
    </w:p>
    <w:p>
      <w:pPr>
        <w:ind w:left="544" w:hanging="544"/>
        <w:spacing w:after="0"/>
        <w:tabs>
          <w:tab w:leader="none" w:pos="54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all parties to it.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Fee Letter duly executed by all parties to it.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Subordination Deed duly executed by all original parties to it.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Keepwell Deed duly executed by all parties to it.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Comfort duly executed by all parties to it.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Security Document duly executed by all parties to it.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all notices required to be sent under the Security Documents duly sent to the relevant counterparty.</w:t>
      </w:r>
    </w:p>
    <w:p>
      <w:pPr>
        <w:spacing w:after="0" w:line="370" w:lineRule="exact"/>
        <w:rPr>
          <w:sz w:val="20"/>
          <w:szCs w:val="20"/>
          <w:color w:val="auto"/>
        </w:rPr>
      </w:pPr>
    </w:p>
    <w:p>
      <w:pPr>
        <w:ind w:left="544" w:hanging="544"/>
        <w:spacing w:after="0"/>
        <w:tabs>
          <w:tab w:leader="none" w:pos="544"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opinions</w:t>
      </w:r>
    </w:p>
    <w:p>
      <w:pPr>
        <w:spacing w:after="0" w:line="135" w:lineRule="exact"/>
        <w:rPr>
          <w:sz w:val="20"/>
          <w:szCs w:val="20"/>
          <w:color w:val="auto"/>
        </w:rPr>
      </w:pPr>
    </w:p>
    <w:p>
      <w:pPr>
        <w:ind w:left="544" w:right="180" w:hanging="544"/>
        <w:spacing w:after="0" w:line="282" w:lineRule="auto"/>
        <w:tabs>
          <w:tab w:leader="none" w:pos="54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Linklaters LLP, legal advisers to the Finance Parties in England, substantially in the form distributed to the Original Lenders prior to signing this Agreement.</w:t>
      </w:r>
    </w:p>
    <w:p>
      <w:pPr>
        <w:spacing w:after="0" w:line="67" w:lineRule="exact"/>
        <w:rPr>
          <w:rFonts w:ascii="Times New Roman" w:cs="Times New Roman" w:eastAsia="Times New Roman" w:hAnsi="Times New Roman"/>
          <w:sz w:val="18"/>
          <w:szCs w:val="18"/>
          <w:color w:val="auto"/>
        </w:rPr>
      </w:pPr>
    </w:p>
    <w:p>
      <w:pPr>
        <w:ind w:left="544" w:right="280" w:hanging="544"/>
        <w:spacing w:after="0" w:line="282" w:lineRule="auto"/>
        <w:tabs>
          <w:tab w:leader="none" w:pos="54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Linklaters, legal advisers to the Finance Parties in Hong Kong, substantially in the form distributed to the Original Lenders prior to signing this Agreement.</w:t>
      </w:r>
    </w:p>
    <w:p>
      <w:pPr>
        <w:spacing w:after="0" w:line="67" w:lineRule="exact"/>
        <w:rPr>
          <w:rFonts w:ascii="Times New Roman" w:cs="Times New Roman" w:eastAsia="Times New Roman" w:hAnsi="Times New Roman"/>
          <w:sz w:val="18"/>
          <w:szCs w:val="18"/>
          <w:color w:val="auto"/>
        </w:rPr>
      </w:pPr>
    </w:p>
    <w:p>
      <w:pPr>
        <w:ind w:left="544" w:right="60" w:hanging="544"/>
        <w:spacing w:after="0" w:line="282" w:lineRule="auto"/>
        <w:tabs>
          <w:tab w:leader="none" w:pos="54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Advokatfirman Cederquist KB, the legal advisers to the Finance Parties in Sweden, substantially in the form distributed to the Original Lenders prior to signing this Agreement.</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24"/>
          </w:cols>
          <w:pgMar w:left="436" w:top="270" w:right="439" w:bottom="1440" w:gutter="0" w:footer="0" w:header="0"/>
        </w:sectPr>
      </w:pPr>
    </w:p>
    <w:bookmarkStart w:id="175" w:name="page176"/>
    <w:bookmarkEnd w:id="175"/>
    <w:p>
      <w:pPr>
        <w:ind w:left="544" w:right="440" w:hanging="544"/>
        <w:spacing w:after="0" w:line="282" w:lineRule="auto"/>
        <w:tabs>
          <w:tab w:leader="none" w:pos="544"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legal opinion of Fangda Partners, the legal advisers to the Finance Parties in the PRC, substantially in the form distributed to the Original Lenders prior to signing this Agreement.</w:t>
      </w:r>
    </w:p>
    <w:p>
      <w:pPr>
        <w:spacing w:after="0" w:line="67" w:lineRule="exact"/>
        <w:rPr>
          <w:rFonts w:ascii="Times New Roman" w:cs="Times New Roman" w:eastAsia="Times New Roman" w:hAnsi="Times New Roman"/>
          <w:sz w:val="18"/>
          <w:szCs w:val="18"/>
          <w:color w:val="auto"/>
        </w:rPr>
      </w:pPr>
    </w:p>
    <w:p>
      <w:pPr>
        <w:ind w:left="544" w:right="220" w:hanging="544"/>
        <w:spacing w:after="0" w:line="282" w:lineRule="auto"/>
        <w:tabs>
          <w:tab w:leader="none" w:pos="544"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Linklaters Singapore Pte. Ltd., legal advisers to the Finance Parties in Singapore, substantially in the form distributed to the Original Lenders prior to signing this Agreement.</w:t>
      </w:r>
    </w:p>
    <w:p>
      <w:pPr>
        <w:spacing w:after="0" w:line="306" w:lineRule="exact"/>
        <w:rPr>
          <w:sz w:val="20"/>
          <w:szCs w:val="20"/>
          <w:color w:val="auto"/>
        </w:rPr>
      </w:pPr>
    </w:p>
    <w:p>
      <w:pPr>
        <w:ind w:left="544" w:hanging="544"/>
        <w:spacing w:after="0"/>
        <w:tabs>
          <w:tab w:leader="none" w:pos="544"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documents and evidence</w:t>
      </w:r>
    </w:p>
    <w:p>
      <w:pPr>
        <w:spacing w:after="0" w:line="135" w:lineRule="exact"/>
        <w:rPr>
          <w:sz w:val="20"/>
          <w:szCs w:val="20"/>
          <w:color w:val="auto"/>
        </w:rPr>
      </w:pPr>
    </w:p>
    <w:p>
      <w:pPr>
        <w:ind w:left="544" w:hanging="544"/>
        <w:spacing w:after="0"/>
        <w:tabs>
          <w:tab w:leader="none" w:pos="54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any process agent required to be appointed by any Finance Document has accepted its appointment.</w:t>
      </w:r>
    </w:p>
    <w:p>
      <w:pPr>
        <w:spacing w:after="0" w:line="130" w:lineRule="exact"/>
        <w:rPr>
          <w:rFonts w:ascii="Times New Roman" w:cs="Times New Roman" w:eastAsia="Times New Roman" w:hAnsi="Times New Roman"/>
          <w:sz w:val="18"/>
          <w:szCs w:val="18"/>
          <w:color w:val="auto"/>
        </w:rPr>
      </w:pPr>
    </w:p>
    <w:p>
      <w:pPr>
        <w:ind w:left="544" w:right="440" w:hanging="544"/>
        <w:spacing w:after="0" w:line="266" w:lineRule="auto"/>
        <w:tabs>
          <w:tab w:leader="none" w:pos="54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other Authorisation or other document, opinion or assurance which the Agent considers to be necessary or desirable (if it has notified the Company accordingly) in connection with the entry into and performance of the transactions contemplated by any Finance Document or for the validity and enforceability of any Finance Document.</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Financial Statements.</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Plan.</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Structure Chart.</w:t>
      </w:r>
    </w:p>
    <w:p>
      <w:pPr>
        <w:spacing w:after="0" w:line="130" w:lineRule="exact"/>
        <w:rPr>
          <w:rFonts w:ascii="Times New Roman" w:cs="Times New Roman" w:eastAsia="Times New Roman" w:hAnsi="Times New Roman"/>
          <w:sz w:val="18"/>
          <w:szCs w:val="18"/>
          <w:color w:val="auto"/>
        </w:rPr>
      </w:pPr>
    </w:p>
    <w:p>
      <w:pPr>
        <w:ind w:left="544" w:right="100" w:hanging="544"/>
        <w:spacing w:after="0" w:line="282" w:lineRule="auto"/>
        <w:tabs>
          <w:tab w:leader="none" w:pos="54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satisfactory to the Agent that each Finance Party has carried out and is satisfied with the results of all “know your customer” and other similar procedures that it is required (or deems desirable) to conduct pursuant to the transactions contemplated in the Finance Documents.</w:t>
      </w:r>
    </w:p>
    <w:p>
      <w:pPr>
        <w:spacing w:after="0" w:line="65" w:lineRule="exact"/>
        <w:rPr>
          <w:rFonts w:ascii="Times New Roman" w:cs="Times New Roman" w:eastAsia="Times New Roman" w:hAnsi="Times New Roman"/>
          <w:sz w:val="18"/>
          <w:szCs w:val="18"/>
          <w:color w:val="auto"/>
        </w:rPr>
      </w:pPr>
    </w:p>
    <w:p>
      <w:pPr>
        <w:jc w:val="both"/>
        <w:ind w:left="544" w:right="240" w:hanging="544"/>
        <w:spacing w:after="0" w:line="290" w:lineRule="auto"/>
        <w:tabs>
          <w:tab w:leader="none" w:pos="544" w:val="left"/>
        </w:tabs>
        <w:numPr>
          <w:ilvl w:val="0"/>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that the fees, costs and expenses then due from the Company pursuant to Clause 13 (</w:t>
      </w:r>
      <w:r>
        <w:rPr>
          <w:rFonts w:ascii="Times New Roman" w:cs="Times New Roman" w:eastAsia="Times New Roman" w:hAnsi="Times New Roman"/>
          <w:sz w:val="17"/>
          <w:szCs w:val="17"/>
          <w:i w:val="1"/>
          <w:iCs w:val="1"/>
          <w:color w:val="auto"/>
        </w:rPr>
        <w:t>Fees</w:t>
      </w:r>
      <w:r>
        <w:rPr>
          <w:rFonts w:ascii="Times New Roman" w:cs="Times New Roman" w:eastAsia="Times New Roman" w:hAnsi="Times New Roman"/>
          <w:sz w:val="17"/>
          <w:szCs w:val="17"/>
          <w:color w:val="auto"/>
        </w:rPr>
        <w:t>) and Clause 18 (</w:t>
      </w:r>
      <w:r>
        <w:rPr>
          <w:rFonts w:ascii="Times New Roman" w:cs="Times New Roman" w:eastAsia="Times New Roman" w:hAnsi="Times New Roman"/>
          <w:sz w:val="17"/>
          <w:szCs w:val="17"/>
          <w:i w:val="1"/>
          <w:iCs w:val="1"/>
          <w:color w:val="auto"/>
        </w:rPr>
        <w:t>Costs and expenses</w:t>
      </w:r>
      <w:r>
        <w:rPr>
          <w:rFonts w:ascii="Times New Roman" w:cs="Times New Roman" w:eastAsia="Times New Roman" w:hAnsi="Times New Roman"/>
          <w:sz w:val="17"/>
          <w:szCs w:val="17"/>
          <w:color w:val="auto"/>
        </w:rPr>
        <w:t>) have been paid or will have been paid by the Initial Utilisation Date (which evidence can be, for the avoidance of doubt, a duly executed Utilisation Request authorising the Agent to deduct any such fees, costs and expenses from the proceeds of Utilisation on the Initial Utilisation Date).</w:t>
      </w:r>
    </w:p>
    <w:p>
      <w:pPr>
        <w:spacing w:after="0" w:line="62" w:lineRule="exact"/>
        <w:rPr>
          <w:rFonts w:ascii="Times New Roman" w:cs="Times New Roman" w:eastAsia="Times New Roman" w:hAnsi="Times New Roman"/>
          <w:sz w:val="17"/>
          <w:szCs w:val="17"/>
          <w:color w:val="auto"/>
        </w:rPr>
      </w:pPr>
    </w:p>
    <w:p>
      <w:pPr>
        <w:ind w:left="544" w:right="140" w:hanging="544"/>
        <w:spacing w:after="0" w:line="258" w:lineRule="auto"/>
        <w:tabs>
          <w:tab w:leader="none" w:pos="54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each of the Interest Reserve Accounts has been opened and the applicable Interest Reserve Amount as at the Initial Utilisation Date (assuming all the Utilisations proposed to be made on that day has been made) has been or will have been deposited into the applicable Interest Reserve Account by the Initial Utilisation Date (which evidence can be, for the avoidance of doubt, a duly executed Utilisation Request authorising the Agent to transfer such Interest Reserve Amount to the applicable Interest Reserve Account from the proceeds of Utilisation on the Initial Utilisation Date).</w:t>
      </w:r>
    </w:p>
    <w:p>
      <w:pPr>
        <w:spacing w:after="0" w:line="88" w:lineRule="exact"/>
        <w:rPr>
          <w:rFonts w:ascii="Times New Roman" w:cs="Times New Roman" w:eastAsia="Times New Roman" w:hAnsi="Times New Roman"/>
          <w:sz w:val="18"/>
          <w:szCs w:val="18"/>
          <w:color w:val="auto"/>
        </w:rPr>
      </w:pPr>
    </w:p>
    <w:p>
      <w:pPr>
        <w:ind w:left="544" w:right="140" w:hanging="544"/>
        <w:spacing w:after="0" w:line="282" w:lineRule="auto"/>
        <w:tabs>
          <w:tab w:leader="none" w:pos="54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any governmental, regulatory approval, consent, filing and registration required for the Facilities has been obtained or completed, including the NDRC Registration Certificate.</w:t>
      </w:r>
    </w:p>
    <w:p>
      <w:pPr>
        <w:spacing w:after="0" w:line="94"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24"/>
          </w:cols>
          <w:pgMar w:left="436" w:top="270" w:right="439" w:bottom="1440" w:gutter="0" w:footer="0" w:header="0"/>
        </w:sectPr>
      </w:pPr>
    </w:p>
    <w:bookmarkStart w:id="176" w:name="page177"/>
    <w:bookmarkEnd w:id="17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EQUESTS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TILISATION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EQUEST</w:t>
      </w:r>
    </w:p>
    <w:p>
      <w:pPr>
        <w:spacing w:after="0" w:line="256"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8"/>
          <w:szCs w:val="18"/>
          <w:color w:val="auto"/>
        </w:rPr>
        <w:t>Polestar Automotive Holding UK PLC</w:t>
      </w:r>
    </w:p>
    <w:p>
      <w:pPr>
        <w:spacing w:after="0" w:line="252"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[Agent]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Polestar Automotive Holding UK PLC –Facilities Agreement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-19050</wp:posOffset>
            </wp:positionV>
            <wp:extent cx="4572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14" w:lineRule="exact"/>
        <w:rPr>
          <w:sz w:val="20"/>
          <w:szCs w:val="20"/>
          <w:color w:val="auto"/>
        </w:rPr>
      </w:pPr>
    </w:p>
    <w:p>
      <w:pPr>
        <w:ind w:left="544" w:right="380" w:hanging="544"/>
        <w:spacing w:after="0" w:line="282" w:lineRule="auto"/>
        <w:tabs>
          <w:tab w:leader="none" w:pos="544"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wish to borrow a Loan on the following terms:</w:t>
      </w:r>
    </w:p>
    <w:p>
      <w:pPr>
        <w:spacing w:after="0" w:line="252" w:lineRule="exact"/>
        <w:rPr>
          <w:sz w:val="20"/>
          <w:szCs w:val="20"/>
          <w:color w:val="auto"/>
        </w:rPr>
      </w:pPr>
    </w:p>
    <w:tbl>
      <w:tblPr>
        <w:tblLayout w:type="fixed"/>
        <w:tblInd w:w="544"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536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[Facility A/Facility B]</w:t>
            </w:r>
          </w:p>
        </w:tc>
      </w:tr>
      <w:tr>
        <w:trPr>
          <w:trHeight w:val="297"/>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Proposed Utilisation Date:</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   ] (or, if that is not a Business Day, the next Business Day)</w:t>
            </w:r>
          </w:p>
        </w:tc>
      </w:tr>
      <w:tr>
        <w:trPr>
          <w:trHeight w:val="20"/>
        </w:trPr>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31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Currency of Loan:</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4160" w:type="dxa"/>
            <w:vAlign w:val="bottom"/>
          </w:tcPr>
          <w:p>
            <w:pPr>
              <w:jc w:val="right"/>
              <w:ind w:right="40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30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Amount:</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or, if less, the Available Facility</w:t>
            </w:r>
          </w:p>
        </w:tc>
      </w:tr>
      <w:tr>
        <w:trPr>
          <w:trHeight w:val="20"/>
        </w:trPr>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30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Interest Period:</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4160" w:type="dxa"/>
            <w:vAlign w:val="bottom"/>
          </w:tcPr>
          <w:p>
            <w:pPr>
              <w:jc w:val="right"/>
              <w:ind w:right="40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128" w:lineRule="exact"/>
        <w:rPr>
          <w:sz w:val="20"/>
          <w:szCs w:val="20"/>
          <w:color w:val="auto"/>
        </w:rPr>
      </w:pPr>
    </w:p>
    <w:p>
      <w:pPr>
        <w:ind w:left="544" w:right="20" w:hanging="544"/>
        <w:spacing w:after="0" w:line="284" w:lineRule="auto"/>
        <w:tabs>
          <w:tab w:leader="none" w:pos="544"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each condition specified in Clause 4.2 (</w:t>
      </w:r>
      <w:r>
        <w:rPr>
          <w:rFonts w:ascii="Times New Roman" w:cs="Times New Roman" w:eastAsia="Times New Roman" w:hAnsi="Times New Roman"/>
          <w:sz w:val="18"/>
          <w:szCs w:val="18"/>
          <w:i w:val="1"/>
          <w:iCs w:val="1"/>
          <w:color w:val="auto"/>
        </w:rPr>
        <w:t>Further conditions precedent</w:t>
      </w:r>
      <w:r>
        <w:rPr>
          <w:rFonts w:ascii="Times New Roman" w:cs="Times New Roman" w:eastAsia="Times New Roman" w:hAnsi="Times New Roman"/>
          <w:sz w:val="18"/>
          <w:szCs w:val="18"/>
          <w:color w:val="auto"/>
        </w:rPr>
        <w:t>) of the Agreement is satisfied on the date of this Utilisation Request.</w:t>
      </w:r>
    </w:p>
    <w:p>
      <w:pPr>
        <w:spacing w:after="0" w:line="65" w:lineRule="exact"/>
        <w:rPr>
          <w:rFonts w:ascii="Times New Roman" w:cs="Times New Roman" w:eastAsia="Times New Roman" w:hAnsi="Times New Roman"/>
          <w:sz w:val="18"/>
          <w:szCs w:val="18"/>
          <w:color w:val="auto"/>
        </w:rPr>
      </w:pPr>
    </w:p>
    <w:p>
      <w:pPr>
        <w:ind w:left="544" w:right="180" w:hanging="544"/>
        <w:spacing w:after="0" w:line="282" w:lineRule="auto"/>
        <w:tabs>
          <w:tab w:leader="none" w:pos="544"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authorise you to deduct an amount of [•] from the Loan for the purposes of paying the Finance Parties’ fees, costs and expenses due on the proposed Utilisation Date.]</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authorise you to transfer an amount of [•] from the Loan to each of the [Interest Reserve Account.]</w:t>
      </w:r>
    </w:p>
    <w:p>
      <w:pPr>
        <w:spacing w:after="0" w:line="12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deduction and/or transfer referred to in paragraphs [•], the remaining proceeds of this Loan should be credited to [</w:t>
      </w:r>
      <w:r>
        <w:rPr>
          <w:rFonts w:ascii="Times New Roman" w:cs="Times New Roman" w:eastAsia="Times New Roman" w:hAnsi="Times New Roman"/>
          <w:sz w:val="18"/>
          <w:szCs w:val="18"/>
          <w:i w:val="1"/>
          <w:iCs w:val="1"/>
          <w:color w:val="auto"/>
        </w:rPr>
        <w:t>account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Utilisation Request is irrevocable.</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8540" w:type="dxa"/>
            <w:vAlign w:val="bottom"/>
          </w:tcPr>
          <w:p>
            <w:pPr>
              <w:jc w:val="center"/>
              <w:ind w:right="2390"/>
              <w:spacing w:after="0"/>
              <w:rPr>
                <w:sz w:val="20"/>
                <w:szCs w:val="20"/>
                <w:color w:val="auto"/>
              </w:rPr>
            </w:pPr>
            <w:r>
              <w:rPr>
                <w:rFonts w:ascii="Times New Roman" w:cs="Times New Roman" w:eastAsia="Times New Roman" w:hAnsi="Times New Roman"/>
                <w:sz w:val="18"/>
                <w:szCs w:val="18"/>
                <w:color w:val="auto"/>
                <w:w w:val="98"/>
              </w:rPr>
              <w:t>Yours faithfully</w:t>
            </w:r>
          </w:p>
        </w:tc>
      </w:tr>
      <w:tr>
        <w:trPr>
          <w:trHeight w:val="675"/>
        </w:trPr>
        <w:tc>
          <w:tcPr>
            <w:tcW w:w="2480" w:type="dxa"/>
            <w:vAlign w:val="bottom"/>
          </w:tcPr>
          <w:p>
            <w:pPr>
              <w:spacing w:after="0"/>
              <w:rPr>
                <w:sz w:val="24"/>
                <w:szCs w:val="24"/>
                <w:color w:val="auto"/>
              </w:rPr>
            </w:pPr>
          </w:p>
        </w:tc>
        <w:tc>
          <w:tcPr>
            <w:tcW w:w="8540" w:type="dxa"/>
            <w:vAlign w:val="bottom"/>
          </w:tcPr>
          <w:p>
            <w:pPr>
              <w:jc w:val="center"/>
              <w:ind w:right="2390"/>
              <w:spacing w:after="0"/>
              <w:rPr>
                <w:sz w:val="20"/>
                <w:szCs w:val="20"/>
                <w:color w:val="auto"/>
              </w:rPr>
            </w:pPr>
            <w:r>
              <w:rPr>
                <w:rFonts w:ascii="Times New Roman" w:cs="Times New Roman" w:eastAsia="Times New Roman" w:hAnsi="Times New Roman"/>
                <w:sz w:val="18"/>
                <w:szCs w:val="18"/>
                <w:color w:val="auto"/>
                <w:w w:val="99"/>
              </w:rPr>
              <w:t>…………………………………</w:t>
            </w:r>
          </w:p>
        </w:tc>
      </w:tr>
      <w:tr>
        <w:trPr>
          <w:trHeight w:val="414"/>
        </w:trPr>
        <w:tc>
          <w:tcPr>
            <w:tcW w:w="2480" w:type="dxa"/>
            <w:vAlign w:val="bottom"/>
          </w:tcPr>
          <w:p>
            <w:pPr>
              <w:spacing w:after="0"/>
              <w:rPr>
                <w:sz w:val="24"/>
                <w:szCs w:val="24"/>
                <w:color w:val="auto"/>
              </w:rPr>
            </w:pPr>
          </w:p>
        </w:tc>
        <w:tc>
          <w:tcPr>
            <w:tcW w:w="8540" w:type="dxa"/>
            <w:vAlign w:val="bottom"/>
          </w:tcPr>
          <w:p>
            <w:pPr>
              <w:jc w:val="center"/>
              <w:ind w:right="2410"/>
              <w:spacing w:after="0"/>
              <w:rPr>
                <w:sz w:val="20"/>
                <w:szCs w:val="20"/>
                <w:color w:val="auto"/>
              </w:rPr>
            </w:pPr>
            <w:r>
              <w:rPr>
                <w:rFonts w:ascii="Times New Roman" w:cs="Times New Roman" w:eastAsia="Times New Roman" w:hAnsi="Times New Roman"/>
                <w:sz w:val="18"/>
                <w:szCs w:val="18"/>
                <w:color w:val="auto"/>
                <w:w w:val="99"/>
              </w:rPr>
              <w:t>authorised signatory for</w:t>
            </w:r>
          </w:p>
        </w:tc>
      </w:tr>
      <w:tr>
        <w:trPr>
          <w:trHeight w:val="234"/>
        </w:trPr>
        <w:tc>
          <w:tcPr>
            <w:tcW w:w="2480" w:type="dxa"/>
            <w:vAlign w:val="bottom"/>
          </w:tcPr>
          <w:p>
            <w:pPr>
              <w:spacing w:after="0"/>
              <w:rPr>
                <w:sz w:val="20"/>
                <w:szCs w:val="20"/>
                <w:color w:val="auto"/>
              </w:rPr>
            </w:pPr>
          </w:p>
        </w:tc>
        <w:tc>
          <w:tcPr>
            <w:tcW w:w="8540" w:type="dxa"/>
            <w:vAlign w:val="bottom"/>
          </w:tcPr>
          <w:p>
            <w:pPr>
              <w:jc w:val="center"/>
              <w:ind w:right="2410"/>
              <w:spacing w:after="0"/>
              <w:rPr>
                <w:sz w:val="20"/>
                <w:szCs w:val="20"/>
                <w:color w:val="auto"/>
              </w:rPr>
            </w:pPr>
            <w:r>
              <w:rPr>
                <w:rFonts w:ascii="Times New Roman" w:cs="Times New Roman" w:eastAsia="Times New Roman" w:hAnsi="Times New Roman"/>
                <w:sz w:val="18"/>
                <w:szCs w:val="18"/>
                <w:color w:val="auto"/>
                <w:w w:val="99"/>
              </w:rPr>
              <w:t>Polestar Automotive Holding UK PLC</w:t>
            </w:r>
          </w:p>
        </w:tc>
      </w:tr>
      <w:tr>
        <w:trPr>
          <w:trHeight w:val="365"/>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A53429063</w:t>
            </w:r>
          </w:p>
        </w:tc>
        <w:tc>
          <w:tcPr>
            <w:tcW w:w="8540" w:type="dxa"/>
            <w:vAlign w:val="bottom"/>
          </w:tcPr>
          <w:p>
            <w:pPr>
              <w:ind w:left="6400"/>
              <w:spacing w:after="0"/>
              <w:rPr>
                <w:sz w:val="20"/>
                <w:szCs w:val="20"/>
                <w:color w:val="auto"/>
              </w:rPr>
            </w:pPr>
            <w:r>
              <w:rPr>
                <w:rFonts w:ascii="Times New Roman" w:cs="Times New Roman" w:eastAsia="Times New Roman" w:hAnsi="Times New Roman"/>
                <w:sz w:val="18"/>
                <w:szCs w:val="18"/>
                <w:color w:val="auto"/>
                <w:w w:val="99"/>
              </w:rPr>
              <w:t>Polestar Facilities Agreement</w:t>
            </w:r>
          </w:p>
        </w:tc>
      </w:tr>
      <w:tr>
        <w:trPr>
          <w:trHeight w:val="432"/>
        </w:trPr>
        <w:tc>
          <w:tcPr>
            <w:tcW w:w="2480" w:type="dxa"/>
            <w:vAlign w:val="bottom"/>
          </w:tcPr>
          <w:p>
            <w:pPr>
              <w:spacing w:after="0"/>
              <w:rPr>
                <w:sz w:val="24"/>
                <w:szCs w:val="24"/>
                <w:color w:val="auto"/>
              </w:rPr>
            </w:pPr>
          </w:p>
        </w:tc>
        <w:tc>
          <w:tcPr>
            <w:tcW w:w="8540" w:type="dxa"/>
            <w:vAlign w:val="bottom"/>
          </w:tcPr>
          <w:p>
            <w:pPr>
              <w:jc w:val="right"/>
              <w:ind w:right="5290"/>
              <w:spacing w:after="0"/>
              <w:rPr>
                <w:sz w:val="20"/>
                <w:szCs w:val="20"/>
                <w:color w:val="auto"/>
              </w:rPr>
            </w:pPr>
            <w:r>
              <w:rPr>
                <w:rFonts w:ascii="Times New Roman" w:cs="Times New Roman" w:eastAsia="Times New Roman" w:hAnsi="Times New Roman"/>
                <w:sz w:val="18"/>
                <w:szCs w:val="18"/>
                <w:color w:val="auto"/>
              </w:rPr>
              <w:t>169</w:t>
            </w:r>
          </w:p>
        </w:tc>
      </w:tr>
    </w:tbl>
    <w:p>
      <w:pPr>
        <w:sectPr>
          <w:pgSz w:w="11900" w:h="16838" w:orient="portrait"/>
          <w:cols w:equalWidth="0" w:num="1">
            <w:col w:w="11024"/>
          </w:cols>
          <w:pgMar w:left="436" w:top="266" w:right="439" w:bottom="1440" w:gutter="0" w:footer="0" w:header="0"/>
        </w:sectPr>
      </w:pPr>
    </w:p>
    <w:bookmarkStart w:id="177" w:name="page178"/>
    <w:bookmarkEnd w:id="177"/>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ELECTION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ectPr>
          <w:pgSz w:w="11900" w:h="16838" w:orient="portrait"/>
          <w:cols w:equalWidth="0" w:num="1">
            <w:col w:w="11024"/>
          </w:cols>
          <w:pgMar w:left="436" w:top="266" w:right="439" w:bottom="1440" w:gutter="0" w:footer="0" w:header="0"/>
        </w:sectPr>
      </w:pP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Polestar Automotive Holding UK PLC</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1064" w:lineRule="exact"/>
        <w:rPr>
          <w:sz w:val="20"/>
          <w:szCs w:val="20"/>
          <w:color w:val="auto"/>
        </w:rPr>
      </w:pPr>
    </w:p>
    <w:p>
      <w:pPr>
        <w:sectPr>
          <w:pgSz w:w="11900" w:h="16838" w:orient="portrait"/>
          <w:cols w:equalWidth="0" w:num="2">
            <w:col w:w="684" w:space="300"/>
            <w:col w:w="10040"/>
          </w:cols>
          <w:pgMar w:left="436" w:top="266" w:right="439" w:bottom="1440" w:gutter="0" w:footer="0" w:header="0"/>
          <w:type w:val="continuous"/>
        </w:sect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Polestar Automotive Holding UK PLC –Facilities Agreement dated [            ]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4449445</wp:posOffset>
            </wp:positionH>
            <wp:positionV relativeFrom="paragraph">
              <wp:posOffset>-5080</wp:posOffset>
            </wp:positionV>
            <wp:extent cx="4572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36" w:lineRule="exact"/>
        <w:rPr>
          <w:sz w:val="20"/>
          <w:szCs w:val="20"/>
          <w:color w:val="auto"/>
        </w:rPr>
      </w:pPr>
    </w:p>
    <w:p>
      <w:pPr>
        <w:ind w:left="544" w:right="260" w:hanging="544"/>
        <w:spacing w:after="0" w:line="282" w:lineRule="auto"/>
        <w:tabs>
          <w:tab w:leader="none" w:pos="544"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Agreement. This is a Selection Notice. Terms defined in the Agreement have the same meaning in this Selection Notice unless given a different meaning in this Selection Notice.</w:t>
      </w:r>
    </w:p>
    <w:tbl>
      <w:tblPr>
        <w:tblLayout w:type="fixed"/>
        <w:tblInd w:w="4" w:type="dxa"/>
        <w:tblCellMar>
          <w:top w:w="0" w:type="dxa"/>
          <w:left w:w="0" w:type="dxa"/>
          <w:bottom w:w="0" w:type="dxa"/>
          <w:right w:w="0" w:type="dxa"/>
        </w:tblCellMar>
      </w:tblPr>
      <w:tr>
        <w:trPr>
          <w:trHeight w:val="261"/>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2.</w:t>
            </w:r>
          </w:p>
        </w:tc>
        <w:tc>
          <w:tcPr>
            <w:tcW w:w="7640" w:type="dxa"/>
            <w:vAlign w:val="bottom"/>
            <w:gridSpan w:val="5"/>
          </w:tcPr>
          <w:p>
            <w:pPr>
              <w:ind w:left="200"/>
              <w:spacing w:after="0" w:line="261" w:lineRule="exact"/>
              <w:rPr>
                <w:sz w:val="20"/>
                <w:szCs w:val="20"/>
                <w:color w:val="auto"/>
              </w:rPr>
            </w:pPr>
            <w:r>
              <w:rPr>
                <w:rFonts w:ascii="Times New Roman" w:cs="Times New Roman" w:eastAsia="Times New Roman" w:hAnsi="Times New Roman"/>
                <w:sz w:val="18"/>
                <w:szCs w:val="18"/>
                <w:color w:val="auto"/>
                <w:w w:val="99"/>
              </w:rPr>
              <w:t>We refer to the following Loan[s] in [identify currency] with an Interest Period ending on [            ].</w:t>
            </w:r>
            <w:r>
              <w:rPr>
                <w:rFonts w:ascii="Times New Roman" w:cs="Times New Roman" w:eastAsia="Times New Roman" w:hAnsi="Times New Roman"/>
                <w:sz w:val="26"/>
                <w:szCs w:val="26"/>
                <w:color w:val="auto"/>
                <w:w w:val="99"/>
                <w:vertAlign w:val="superscript"/>
              </w:rPr>
              <w:t>1</w:t>
            </w:r>
          </w:p>
        </w:tc>
      </w:tr>
      <w:tr>
        <w:trPr>
          <w:trHeight w:val="317"/>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3.</w:t>
            </w:r>
          </w:p>
        </w:tc>
        <w:tc>
          <w:tcPr>
            <w:tcW w:w="67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We request that the next Interest Period for the above Loan[s] is [            ]</w:t>
            </w: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28" w:lineRule="exact"/>
        <w:rPr>
          <w:sz w:val="20"/>
          <w:szCs w:val="20"/>
          <w:color w:val="auto"/>
        </w:rPr>
      </w:pPr>
    </w:p>
    <w:p>
      <w:pPr>
        <w:ind w:left="544" w:hanging="544"/>
        <w:spacing w:after="0"/>
        <w:tabs>
          <w:tab w:leader="none" w:pos="544"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request that the Loan be divided into [</w:t>
      </w:r>
      <w:r>
        <w:rPr>
          <w:rFonts w:ascii="Times New Roman" w:cs="Times New Roman" w:eastAsia="Times New Roman" w:hAnsi="Times New Roman"/>
          <w:sz w:val="18"/>
          <w:szCs w:val="18"/>
          <w:i w:val="1"/>
          <w:iCs w:val="1"/>
          <w:color w:val="auto"/>
        </w:rPr>
        <w:t>insert number</w:t>
      </w:r>
      <w:r>
        <w:rPr>
          <w:rFonts w:ascii="Times New Roman" w:cs="Times New Roman" w:eastAsia="Times New Roman" w:hAnsi="Times New Roman"/>
          <w:sz w:val="18"/>
          <w:szCs w:val="18"/>
          <w:color w:val="auto"/>
        </w:rPr>
        <w:t>] Loans under [</w:t>
      </w:r>
      <w:r>
        <w:rPr>
          <w:rFonts w:ascii="Times New Roman" w:cs="Times New Roman" w:eastAsia="Times New Roman" w:hAnsi="Times New Roman"/>
          <w:sz w:val="18"/>
          <w:szCs w:val="18"/>
          <w:i w:val="1"/>
          <w:iCs w:val="1"/>
          <w:color w:val="auto"/>
        </w:rPr>
        <w:t>insert the Facility under which the Loan is originally drawn</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Selection Notice is irrevocable.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68" w:lineRule="exact"/>
        <w:rPr>
          <w:sz w:val="20"/>
          <w:szCs w:val="20"/>
          <w:color w:val="auto"/>
        </w:rPr>
      </w:pPr>
    </w:p>
    <w:p>
      <w:pPr>
        <w:ind w:left="434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authorised signatory for</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544" w:hanging="544"/>
        <w:spacing w:after="0"/>
        <w:tabs>
          <w:tab w:leader="none" w:pos="544" w:val="left"/>
        </w:tabs>
        <w:numPr>
          <w:ilvl w:val="0"/>
          <w:numId w:val="50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details of all Loans in the same currency which have an Interest Period ending on the same date.</w:t>
      </w:r>
    </w:p>
    <w:p>
      <w:pPr>
        <w:spacing w:after="0" w:line="130"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24"/>
          </w:cols>
          <w:pgMar w:left="436" w:top="266" w:right="439" w:bottom="1440" w:gutter="0" w:footer="0" w:header="0"/>
          <w:type w:val="continuous"/>
        </w:sectPr>
      </w:pPr>
    </w:p>
    <w:bookmarkStart w:id="178" w:name="page179"/>
    <w:bookmarkEnd w:id="17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w:t>
      </w:r>
    </w:p>
    <w:p>
      <w:pPr>
        <w:spacing w:after="0" w:line="256"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[Agent]</w:t>
      </w:r>
    </w:p>
    <w:p>
      <w:pPr>
        <w:spacing w:after="0" w:line="248"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8"/>
          <w:szCs w:val="18"/>
          <w:color w:val="auto"/>
        </w:rPr>
        <w:t>[            ]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and [            ]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-5080</wp:posOffset>
            </wp:positionV>
            <wp:extent cx="4572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-5080</wp:posOffset>
            </wp:positionV>
            <wp:extent cx="4572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Polestar Automotive Holding UK PLC –Facilities Agreement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4449445</wp:posOffset>
            </wp:positionH>
            <wp:positionV relativeFrom="paragraph">
              <wp:posOffset>-5080</wp:posOffset>
            </wp:positionV>
            <wp:extent cx="4572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36" w:lineRule="exact"/>
        <w:rPr>
          <w:sz w:val="20"/>
          <w:szCs w:val="20"/>
          <w:color w:val="auto"/>
        </w:rPr>
      </w:pPr>
    </w:p>
    <w:p>
      <w:pPr>
        <w:ind w:left="544" w:right="340" w:hanging="544"/>
        <w:spacing w:after="0" w:line="282" w:lineRule="auto"/>
        <w:tabs>
          <w:tab w:leader="none" w:pos="544"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Agreement. This is a Transfer Certificate. Terms defined in the Agreement have the same meaning in this Transfer Certificate unless given a different meaning in this Transfer Certificate.</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of the Agreement:</w:t>
      </w:r>
    </w:p>
    <w:p>
      <w:pPr>
        <w:spacing w:after="0" w:line="133" w:lineRule="exact"/>
        <w:rPr>
          <w:sz w:val="20"/>
          <w:szCs w:val="20"/>
          <w:color w:val="auto"/>
        </w:rPr>
      </w:pPr>
    </w:p>
    <w:p>
      <w:pPr>
        <w:ind w:left="544" w:right="340" w:hanging="544"/>
        <w:spacing w:after="0" w:line="261" w:lineRule="auto"/>
        <w:tabs>
          <w:tab w:leader="none" w:pos="544"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and the New Lender agree to the Existing Lender transferring to the New Lender by novation, and in accordance with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of the Agreement, all of the Existing Lender’s rights and obligations under the Agreement and the other Finance Documents which relate to that portion of the Existing Lender’s Commitment and participations in Loans under the Agreement as specified in Schedule 1.</w:t>
      </w:r>
    </w:p>
    <w:p>
      <w:pPr>
        <w:spacing w:after="0" w:line="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Date is [            ].</w:t>
      </w:r>
    </w:p>
    <w:p>
      <w:pPr>
        <w:spacing w:after="0" w:line="128" w:lineRule="exact"/>
        <w:rPr>
          <w:rFonts w:ascii="Times New Roman" w:cs="Times New Roman" w:eastAsia="Times New Roman" w:hAnsi="Times New Roman"/>
          <w:sz w:val="18"/>
          <w:szCs w:val="18"/>
          <w:color w:val="auto"/>
        </w:rPr>
      </w:pPr>
    </w:p>
    <w:p>
      <w:pPr>
        <w:ind w:left="544" w:right="220" w:hanging="544"/>
        <w:spacing w:after="0" w:line="284" w:lineRule="auto"/>
        <w:tabs>
          <w:tab w:leader="none" w:pos="544"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Office and address, fax number and attention details for notices of the New Lender for the purposes of Clause 34.2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of the Agreement are set out in the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-400685</wp:posOffset>
            </wp:positionV>
            <wp:extent cx="4572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44" w:lineRule="exact"/>
        <w:rPr>
          <w:sz w:val="20"/>
          <w:szCs w:val="20"/>
          <w:color w:val="auto"/>
        </w:rPr>
      </w:pPr>
    </w:p>
    <w:p>
      <w:pPr>
        <w:ind w:left="544" w:right="80" w:hanging="544"/>
        <w:spacing w:after="0" w:line="284" w:lineRule="auto"/>
        <w:tabs>
          <w:tab w:leader="none" w:pos="544"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expressly acknowledges the limitations on the Existing Lender’s obligations set out in paragraph (c) of Clause 25.4 (</w:t>
      </w:r>
      <w:r>
        <w:rPr>
          <w:rFonts w:ascii="Times New Roman" w:cs="Times New Roman" w:eastAsia="Times New Roman" w:hAnsi="Times New Roman"/>
          <w:sz w:val="18"/>
          <w:szCs w:val="18"/>
          <w:i w:val="1"/>
          <w:iCs w:val="1"/>
          <w:color w:val="auto"/>
        </w:rPr>
        <w:t>Limitation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responsibility of Existing Lenders</w:t>
      </w:r>
      <w:r>
        <w:rPr>
          <w:rFonts w:ascii="Times New Roman" w:cs="Times New Roman" w:eastAsia="Times New Roman" w:hAnsi="Times New Roman"/>
          <w:sz w:val="18"/>
          <w:szCs w:val="18"/>
          <w:color w:val="auto"/>
        </w:rPr>
        <w:t>) of the Agreement.</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for the benefit of the Agent and without liability to any Obligor, that it is: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Lender (other than a Treaty Lender or a QPP Lender);]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Treaty Lender;]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QPP Lender;]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Qualifying Lender].</w:t>
      </w:r>
      <w:r>
        <w:rPr>
          <w:rFonts w:ascii="Times New Roman" w:cs="Times New Roman" w:eastAsia="Times New Roman" w:hAnsi="Times New Roman"/>
          <w:sz w:val="26"/>
          <w:szCs w:val="26"/>
          <w:color w:val="auto"/>
          <w:vertAlign w:val="superscript"/>
        </w:rPr>
        <w:t>2</w:t>
      </w:r>
    </w:p>
    <w:p>
      <w:pPr>
        <w:spacing w:after="0" w:line="58" w:lineRule="exact"/>
        <w:rPr>
          <w:rFonts w:ascii="Times New Roman" w:cs="Times New Roman" w:eastAsia="Times New Roman" w:hAnsi="Times New Roman"/>
          <w:sz w:val="18"/>
          <w:szCs w:val="18"/>
          <w:color w:val="auto"/>
        </w:rPr>
      </w:pPr>
    </w:p>
    <w:p>
      <w:pPr>
        <w:ind w:left="544" w:right="540" w:hanging="544"/>
        <w:spacing w:after="0" w:line="258" w:lineRule="auto"/>
        <w:tabs>
          <w:tab w:leader="none" w:pos="544"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the person beneficially entitled to interest payable to that Lender in respect of an advance under a Finance Document is either:</w:t>
      </w:r>
    </w:p>
    <w:p>
      <w:pPr>
        <w:spacing w:after="0" w:line="88"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in the United Kingdom for United Kingdom tax purposes;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so resident in the United Kingdom; or</w:t>
      </w:r>
    </w:p>
    <w:p>
      <w:pPr>
        <w:spacing w:after="0" w:line="130" w:lineRule="exact"/>
        <w:rPr>
          <w:rFonts w:ascii="Times New Roman" w:cs="Times New Roman" w:eastAsia="Times New Roman" w:hAnsi="Times New Roman"/>
          <w:sz w:val="18"/>
          <w:szCs w:val="18"/>
          <w:color w:val="auto"/>
        </w:rPr>
      </w:pPr>
    </w:p>
    <w:p>
      <w:pPr>
        <w:ind w:left="1744" w:right="160" w:hanging="543"/>
        <w:spacing w:after="0" w:line="266" w:lineRule="auto"/>
        <w:tabs>
          <w:tab w:leader="none" w:pos="1744" w:val="left"/>
        </w:tabs>
        <w:numPr>
          <w:ilvl w:val="2"/>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3" w:lineRule="exact"/>
        <w:rPr>
          <w:sz w:val="20"/>
          <w:szCs w:val="20"/>
          <w:color w:val="auto"/>
        </w:rPr>
      </w:pPr>
    </w:p>
    <w:p>
      <w:pPr>
        <w:ind w:left="544" w:hanging="544"/>
        <w:spacing w:after="0"/>
        <w:tabs>
          <w:tab w:leader="none" w:pos="544" w:val="left"/>
        </w:tabs>
        <w:numPr>
          <w:ilvl w:val="0"/>
          <w:numId w:val="5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Delete as applicable – each New Lender is required to confirm which of these three categories it falls within.</w:t>
      </w:r>
    </w:p>
    <w:p>
      <w:pPr>
        <w:spacing w:after="0" w:line="130"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24"/>
          </w:cols>
          <w:pgMar w:left="436" w:top="266" w:right="439" w:bottom="1440" w:gutter="0" w:footer="0" w:header="0"/>
        </w:sectPr>
      </w:pPr>
    </w:p>
    <w:bookmarkStart w:id="179" w:name="page180"/>
    <w:bookmarkEnd w:id="179"/>
    <w:p>
      <w:pPr>
        <w:ind w:left="1184" w:right="200" w:hanging="644"/>
        <w:spacing w:after="0" w:line="265" w:lineRule="auto"/>
        <w:tabs>
          <w:tab w:leader="none" w:pos="1184"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r>
        <w:rPr>
          <w:rFonts w:ascii="Times New Roman" w:cs="Times New Roman" w:eastAsia="Times New Roman" w:hAnsi="Times New Roman"/>
          <w:sz w:val="26"/>
          <w:szCs w:val="26"/>
          <w:color w:val="auto"/>
          <w:vertAlign w:val="superscript"/>
        </w:rPr>
        <w:t>3</w:t>
      </w:r>
    </w:p>
    <w:p>
      <w:pPr>
        <w:spacing w:after="0" w:line="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provides a QPP Certificate in the form set out Schedule 2.]</w:t>
      </w:r>
      <w:r>
        <w:rPr>
          <w:rFonts w:ascii="Times New Roman" w:cs="Times New Roman" w:eastAsia="Times New Roman" w:hAnsi="Times New Roman"/>
          <w:sz w:val="26"/>
          <w:szCs w:val="26"/>
          <w:color w:val="auto"/>
          <w:vertAlign w:val="superscript"/>
        </w:rPr>
        <w:t>4</w:t>
      </w:r>
    </w:p>
    <w:p>
      <w:pPr>
        <w:spacing w:after="0" w:line="3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holds a passport under the HMRC DT Treaty Passport scheme (reference number [ ]) and is tax resident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5694680</wp:posOffset>
            </wp:positionH>
            <wp:positionV relativeFrom="paragraph">
              <wp:posOffset>-20320</wp:posOffset>
            </wp:positionV>
            <wp:extent cx="285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544" w:right="240"/>
        <w:spacing w:after="0" w:line="222"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so that interest payable to it by borrowers is generally subject to full exemption from UK withholding tax, and that it wishes that scheme to apply to the Agreement.]</w:t>
      </w:r>
      <w:r>
        <w:rPr>
          <w:rFonts w:ascii="Times New Roman" w:cs="Times New Roman" w:eastAsia="Times New Roman" w:hAnsi="Times New Roman"/>
          <w:sz w:val="26"/>
          <w:szCs w:val="26"/>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-239395</wp:posOffset>
            </wp:positionV>
            <wp:extent cx="4572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544" w:hanging="544"/>
        <w:spacing w:after="0"/>
        <w:tabs>
          <w:tab w:leader="none" w:pos="544"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[is]/[is not] a Sponsor Affiliate.</w:t>
      </w:r>
    </w:p>
    <w:p>
      <w:pPr>
        <w:spacing w:after="0" w:line="1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[is]/[is not] a Distressed Investor, and [is]/[is not] a Competitor.]</w:t>
      </w:r>
      <w:r>
        <w:rPr>
          <w:rFonts w:ascii="Times New Roman" w:cs="Times New Roman" w:eastAsia="Times New Roman" w:hAnsi="Times New Roman"/>
          <w:sz w:val="26"/>
          <w:szCs w:val="26"/>
          <w:color w:val="auto"/>
          <w:vertAlign w:val="superscript"/>
        </w:rPr>
        <w:t>7</w:t>
      </w:r>
    </w:p>
    <w:p>
      <w:pPr>
        <w:spacing w:after="0" w:line="5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its jurisdiction of incorporation is [            ].</w:t>
      </w:r>
    </w:p>
    <w:p>
      <w:pPr>
        <w:spacing w:after="0" w:line="110" w:lineRule="exact"/>
        <w:rPr>
          <w:rFonts w:ascii="Times New Roman" w:cs="Times New Roman" w:eastAsia="Times New Roman" w:hAnsi="Times New Roman"/>
          <w:sz w:val="18"/>
          <w:szCs w:val="18"/>
          <w:color w:val="auto"/>
        </w:rPr>
      </w:pPr>
    </w:p>
    <w:p>
      <w:pPr>
        <w:ind w:left="544" w:right="20" w:hanging="544"/>
        <w:spacing w:after="0" w:line="282" w:lineRule="auto"/>
        <w:tabs>
          <w:tab w:leader="none" w:pos="544"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Transfer Certificate may be executed in any number of counterparts and this has the same effect as if the signatures on the counterparts were on a single copy of this Transfer Certificate.</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Transfer Certificate and any non-contractual obligations arising out of or in connection with it are governed by English law.</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Transfer Certificate has been entered into on the date stated at the beginning of this Transfer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544" w:hanging="544"/>
        <w:spacing w:after="0"/>
        <w:tabs>
          <w:tab w:leader="none" w:pos="544" w:val="left"/>
        </w:tabs>
        <w:numPr>
          <w:ilvl w:val="0"/>
          <w:numId w:val="5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New Lender comes within paragraph (a)(ii) of the definition of Qualifying Lender in Clause 14.1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544" w:right="360" w:hanging="544"/>
        <w:spacing w:after="0" w:line="199" w:lineRule="auto"/>
        <w:tabs>
          <w:tab w:leader="none" w:pos="544" w:val="left"/>
        </w:tabs>
        <w:numPr>
          <w:ilvl w:val="0"/>
          <w:numId w:val="5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Statement to be included and separate QPP Certificate in the form of Schedule 2 to be executed alongside the Transfer Certificate if the New Lender is a person eligible for the UK withholding tax exemption for qualifying private placements</w:t>
      </w:r>
    </w:p>
    <w:p>
      <w:pPr>
        <w:ind w:left="544" w:hanging="544"/>
        <w:spacing w:after="0" w:line="181" w:lineRule="auto"/>
        <w:tabs>
          <w:tab w:leader="none" w:pos="544" w:val="left"/>
        </w:tabs>
        <w:numPr>
          <w:ilvl w:val="0"/>
          <w:numId w:val="5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jurisdiction of tax residence.</w:t>
      </w:r>
    </w:p>
    <w:p>
      <w:pPr>
        <w:ind w:left="544" w:hanging="544"/>
        <w:spacing w:after="0" w:line="181" w:lineRule="auto"/>
        <w:tabs>
          <w:tab w:leader="none" w:pos="544" w:val="left"/>
        </w:tabs>
        <w:numPr>
          <w:ilvl w:val="0"/>
          <w:numId w:val="5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New Lender holds a passport under the HMRC DT Treaty Passport scheme and wishes that scheme to apply to the Agreement.</w:t>
      </w:r>
    </w:p>
    <w:p>
      <w:pPr>
        <w:ind w:left="544" w:hanging="544"/>
        <w:spacing w:after="0" w:line="180" w:lineRule="auto"/>
        <w:tabs>
          <w:tab w:leader="none" w:pos="544" w:val="left"/>
        </w:tabs>
        <w:numPr>
          <w:ilvl w:val="0"/>
          <w:numId w:val="5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where the transfer is made prior to the occurrence of an Event of Default which is continuing.</w:t>
      </w:r>
    </w:p>
    <w:p>
      <w:pPr>
        <w:spacing w:after="0" w:line="131"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24"/>
          </w:cols>
          <w:pgMar w:left="436" w:top="270" w:right="4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9500" w:type="dxa"/>
            <w:vAlign w:val="bottom"/>
            <w:gridSpan w:val="3"/>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r>
      <w:tr>
        <w:trPr>
          <w:trHeight w:val="324"/>
        </w:trPr>
        <w:tc>
          <w:tcPr>
            <w:tcW w:w="1520" w:type="dxa"/>
            <w:vAlign w:val="bottom"/>
          </w:tcPr>
          <w:p>
            <w:pPr>
              <w:spacing w:after="0"/>
              <w:rPr>
                <w:sz w:val="24"/>
                <w:szCs w:val="24"/>
                <w:color w:val="auto"/>
              </w:rPr>
            </w:pPr>
          </w:p>
        </w:tc>
        <w:tc>
          <w:tcPr>
            <w:tcW w:w="9500" w:type="dxa"/>
            <w:vAlign w:val="bottom"/>
            <w:gridSpan w:val="3"/>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Commitment/rights and obligations to be transferred</w:t>
            </w:r>
          </w:p>
        </w:tc>
      </w:tr>
      <w:tr>
        <w:trPr>
          <w:trHeight w:val="432"/>
        </w:trPr>
        <w:tc>
          <w:tcPr>
            <w:tcW w:w="1520" w:type="dxa"/>
            <w:vAlign w:val="bottom"/>
          </w:tcPr>
          <w:p>
            <w:pPr>
              <w:spacing w:after="0"/>
              <w:rPr>
                <w:sz w:val="24"/>
                <w:szCs w:val="24"/>
                <w:color w:val="auto"/>
              </w:rPr>
            </w:pPr>
          </w:p>
        </w:tc>
        <w:tc>
          <w:tcPr>
            <w:tcW w:w="9500" w:type="dxa"/>
            <w:vAlign w:val="bottom"/>
            <w:gridSpan w:val="3"/>
          </w:tcPr>
          <w:p>
            <w:pPr>
              <w:jc w:val="center"/>
              <w:ind w:right="14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insert relevant details</w:t>
            </w:r>
            <w:r>
              <w:rPr>
                <w:rFonts w:ascii="Times New Roman" w:cs="Times New Roman" w:eastAsia="Times New Roman" w:hAnsi="Times New Roman"/>
                <w:sz w:val="18"/>
                <w:szCs w:val="18"/>
                <w:color w:val="auto"/>
                <w:w w:val="99"/>
              </w:rPr>
              <w:t>]</w:t>
            </w:r>
          </w:p>
        </w:tc>
      </w:tr>
      <w:tr>
        <w:trPr>
          <w:trHeight w:val="432"/>
        </w:trPr>
        <w:tc>
          <w:tcPr>
            <w:tcW w:w="1520" w:type="dxa"/>
            <w:vAlign w:val="bottom"/>
          </w:tcPr>
          <w:p>
            <w:pPr>
              <w:spacing w:after="0"/>
              <w:rPr>
                <w:sz w:val="24"/>
                <w:szCs w:val="24"/>
                <w:color w:val="auto"/>
              </w:rPr>
            </w:pPr>
          </w:p>
        </w:tc>
        <w:tc>
          <w:tcPr>
            <w:tcW w:w="9500" w:type="dxa"/>
            <w:vAlign w:val="bottom"/>
            <w:gridSpan w:val="3"/>
          </w:tcPr>
          <w:p>
            <w:pPr>
              <w:jc w:val="center"/>
              <w:ind w:right="1450"/>
              <w:spacing w:after="0"/>
              <w:rPr>
                <w:sz w:val="20"/>
                <w:szCs w:val="20"/>
                <w:color w:val="auto"/>
              </w:rPr>
            </w:pPr>
            <w:r>
              <w:rPr>
                <w:rFonts w:ascii="Times New Roman" w:cs="Times New Roman" w:eastAsia="Times New Roman" w:hAnsi="Times New Roman"/>
                <w:sz w:val="18"/>
                <w:szCs w:val="18"/>
                <w:color w:val="auto"/>
              </w:rPr>
              <w:t>[Facility Office address, fax number and attention details for notices and account details for payments.]</w:t>
            </w:r>
          </w:p>
        </w:tc>
      </w:tr>
      <w:tr>
        <w:trPr>
          <w:trHeight w:val="459"/>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[Existing Lender]</w:t>
            </w:r>
          </w:p>
        </w:tc>
        <w:tc>
          <w:tcPr>
            <w:tcW w:w="95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[New Lender]</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5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By:</w:t>
            </w:r>
          </w:p>
        </w:tc>
      </w:tr>
      <w:tr>
        <w:trPr>
          <w:trHeight w:val="392"/>
        </w:trPr>
        <w:tc>
          <w:tcPr>
            <w:tcW w:w="1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This Transfer Certificate is accepted by the Agent and the Transfer Date is confirmed as [            ].</w:t>
            </w:r>
          </w:p>
        </w:tc>
      </w:tr>
      <w:tr>
        <w:trPr>
          <w:trHeight w:val="453"/>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[Agent]</w:t>
            </w:r>
          </w:p>
        </w:tc>
        <w:tc>
          <w:tcPr>
            <w:tcW w:w="49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60" w:type="dxa"/>
            <w:vAlign w:val="bottom"/>
          </w:tcPr>
          <w:p>
            <w:pPr>
              <w:spacing w:after="0"/>
              <w:rPr>
                <w:sz w:val="24"/>
                <w:szCs w:val="24"/>
                <w:color w:val="auto"/>
              </w:rPr>
            </w:pP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6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A53429063</w:t>
            </w:r>
          </w:p>
        </w:tc>
        <w:tc>
          <w:tcPr>
            <w:tcW w:w="4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Polestar Facilities Agreement</w:t>
            </w:r>
          </w:p>
        </w:tc>
      </w:tr>
      <w:tr>
        <w:trPr>
          <w:trHeight w:val="432"/>
        </w:trPr>
        <w:tc>
          <w:tcPr>
            <w:tcW w:w="1520" w:type="dxa"/>
            <w:vAlign w:val="bottom"/>
          </w:tcPr>
          <w:p>
            <w:pPr>
              <w:spacing w:after="0"/>
              <w:rPr>
                <w:sz w:val="24"/>
                <w:szCs w:val="24"/>
                <w:color w:val="auto"/>
              </w:rPr>
            </w:pPr>
          </w:p>
        </w:tc>
        <w:tc>
          <w:tcPr>
            <w:tcW w:w="49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173</w:t>
            </w:r>
          </w:p>
        </w:tc>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81" w:name="page182"/>
    <w:bookmarkEnd w:id="181"/>
    <w:tbl>
      <w:tblPr>
        <w:tblLayout w:type="fixed"/>
        <w:tblInd w:w="4"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3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SCHEDULE 2</w:t>
            </w:r>
          </w:p>
        </w:tc>
      </w:tr>
      <w:tr>
        <w:trPr>
          <w:trHeight w:val="432"/>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Form of New Lender QPP Certificate</w:t>
            </w:r>
          </w:p>
        </w:tc>
      </w:tr>
      <w:tr>
        <w:trPr>
          <w:trHeight w:val="45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73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Polestar Automotive Holding UK PLC as Borrower</w:t>
            </w:r>
          </w:p>
        </w:tc>
      </w:tr>
      <w:tr>
        <w:trPr>
          <w:trHeight w:val="45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73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New Lender</w:t>
            </w:r>
            <w:r>
              <w:rPr>
                <w:rFonts w:ascii="Times New Roman" w:cs="Times New Roman" w:eastAsia="Times New Roman" w:hAnsi="Times New Roman"/>
                <w:sz w:val="18"/>
                <w:szCs w:val="18"/>
                <w:color w:val="auto"/>
              </w:rPr>
              <w:t>]</w:t>
            </w:r>
          </w:p>
        </w:tc>
      </w:tr>
      <w:tr>
        <w:trPr>
          <w:trHeight w:val="4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3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430"/>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3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[Polestar Automotive Holding UK PLC]– £[•] Facilities Agreement</w:t>
            </w:r>
          </w:p>
        </w:tc>
      </w:tr>
      <w:tr>
        <w:trPr>
          <w:trHeight w:val="238"/>
        </w:trPr>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30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dated __________ 2024 (the “Agreement“)</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4" w:right="320" w:hanging="544"/>
        <w:spacing w:after="0" w:line="213" w:lineRule="auto"/>
        <w:tabs>
          <w:tab w:leader="none" w:pos="544"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Agreement. This is a QPP Certificate</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Terms defined in the Agreement have the same meaning in this QPP Certificate unless given a different meaning in this QPP Certificate.</w:t>
      </w:r>
    </w:p>
    <w:p>
      <w:pPr>
        <w:spacing w:after="0" w:line="10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beneficially entitled to all interest payable to us as a Lender under the Loan;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resident of a qualifying territory; and</w:t>
      </w:r>
    </w:p>
    <w:p>
      <w:pPr>
        <w:spacing w:after="0" w:line="130"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beneficially entitled to the interest which is payable to us on the Loan for genuine commercial reasons, and not as part of a tax advantage scheme.</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These confirmations together form a creditor certificate.</w:t>
      </w:r>
    </w:p>
    <w:p>
      <w:pPr>
        <w:spacing w:after="0" w:line="131" w:lineRule="exact"/>
        <w:rPr>
          <w:sz w:val="20"/>
          <w:szCs w:val="20"/>
          <w:color w:val="auto"/>
        </w:rPr>
      </w:pPr>
    </w:p>
    <w:p>
      <w:pPr>
        <w:ind w:left="544" w:right="640" w:hanging="544"/>
        <w:spacing w:after="0" w:line="282" w:lineRule="auto"/>
        <w:tabs>
          <w:tab w:leader="none" w:pos="544"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QPP Certificate the terms “resident”, “qualifying territory”, “scheme”, “tax advantage scheme” and “creditor certificate” have the meaning given to them in the Qualifying Private Placement Regulations 2015 (2015 No. 2002).</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New Lender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23" w:lineRule="exact"/>
        <w:rPr>
          <w:sz w:val="20"/>
          <w:szCs w:val="20"/>
          <w:color w:val="auto"/>
        </w:rPr>
      </w:pPr>
    </w:p>
    <w:p>
      <w:pPr>
        <w:ind w:left="4"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This QPP Certificate is required where a lender is a person eligible for the UK withholding tax exemption for qualifying private placements; a separate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QPP Certificate should be provided by each such lender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3" w:lineRule="exact"/>
        <w:rPr>
          <w:sz w:val="20"/>
          <w:szCs w:val="20"/>
          <w:color w:val="auto"/>
        </w:rPr>
      </w:pPr>
    </w:p>
    <w:p>
      <w:pPr>
        <w:ind w:left="544" w:right="780" w:hanging="544"/>
        <w:spacing w:after="0" w:line="208" w:lineRule="auto"/>
        <w:tabs>
          <w:tab w:leader="none" w:pos="544" w:val="left"/>
        </w:tabs>
        <w:numPr>
          <w:ilvl w:val="0"/>
          <w:numId w:val="5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QPP Certificate is to be executed if the New Lender is a person eligible for the UK withholding tax exemption for qualifying private placements.</w:t>
      </w:r>
    </w:p>
    <w:p>
      <w:pPr>
        <w:spacing w:after="0" w:line="13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24"/>
          </w:cols>
          <w:pgMar w:left="436" w:top="266" w:right="439" w:bottom="1440" w:gutter="0" w:footer="0" w:header="0"/>
        </w:sectPr>
      </w:pPr>
    </w:p>
    <w:bookmarkStart w:id="182" w:name="page183"/>
    <w:bookmarkEnd w:id="182"/>
    <w:tbl>
      <w:tblPr>
        <w:tblLayout w:type="fixed"/>
        <w:tblInd w:w="4"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80" w:type="dxa"/>
            <w:vAlign w:val="bottom"/>
            <w:gridSpan w:val="3"/>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SCHEDULE 5</w:t>
            </w:r>
          </w:p>
        </w:tc>
      </w:tr>
      <w:tr>
        <w:trPr>
          <w:trHeight w:val="432"/>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200" w:type="dxa"/>
            <w:vAlign w:val="bottom"/>
            <w:gridSpan w:val="4"/>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SSIGNMENT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tc>
      </w:tr>
      <w:tr>
        <w:trPr>
          <w:trHeight w:val="45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85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[Agent] and Polestar Automotive Holding UK PLC as Company, for and on behalf of each Obligor</w:t>
            </w:r>
          </w:p>
        </w:tc>
      </w:tr>
      <w:tr>
        <w:trPr>
          <w:trHeight w:val="4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85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[            ]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and [            ]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1"/>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 xml:space="preserve">Polestar Automotive Holding UK PLC –Facilities Agreement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“Agreement”)</w:t>
            </w: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4" w:right="500" w:hanging="544"/>
        <w:spacing w:after="0" w:line="282" w:lineRule="auto"/>
        <w:tabs>
          <w:tab w:leader="none" w:pos="544"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Agreement. This is an Assignment Agreement. Terms defined in the Agreement have the same meaning in this Assignment Agreement unless given a different meaning in this Assignment Agreement.</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Clause 25.6 (</w:t>
      </w:r>
      <w:r>
        <w:rPr>
          <w:rFonts w:ascii="Times New Roman" w:cs="Times New Roman" w:eastAsia="Times New Roman" w:hAnsi="Times New Roman"/>
          <w:sz w:val="18"/>
          <w:szCs w:val="18"/>
          <w:i w:val="1"/>
          <w:iCs w:val="1"/>
          <w:color w:val="auto"/>
        </w:rPr>
        <w:t>Procedure for assignment</w:t>
      </w:r>
      <w:r>
        <w:rPr>
          <w:rFonts w:ascii="Times New Roman" w:cs="Times New Roman" w:eastAsia="Times New Roman" w:hAnsi="Times New Roman"/>
          <w:sz w:val="18"/>
          <w:szCs w:val="18"/>
          <w:color w:val="auto"/>
        </w:rPr>
        <w:t>) of the Agreement:</w:t>
      </w:r>
    </w:p>
    <w:p>
      <w:pPr>
        <w:spacing w:after="0" w:line="133" w:lineRule="exact"/>
        <w:rPr>
          <w:sz w:val="20"/>
          <w:szCs w:val="20"/>
          <w:color w:val="auto"/>
        </w:rPr>
      </w:pPr>
    </w:p>
    <w:p>
      <w:pPr>
        <w:ind w:left="544" w:right="60" w:hanging="544"/>
        <w:spacing w:after="0" w:line="266" w:lineRule="auto"/>
        <w:tabs>
          <w:tab w:leader="none" w:pos="544"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assigns absolutely to the New Lender all the rights of the Existing Lender under the Agreement and the other Finance Documents which relate to that portion of the Existing Lender’s Commitment(s) and participations in Loans under the Agreement as specified in the Schedule.</w:t>
      </w:r>
    </w:p>
    <w:p>
      <w:pPr>
        <w:spacing w:after="0" w:line="81" w:lineRule="exact"/>
        <w:rPr>
          <w:rFonts w:ascii="Times New Roman" w:cs="Times New Roman" w:eastAsia="Times New Roman" w:hAnsi="Times New Roman"/>
          <w:sz w:val="18"/>
          <w:szCs w:val="18"/>
          <w:color w:val="auto"/>
        </w:rPr>
      </w:pPr>
    </w:p>
    <w:p>
      <w:pPr>
        <w:ind w:left="544" w:right="640" w:hanging="544"/>
        <w:spacing w:after="0" w:line="282" w:lineRule="auto"/>
        <w:tabs>
          <w:tab w:leader="none" w:pos="544"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is released from all the obligations of the Existing Lender which correspond to that portion of the Existing Lender’s Commitment(s) and participations in Loans under the Agreement specified in Schedule 1.</w:t>
      </w:r>
    </w:p>
    <w:p>
      <w:pPr>
        <w:spacing w:after="0" w:line="67" w:lineRule="exact"/>
        <w:rPr>
          <w:rFonts w:ascii="Times New Roman" w:cs="Times New Roman" w:eastAsia="Times New Roman" w:hAnsi="Times New Roman"/>
          <w:sz w:val="18"/>
          <w:szCs w:val="18"/>
          <w:color w:val="auto"/>
        </w:rPr>
      </w:pPr>
    </w:p>
    <w:p>
      <w:pPr>
        <w:ind w:left="544" w:right="140" w:hanging="544"/>
        <w:spacing w:after="0" w:line="282" w:lineRule="auto"/>
        <w:tabs>
          <w:tab w:leader="none" w:pos="544"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becomes a Party as a Lender and is bound by obligations equivalent to those from which the Existing Lender is released under paragraph (b) above.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The proposed Transfer Date is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-7620</wp:posOffset>
            </wp:positionV>
            <wp:extent cx="4572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1" w:lineRule="exact"/>
        <w:rPr>
          <w:sz w:val="20"/>
          <w:szCs w:val="20"/>
          <w:color w:val="auto"/>
        </w:rPr>
      </w:pPr>
    </w:p>
    <w:p>
      <w:pPr>
        <w:ind w:left="544" w:hanging="544"/>
        <w:spacing w:after="0"/>
        <w:tabs>
          <w:tab w:leader="none" w:pos="54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Transfer Date the New Lender becomes Party to the Finance Documents as a Lender.</w:t>
      </w:r>
    </w:p>
    <w:p>
      <w:pPr>
        <w:spacing w:after="0" w:line="128" w:lineRule="exact"/>
        <w:rPr>
          <w:rFonts w:ascii="Times New Roman" w:cs="Times New Roman" w:eastAsia="Times New Roman" w:hAnsi="Times New Roman"/>
          <w:sz w:val="18"/>
          <w:szCs w:val="18"/>
          <w:color w:val="auto"/>
        </w:rPr>
      </w:pPr>
    </w:p>
    <w:p>
      <w:pPr>
        <w:ind w:left="544" w:right="220" w:hanging="544"/>
        <w:spacing w:after="0" w:line="284" w:lineRule="auto"/>
        <w:tabs>
          <w:tab w:leader="none" w:pos="54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Office and address, fax number and attention details for notices of the New Lender for the purposes of Clause 34.2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of the Agreement are set out in the Schedule.</w:t>
      </w:r>
    </w:p>
    <w:p>
      <w:pPr>
        <w:spacing w:after="0" w:line="63" w:lineRule="exact"/>
        <w:rPr>
          <w:rFonts w:ascii="Times New Roman" w:cs="Times New Roman" w:eastAsia="Times New Roman" w:hAnsi="Times New Roman"/>
          <w:sz w:val="18"/>
          <w:szCs w:val="18"/>
          <w:color w:val="auto"/>
        </w:rPr>
      </w:pPr>
    </w:p>
    <w:p>
      <w:pPr>
        <w:ind w:left="544" w:right="80" w:hanging="544"/>
        <w:spacing w:after="0" w:line="284" w:lineRule="auto"/>
        <w:tabs>
          <w:tab w:leader="none" w:pos="54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expressly acknowledges the limitations on the Existing Lender’s obligations set out in paragraph (c) of Clause 25.4 (</w:t>
      </w:r>
      <w:r>
        <w:rPr>
          <w:rFonts w:ascii="Times New Roman" w:cs="Times New Roman" w:eastAsia="Times New Roman" w:hAnsi="Times New Roman"/>
          <w:sz w:val="18"/>
          <w:szCs w:val="18"/>
          <w:i w:val="1"/>
          <w:iCs w:val="1"/>
          <w:color w:val="auto"/>
        </w:rPr>
        <w:t>Limitation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responsibility of Existing Lenders</w:t>
      </w:r>
      <w:r>
        <w:rPr>
          <w:rFonts w:ascii="Times New Roman" w:cs="Times New Roman" w:eastAsia="Times New Roman" w:hAnsi="Times New Roman"/>
          <w:sz w:val="18"/>
          <w:szCs w:val="18"/>
          <w:color w:val="auto"/>
        </w:rPr>
        <w:t>) of the Agreement.</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for the benefit of the Agent and without liability to any Obligor, that it is: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Lender (other than a Treaty Lender or a QPP Lender);]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Treaty Lender;]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QPP Lender]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Qualifying Lender].</w:t>
      </w:r>
      <w:r>
        <w:rPr>
          <w:rFonts w:ascii="Times New Roman" w:cs="Times New Roman" w:eastAsia="Times New Roman" w:hAnsi="Times New Roman"/>
          <w:sz w:val="26"/>
          <w:szCs w:val="26"/>
          <w:color w:val="auto"/>
          <w:vertAlign w:val="superscript"/>
        </w:rPr>
        <w:t>9</w:t>
      </w:r>
    </w:p>
    <w:p>
      <w:pPr>
        <w:spacing w:after="0" w:line="58" w:lineRule="exact"/>
        <w:rPr>
          <w:rFonts w:ascii="Times New Roman" w:cs="Times New Roman" w:eastAsia="Times New Roman" w:hAnsi="Times New Roman"/>
          <w:sz w:val="18"/>
          <w:szCs w:val="18"/>
          <w:color w:val="auto"/>
        </w:rPr>
      </w:pPr>
    </w:p>
    <w:p>
      <w:pPr>
        <w:ind w:left="544" w:right="540" w:hanging="544"/>
        <w:spacing w:after="0" w:line="258" w:lineRule="auto"/>
        <w:tabs>
          <w:tab w:leader="none" w:pos="54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the person beneficially entitled to interest payable to that Lender in respect of an advance under a Finance Document is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0" w:lineRule="exact"/>
        <w:rPr>
          <w:sz w:val="20"/>
          <w:szCs w:val="20"/>
          <w:color w:val="auto"/>
        </w:rPr>
      </w:pPr>
    </w:p>
    <w:p>
      <w:pPr>
        <w:ind w:left="544" w:hanging="544"/>
        <w:spacing w:after="0"/>
        <w:tabs>
          <w:tab w:leader="none" w:pos="544" w:val="left"/>
        </w:tabs>
        <w:numPr>
          <w:ilvl w:val="0"/>
          <w:numId w:val="5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Delete as applicable – each New Lender is required to confirm which of these three categories it falls within.</w:t>
      </w:r>
    </w:p>
    <w:p>
      <w:pPr>
        <w:spacing w:after="0" w:line="130"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24"/>
          </w:cols>
          <w:pgMar w:left="436" w:top="266" w:right="439" w:bottom="1440" w:gutter="0" w:footer="0" w:header="0"/>
        </w:sectPr>
      </w:pPr>
    </w:p>
    <w:bookmarkStart w:id="183" w:name="page184"/>
    <w:bookmarkEnd w:id="183"/>
    <w:p>
      <w:pPr>
        <w:ind w:left="1184" w:hanging="644"/>
        <w:spacing w:after="0"/>
        <w:tabs>
          <w:tab w:leader="none" w:pos="1184"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company resident in the United Kingdom for United Kingdom tax purposes;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so resident in the United Kingdom; or</w:t>
      </w:r>
    </w:p>
    <w:p>
      <w:pPr>
        <w:spacing w:after="0" w:line="130" w:lineRule="exact"/>
        <w:rPr>
          <w:rFonts w:ascii="Times New Roman" w:cs="Times New Roman" w:eastAsia="Times New Roman" w:hAnsi="Times New Roman"/>
          <w:sz w:val="18"/>
          <w:szCs w:val="18"/>
          <w:color w:val="auto"/>
        </w:rPr>
      </w:pPr>
    </w:p>
    <w:p>
      <w:pPr>
        <w:ind w:left="1744" w:right="160" w:hanging="543"/>
        <w:spacing w:after="0" w:line="266" w:lineRule="auto"/>
        <w:tabs>
          <w:tab w:leader="none" w:pos="1744" w:val="left"/>
        </w:tabs>
        <w:numPr>
          <w:ilvl w:val="2"/>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81" w:lineRule="exact"/>
        <w:rPr>
          <w:rFonts w:ascii="Times New Roman" w:cs="Times New Roman" w:eastAsia="Times New Roman" w:hAnsi="Times New Roman"/>
          <w:sz w:val="18"/>
          <w:szCs w:val="18"/>
          <w:color w:val="auto"/>
        </w:rPr>
      </w:pPr>
    </w:p>
    <w:p>
      <w:pPr>
        <w:ind w:left="1184" w:right="200" w:hanging="644"/>
        <w:spacing w:after="0" w:line="265" w:lineRule="auto"/>
        <w:tabs>
          <w:tab w:leader="none" w:pos="1184"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r>
        <w:rPr>
          <w:rFonts w:ascii="Times New Roman" w:cs="Times New Roman" w:eastAsia="Times New Roman" w:hAnsi="Times New Roman"/>
          <w:sz w:val="26"/>
          <w:szCs w:val="26"/>
          <w:color w:val="auto"/>
          <w:vertAlign w:val="superscript"/>
        </w:rPr>
        <w:t>10</w:t>
      </w:r>
    </w:p>
    <w:p>
      <w:pPr>
        <w:spacing w:after="0" w:line="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provides a QPP Certificate in the form set out Schedule 2.]</w:t>
      </w:r>
      <w:r>
        <w:rPr>
          <w:rFonts w:ascii="Times New Roman" w:cs="Times New Roman" w:eastAsia="Times New Roman" w:hAnsi="Times New Roman"/>
          <w:sz w:val="26"/>
          <w:szCs w:val="26"/>
          <w:color w:val="auto"/>
          <w:vertAlign w:val="superscript"/>
        </w:rPr>
        <w:t>11</w:t>
      </w:r>
    </w:p>
    <w:p>
      <w:pPr>
        <w:spacing w:after="0" w:line="3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holds a passport under the HMRC DT Treaty Passport scheme (reference number [ ]) and is tax resident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5694680</wp:posOffset>
            </wp:positionH>
            <wp:positionV relativeFrom="paragraph">
              <wp:posOffset>-20320</wp:posOffset>
            </wp:positionV>
            <wp:extent cx="285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544" w:right="180"/>
        <w:spacing w:after="0" w:line="222"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so that interest payable to it by borrowers is generally subject to full exemption from UK withholding tax, and that it wishes that scheme to apply to the Agreement.]</w:t>
      </w:r>
      <w:r>
        <w:rPr>
          <w:rFonts w:ascii="Times New Roman" w:cs="Times New Roman" w:eastAsia="Times New Roman" w:hAnsi="Times New Roman"/>
          <w:sz w:val="26"/>
          <w:szCs w:val="26"/>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-239395</wp:posOffset>
            </wp:positionV>
            <wp:extent cx="4572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544" w:hanging="544"/>
        <w:spacing w:after="0"/>
        <w:tabs>
          <w:tab w:leader="none" w:pos="54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Assignment Agreement acts as notice to the Agent (on behalf of each Finance Party) and, upon delivery in accordance with Clause 25.7</w:t>
      </w:r>
    </w:p>
    <w:p>
      <w:pPr>
        <w:spacing w:after="0" w:line="7" w:lineRule="exact"/>
        <w:rPr>
          <w:rFonts w:ascii="Times New Roman" w:cs="Times New Roman" w:eastAsia="Times New Roman" w:hAnsi="Times New Roman"/>
          <w:sz w:val="18"/>
          <w:szCs w:val="18"/>
          <w:color w:val="auto"/>
        </w:rPr>
      </w:pPr>
    </w:p>
    <w:p>
      <w:pPr>
        <w:ind w:left="544"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Copy of Transfer Certificate Assignment Agreement</w:t>
      </w:r>
      <w:r>
        <w:rPr>
          <w:rFonts w:ascii="Times New Roman" w:cs="Times New Roman" w:eastAsia="Times New Roman" w:hAnsi="Times New Roman"/>
          <w:sz w:val="18"/>
          <w:szCs w:val="18"/>
          <w:color w:val="auto"/>
        </w:rPr>
        <w:t xml:space="preserve"> ) of the Agreement, to the Company (on behalf of each Obligor) of the assignment referred to in this Assignment Agreement.</w:t>
      </w:r>
    </w:p>
    <w:p>
      <w:pPr>
        <w:spacing w:after="0" w:line="8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[is]/[is not] a Sponsor Affiliate.</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[is]/[is not] a Distressed Investor, and [is]/[is not] a Competitor.]</w:t>
      </w:r>
      <w:r>
        <w:rPr>
          <w:rFonts w:ascii="Times New Roman" w:cs="Times New Roman" w:eastAsia="Times New Roman" w:hAnsi="Times New Roman"/>
          <w:sz w:val="26"/>
          <w:szCs w:val="26"/>
          <w:color w:val="auto"/>
          <w:vertAlign w:val="superscript"/>
        </w:rPr>
        <w:t>14</w:t>
      </w:r>
    </w:p>
    <w:p>
      <w:pPr>
        <w:spacing w:after="0" w:line="5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its jurisdiction of incorporation is [            ].</w:t>
      </w:r>
    </w:p>
    <w:p>
      <w:pPr>
        <w:spacing w:after="0" w:line="110" w:lineRule="exact"/>
        <w:rPr>
          <w:rFonts w:ascii="Times New Roman" w:cs="Times New Roman" w:eastAsia="Times New Roman" w:hAnsi="Times New Roman"/>
          <w:sz w:val="18"/>
          <w:szCs w:val="18"/>
          <w:color w:val="auto"/>
        </w:rPr>
      </w:pPr>
    </w:p>
    <w:p>
      <w:pPr>
        <w:ind w:left="544" w:right="100" w:hanging="544"/>
        <w:spacing w:after="0" w:line="282" w:lineRule="auto"/>
        <w:tabs>
          <w:tab w:leader="none" w:pos="54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Assignment Agreement may be executed in any number of counterparts and this has the same effect as if the signatures on the counterparts were on a single copy of this Assignment Agreement.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Assignment Agreement and any non-contractual obligations arising out of or in connection with it are governed by English law.</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Assignment Agreement has been entered into on the date stated at the beginning of this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4" w:right="200" w:hanging="544"/>
        <w:spacing w:after="0" w:line="208" w:lineRule="auto"/>
        <w:tabs>
          <w:tab w:leader="none" w:pos="544" w:val="left"/>
        </w:tabs>
        <w:numPr>
          <w:ilvl w:val="0"/>
          <w:numId w:val="5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only if New Lender is a UK Non-Bank Lender – i.e. falls within paragraph (a)(ii) of the definition of Qualifying Lender in Clause 14.1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27"/>
          <w:szCs w:val="27"/>
          <w:color w:val="auto"/>
          <w:vertAlign w:val="superscript"/>
        </w:rPr>
      </w:pPr>
    </w:p>
    <w:p>
      <w:pPr>
        <w:ind w:left="544" w:right="80" w:hanging="544"/>
        <w:spacing w:after="0" w:line="200" w:lineRule="auto"/>
        <w:tabs>
          <w:tab w:leader="none" w:pos="544" w:val="left"/>
        </w:tabs>
        <w:numPr>
          <w:ilvl w:val="0"/>
          <w:numId w:val="5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Statement to be included and separate QPP Certificate in the form of Schedule 2 to be executed alongside the Assignment Agreement if the New Lender is a person eligible for the UK withholding tax exemption for qualifying private placements</w:t>
      </w:r>
    </w:p>
    <w:p>
      <w:pPr>
        <w:ind w:left="544" w:hanging="544"/>
        <w:spacing w:after="0" w:line="180" w:lineRule="auto"/>
        <w:tabs>
          <w:tab w:leader="none" w:pos="544" w:val="left"/>
        </w:tabs>
        <w:numPr>
          <w:ilvl w:val="0"/>
          <w:numId w:val="5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jurisdiction of tax residence.</w:t>
      </w:r>
    </w:p>
    <w:p>
      <w:pPr>
        <w:spacing w:after="0" w:line="2" w:lineRule="exact"/>
        <w:rPr>
          <w:rFonts w:ascii="Times New Roman" w:cs="Times New Roman" w:eastAsia="Times New Roman" w:hAnsi="Times New Roman"/>
          <w:sz w:val="25"/>
          <w:szCs w:val="25"/>
          <w:color w:val="auto"/>
          <w:vertAlign w:val="superscript"/>
        </w:rPr>
      </w:pPr>
    </w:p>
    <w:p>
      <w:pPr>
        <w:ind w:left="544" w:hanging="544"/>
        <w:spacing w:after="0" w:line="186" w:lineRule="auto"/>
        <w:tabs>
          <w:tab w:leader="none" w:pos="544" w:val="left"/>
        </w:tabs>
        <w:numPr>
          <w:ilvl w:val="0"/>
          <w:numId w:val="5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if New Lender holds a passport under the HMRC DT Treaty Passport scheme and wishes that scheme to apply to the Agreement.</w:t>
      </w:r>
    </w:p>
    <w:p>
      <w:pPr>
        <w:spacing w:after="0" w:line="2" w:lineRule="exact"/>
        <w:rPr>
          <w:rFonts w:ascii="Times New Roman" w:cs="Times New Roman" w:eastAsia="Times New Roman" w:hAnsi="Times New Roman"/>
          <w:sz w:val="24"/>
          <w:szCs w:val="24"/>
          <w:color w:val="auto"/>
          <w:vertAlign w:val="superscript"/>
        </w:rPr>
      </w:pPr>
    </w:p>
    <w:p>
      <w:pPr>
        <w:ind w:left="544" w:hanging="544"/>
        <w:spacing w:after="0" w:line="186" w:lineRule="auto"/>
        <w:tabs>
          <w:tab w:leader="none" w:pos="544" w:val="left"/>
        </w:tabs>
        <w:numPr>
          <w:ilvl w:val="0"/>
          <w:numId w:val="5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where the transfer is made prior to the occurrence of an Event of Default which is continuing.</w:t>
      </w:r>
    </w:p>
    <w:p>
      <w:pPr>
        <w:spacing w:after="0" w:line="131"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24"/>
          </w:cols>
          <w:pgMar w:left="436" w:top="270" w:right="439" w:bottom="1440" w:gutter="0" w:footer="0" w:header="0"/>
        </w:sectPr>
      </w:pPr>
    </w:p>
    <w:bookmarkStart w:id="184" w:name="page185"/>
    <w:bookmarkEnd w:id="18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Rights to be assigned and obligations to be released and undertaken</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relevant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Facility office address, fax number and attention details for notices and account details for payments.</w:t>
      </w:r>
      <w:r>
        <w:rPr>
          <w:rFonts w:ascii="Times New Roman" w:cs="Times New Roman" w:eastAsia="Times New Roman" w:hAnsi="Times New Roman"/>
          <w:sz w:val="17"/>
          <w:szCs w:val="17"/>
          <w:color w:val="auto"/>
        </w:rPr>
        <w:t>]</w:t>
      </w:r>
    </w:p>
    <w:p>
      <w:pPr>
        <w:sectPr>
          <w:pgSz w:w="11900" w:h="16838" w:orient="portrait"/>
          <w:cols w:equalWidth="0" w:num="1">
            <w:col w:w="11020"/>
          </w:cols>
          <w:pgMar w:left="440" w:top="266" w:right="43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Lender]</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ind w:right="4280"/>
        <w:spacing w:after="0"/>
        <w:rPr>
          <w:sz w:val="20"/>
          <w:szCs w:val="20"/>
          <w:color w:val="auto"/>
        </w:rPr>
      </w:pPr>
      <w:r>
        <w:rPr>
          <w:rFonts w:ascii="Times New Roman" w:cs="Times New Roman" w:eastAsia="Times New Roman" w:hAnsi="Times New Roman"/>
          <w:sz w:val="17"/>
          <w:szCs w:val="17"/>
          <w:color w:val="auto"/>
        </w:rPr>
        <w:t>[New Lender]</w:t>
      </w:r>
    </w:p>
    <w:p>
      <w:pPr>
        <w:spacing w:after="0" w:line="211"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Assignment Agreement is accepted by the Agent and the Transfer Date is confirmed as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-7620</wp:posOffset>
            </wp:positionV>
            <wp:extent cx="4572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Signature of this Assignment Agreement by the Agent constitutes confirmation by the Agent of receipt of notice of the assignment referred to herein, which notice the Agent receives on behalf of each Finance Party.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20"/>
          </w:cols>
          <w:pgMar w:left="440" w:top="266" w:right="439" w:bottom="1440" w:gutter="0" w:footer="0" w:header="0"/>
          <w:type w:val="continuous"/>
        </w:sectPr>
      </w:pPr>
    </w:p>
    <w:bookmarkStart w:id="185" w:name="page186"/>
    <w:bookmarkEnd w:id="185"/>
    <w:tbl>
      <w:tblPr>
        <w:tblLayout w:type="fixed"/>
        <w:tblInd w:w="4"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3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SCHEDULE 2</w:t>
            </w:r>
          </w:p>
        </w:tc>
      </w:tr>
      <w:tr>
        <w:trPr>
          <w:trHeight w:val="432"/>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Form of New Lender QPP Certificate</w:t>
            </w:r>
          </w:p>
        </w:tc>
      </w:tr>
      <w:tr>
        <w:trPr>
          <w:trHeight w:val="45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73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Polestar Automotive Holding UK PLC as Borrower</w:t>
            </w:r>
          </w:p>
        </w:tc>
      </w:tr>
      <w:tr>
        <w:trPr>
          <w:trHeight w:val="45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73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New Lender</w:t>
            </w:r>
            <w:r>
              <w:rPr>
                <w:rFonts w:ascii="Times New Roman" w:cs="Times New Roman" w:eastAsia="Times New Roman" w:hAnsi="Times New Roman"/>
                <w:sz w:val="18"/>
                <w:szCs w:val="18"/>
                <w:color w:val="auto"/>
              </w:rPr>
              <w:t>]</w:t>
            </w:r>
          </w:p>
        </w:tc>
      </w:tr>
      <w:tr>
        <w:trPr>
          <w:trHeight w:val="4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3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430"/>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3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[Polestar Automotive Holding UK PLC]– £[•] Facilities Agreement</w:t>
            </w:r>
          </w:p>
        </w:tc>
      </w:tr>
      <w:tr>
        <w:trPr>
          <w:trHeight w:val="238"/>
        </w:trPr>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30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dated __________ 2024 (the “Agreement“)</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4" w:right="260" w:hanging="544"/>
        <w:spacing w:after="0" w:line="213" w:lineRule="auto"/>
        <w:tabs>
          <w:tab w:leader="none" w:pos="544"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Agreement. This is a QPP Certificate</w:t>
      </w: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color w:val="auto"/>
        </w:rPr>
        <w:t>. Terms defined in the Agreement have the same meaning in this QPP Certificate unless given a different meaning in this QPP Certificate.</w:t>
      </w:r>
    </w:p>
    <w:p>
      <w:pPr>
        <w:spacing w:after="0" w:line="10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beneficially entitled to all interest payable to us as a Lender under the Loan;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resident of a qualifying territory; and</w:t>
      </w:r>
    </w:p>
    <w:p>
      <w:pPr>
        <w:spacing w:after="0" w:line="130"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beneficially entitled to the interest which is payable to us on the Loan for genuine commercial reasons, and not as part of a tax advantage scheme.</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These confirmations together form a creditor certificate.</w:t>
      </w:r>
    </w:p>
    <w:p>
      <w:pPr>
        <w:spacing w:after="0" w:line="131" w:lineRule="exact"/>
        <w:rPr>
          <w:sz w:val="20"/>
          <w:szCs w:val="20"/>
          <w:color w:val="auto"/>
        </w:rPr>
      </w:pPr>
    </w:p>
    <w:p>
      <w:pPr>
        <w:ind w:left="544" w:right="640" w:hanging="544"/>
        <w:spacing w:after="0" w:line="282" w:lineRule="auto"/>
        <w:tabs>
          <w:tab w:leader="none" w:pos="544"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QPP Certificate the terms “resident”, “qualifying territory”, “scheme”, “tax advantage scheme” and “creditor certificate” have the meaning given to them in the Qualifying Private Placement Regulations 2015 (2015 No. 2002).</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New Lender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23" w:lineRule="exact"/>
        <w:rPr>
          <w:sz w:val="20"/>
          <w:szCs w:val="20"/>
          <w:color w:val="auto"/>
        </w:rPr>
      </w:pPr>
    </w:p>
    <w:p>
      <w:pPr>
        <w:ind w:left="4"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This QPP Certificate is required where a lender is a person eligible for the UK withholding tax exemption for qualifying private placements; a separate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QPP Certificate should be provided by each such lender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3" w:lineRule="exact"/>
        <w:rPr>
          <w:sz w:val="20"/>
          <w:szCs w:val="20"/>
          <w:color w:val="auto"/>
        </w:rPr>
      </w:pPr>
    </w:p>
    <w:p>
      <w:pPr>
        <w:ind w:left="544" w:right="780" w:hanging="544"/>
        <w:spacing w:after="0" w:line="208" w:lineRule="auto"/>
        <w:tabs>
          <w:tab w:leader="none" w:pos="544" w:val="left"/>
        </w:tabs>
        <w:numPr>
          <w:ilvl w:val="0"/>
          <w:numId w:val="5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QPP Certificate is to be executed if the New Lender is a person eligible for the UK withholding tax exemption for qualifying private placements.</w:t>
      </w:r>
    </w:p>
    <w:p>
      <w:pPr>
        <w:spacing w:after="0" w:line="13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24"/>
          </w:cols>
          <w:pgMar w:left="436" w:top="266" w:right="439" w:bottom="1440" w:gutter="0" w:footer="0" w:header="0"/>
        </w:sectPr>
      </w:pPr>
    </w:p>
    <w:bookmarkStart w:id="186" w:name="page187"/>
    <w:bookmarkEnd w:id="18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6</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w:t>
      </w:r>
    </w:p>
    <w:p>
      <w:pPr>
        <w:spacing w:after="0" w:line="256"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[Agent]</w:t>
      </w:r>
    </w:p>
    <w:p>
      <w:pPr>
        <w:spacing w:after="0" w:line="252"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8"/>
          <w:szCs w:val="18"/>
          <w:color w:val="auto"/>
        </w:rPr>
        <w:t>Polestar Automotive Holding UK PLC</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Polestar Automotive Holding UK PLC –Facilities Agreement dated [            ]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4449445</wp:posOffset>
            </wp:positionH>
            <wp:positionV relativeFrom="paragraph">
              <wp:posOffset>-5080</wp:posOffset>
            </wp:positionV>
            <wp:extent cx="4572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9"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We refer to the Agreement. This is a Compliance Certificate. Terms defined in the Agreement have the same meaning when used in this Compliance Certificate unless given a different meaning in this Compliance Certificate.</w:t>
      </w:r>
    </w:p>
    <w:p>
      <w:pPr>
        <w:spacing w:after="0" w:line="67" w:lineRule="exact"/>
        <w:rPr>
          <w:sz w:val="20"/>
          <w:szCs w:val="20"/>
          <w:color w:val="auto"/>
        </w:rPr>
      </w:pPr>
    </w:p>
    <w:p>
      <w:pPr>
        <w:ind w:left="544" w:hanging="544"/>
        <w:spacing w:after="0"/>
        <w:tabs>
          <w:tab w:leader="none" w:pos="544"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w:t>
      </w:r>
    </w:p>
    <w:p>
      <w:pPr>
        <w:spacing w:after="0" w:line="129" w:lineRule="exact"/>
        <w:rPr>
          <w:sz w:val="20"/>
          <w:szCs w:val="20"/>
          <w:color w:val="auto"/>
        </w:rPr>
      </w:pPr>
    </w:p>
    <w:p>
      <w:pPr>
        <w:ind w:left="544" w:right="260" w:hanging="544"/>
        <w:spacing w:after="0" w:line="266" w:lineRule="auto"/>
        <w:tabs>
          <w:tab w:leader="none" w:pos="544"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Revenue of the Group in respect of the Financial Year ending on [</w:t>
      </w:r>
      <w:r>
        <w:rPr>
          <w:rFonts w:ascii="Times New Roman" w:cs="Times New Roman" w:eastAsia="Times New Roman" w:hAnsi="Times New Roman"/>
          <w:sz w:val="18"/>
          <w:szCs w:val="18"/>
          <w:i w:val="1"/>
          <w:iCs w:val="1"/>
          <w:color w:val="auto"/>
        </w:rPr>
        <w:t>Test Date</w:t>
      </w:r>
      <w:r>
        <w:rPr>
          <w:rFonts w:ascii="Times New Roman" w:cs="Times New Roman" w:eastAsia="Times New Roman" w:hAnsi="Times New Roman"/>
          <w:sz w:val="18"/>
          <w:szCs w:val="18"/>
          <w:color w:val="auto"/>
        </w:rPr>
        <w:t>] is [•], and the Capex of the Group in respect of such Financial Year is [•] [and, a total of [•] is funded by Excluded Disposal Proceeds and a total of [•] is funded by Unused Capex carried forward from the immediately preceding Financial Year]</w:t>
      </w:r>
      <w:r>
        <w:rPr>
          <w:rFonts w:ascii="Times New Roman" w:cs="Times New Roman" w:eastAsia="Times New Roman" w:hAnsi="Times New Roman"/>
          <w:sz w:val="26"/>
          <w:szCs w:val="26"/>
          <w:color w:val="auto"/>
          <w:vertAlign w:val="superscript"/>
        </w:rPr>
        <w:t>16</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17</w:t>
      </w:r>
    </w:p>
    <w:p>
      <w:pPr>
        <w:spacing w:after="0" w:line="1" w:lineRule="exact"/>
        <w:rPr>
          <w:rFonts w:ascii="Times New Roman" w:cs="Times New Roman" w:eastAsia="Times New Roman" w:hAnsi="Times New Roman"/>
          <w:sz w:val="18"/>
          <w:szCs w:val="18"/>
          <w:color w:val="auto"/>
        </w:rPr>
      </w:pPr>
    </w:p>
    <w:p>
      <w:pPr>
        <w:ind w:left="544" w:right="360" w:hanging="544"/>
        <w:spacing w:after="0" w:line="262" w:lineRule="auto"/>
        <w:tabs>
          <w:tab w:leader="none" w:pos="544"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w:t>
      </w:r>
      <w:r>
        <w:rPr>
          <w:rFonts w:ascii="Times New Roman" w:cs="Times New Roman" w:eastAsia="Times New Roman" w:hAnsi="Times New Roman"/>
          <w:sz w:val="18"/>
          <w:szCs w:val="18"/>
          <w:i w:val="1"/>
          <w:iCs w:val="1"/>
          <w:color w:val="auto"/>
        </w:rPr>
        <w:t>Test Date</w:t>
      </w:r>
      <w:r>
        <w:rPr>
          <w:rFonts w:ascii="Times New Roman" w:cs="Times New Roman" w:eastAsia="Times New Roman" w:hAnsi="Times New Roman"/>
          <w:sz w:val="18"/>
          <w:szCs w:val="18"/>
          <w:color w:val="auto"/>
        </w:rPr>
        <w:t>], the aggregate amount of the Group Cash, Group Cash Equivalent Investments and Available Credit available to any Group Member (or the equivalent value in EUR) is [•].</w:t>
      </w:r>
      <w:r>
        <w:rPr>
          <w:rFonts w:ascii="Times New Roman" w:cs="Times New Roman" w:eastAsia="Times New Roman" w:hAnsi="Times New Roman"/>
          <w:sz w:val="26"/>
          <w:szCs w:val="26"/>
          <w:color w:val="auto"/>
          <w:vertAlign w:val="superscript"/>
        </w:rPr>
        <w:t>18</w:t>
      </w:r>
    </w:p>
    <w:p>
      <w:pPr>
        <w:spacing w:after="0" w:line="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w:t>
      </w:r>
      <w:r>
        <w:rPr>
          <w:rFonts w:ascii="Times New Roman" w:cs="Times New Roman" w:eastAsia="Times New Roman" w:hAnsi="Times New Roman"/>
          <w:sz w:val="18"/>
          <w:szCs w:val="18"/>
          <w:i w:val="1"/>
          <w:iCs w:val="1"/>
          <w:color w:val="auto"/>
        </w:rPr>
        <w:t>Test Date</w:t>
      </w:r>
      <w:r>
        <w:rPr>
          <w:rFonts w:ascii="Times New Roman" w:cs="Times New Roman" w:eastAsia="Times New Roman" w:hAnsi="Times New Roman"/>
          <w:sz w:val="18"/>
          <w:szCs w:val="18"/>
          <w:color w:val="auto"/>
        </w:rPr>
        <w:t>], the aggregate outstanding principal amount of Consolidated Group Secured Financial Indebtedness is [•].</w:t>
      </w:r>
      <w:r>
        <w:rPr>
          <w:rFonts w:ascii="Times New Roman" w:cs="Times New Roman" w:eastAsia="Times New Roman" w:hAnsi="Times New Roman"/>
          <w:sz w:val="26"/>
          <w:szCs w:val="26"/>
          <w:color w:val="auto"/>
          <w:vertAlign w:val="superscript"/>
        </w:rPr>
        <w:t>19</w:t>
      </w:r>
    </w:p>
    <w:p>
      <w:pPr>
        <w:spacing w:after="0" w:line="3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w:t>
      </w:r>
      <w:r>
        <w:rPr>
          <w:rFonts w:ascii="Times New Roman" w:cs="Times New Roman" w:eastAsia="Times New Roman" w:hAnsi="Times New Roman"/>
          <w:sz w:val="18"/>
          <w:szCs w:val="18"/>
          <w:i w:val="1"/>
          <w:iCs w:val="1"/>
          <w:color w:val="auto"/>
        </w:rPr>
        <w:t>Test Date</w:t>
      </w:r>
      <w:r>
        <w:rPr>
          <w:rFonts w:ascii="Times New Roman" w:cs="Times New Roman" w:eastAsia="Times New Roman" w:hAnsi="Times New Roman"/>
          <w:sz w:val="18"/>
          <w:szCs w:val="18"/>
          <w:color w:val="auto"/>
        </w:rPr>
        <w:t>], the aggregate outstanding principal amount of Consolidated Group Financial Indebtedness is [•].</w:t>
      </w:r>
      <w:r>
        <w:rPr>
          <w:rFonts w:ascii="Times New Roman" w:cs="Times New Roman" w:eastAsia="Times New Roman" w:hAnsi="Times New Roman"/>
          <w:sz w:val="26"/>
          <w:szCs w:val="26"/>
          <w:color w:val="auto"/>
          <w:vertAlign w:val="superscript"/>
        </w:rPr>
        <w:t>20</w:t>
      </w:r>
    </w:p>
    <w:p>
      <w:pPr>
        <w:spacing w:after="0" w:line="3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w:t>
      </w:r>
      <w:r>
        <w:rPr>
          <w:rFonts w:ascii="Times New Roman" w:cs="Times New Roman" w:eastAsia="Times New Roman" w:hAnsi="Times New Roman"/>
          <w:sz w:val="18"/>
          <w:szCs w:val="18"/>
          <w:i w:val="1"/>
          <w:iCs w:val="1"/>
          <w:color w:val="auto"/>
        </w:rPr>
        <w:t>Test Date</w:t>
      </w:r>
      <w:r>
        <w:rPr>
          <w:rFonts w:ascii="Times New Roman" w:cs="Times New Roman" w:eastAsia="Times New Roman" w:hAnsi="Times New Roman"/>
          <w:sz w:val="18"/>
          <w:szCs w:val="18"/>
          <w:color w:val="auto"/>
        </w:rPr>
        <w:t>], the ratio of Consolidated Group Financial Indebtedness to Consolidated Group Assets is [•].</w:t>
      </w:r>
      <w:r>
        <w:rPr>
          <w:rFonts w:ascii="Times New Roman" w:cs="Times New Roman" w:eastAsia="Times New Roman" w:hAnsi="Times New Roman"/>
          <w:sz w:val="26"/>
          <w:szCs w:val="26"/>
          <w:color w:val="auto"/>
          <w:vertAlign w:val="superscript"/>
        </w:rPr>
        <w:t>21</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refer to the Schedule hereto for the calculation of each of paragraphs (a) to (e).</w:t>
      </w:r>
    </w:p>
    <w:p>
      <w:pPr>
        <w:spacing w:after="0" w:line="131" w:lineRule="exact"/>
        <w:rPr>
          <w:sz w:val="20"/>
          <w:szCs w:val="20"/>
          <w:color w:val="auto"/>
        </w:rPr>
      </w:pPr>
    </w:p>
    <w:p>
      <w:pPr>
        <w:ind w:left="4" w:right="5680" w:hanging="4"/>
        <w:spacing w:after="0" w:line="409" w:lineRule="auto"/>
        <w:tabs>
          <w:tab w:leader="none" w:pos="544"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no Event of Default or Default has occurred.]</w:t>
      </w:r>
      <w:r>
        <w:rPr>
          <w:rFonts w:ascii="Times New Roman" w:cs="Times New Roman" w:eastAsia="Times New Roman" w:hAnsi="Times New Roman"/>
          <w:sz w:val="26"/>
          <w:szCs w:val="26"/>
          <w:color w:val="auto"/>
          <w:vertAlign w:val="superscript"/>
        </w:rPr>
        <w:t>22</w:t>
      </w:r>
      <w:r>
        <w:rPr>
          <w:rFonts w:ascii="Times New Roman" w:cs="Times New Roman" w:eastAsia="Times New Roman" w:hAnsi="Times New Roman"/>
          <w:sz w:val="18"/>
          <w:szCs w:val="18"/>
          <w:color w:val="auto"/>
        </w:rPr>
        <w:t xml:space="preserve"> * Signed: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-149225</wp:posOffset>
            </wp:positionV>
            <wp:extent cx="11430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Director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544" w:hanging="544"/>
        <w:spacing w:after="0"/>
        <w:tabs>
          <w:tab w:leader="none" w:pos="544" w:val="left"/>
        </w:tabs>
        <w:numPr>
          <w:ilvl w:val="0"/>
          <w:numId w:val="5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relevant.</w:t>
      </w:r>
    </w:p>
    <w:p>
      <w:pPr>
        <w:spacing w:after="0" w:line="1" w:lineRule="exact"/>
        <w:rPr>
          <w:rFonts w:ascii="Times New Roman" w:cs="Times New Roman" w:eastAsia="Times New Roman" w:hAnsi="Times New Roman"/>
          <w:sz w:val="27"/>
          <w:szCs w:val="27"/>
          <w:color w:val="auto"/>
          <w:vertAlign w:val="superscript"/>
        </w:rPr>
      </w:pPr>
    </w:p>
    <w:p>
      <w:pPr>
        <w:ind w:left="544" w:hanging="544"/>
        <w:spacing w:after="0" w:line="186" w:lineRule="auto"/>
        <w:tabs>
          <w:tab w:leader="none" w:pos="544" w:val="left"/>
        </w:tabs>
        <w:numPr>
          <w:ilvl w:val="0"/>
          <w:numId w:val="5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Applicable for each Test Date that falls on 31 December only.</w:t>
      </w:r>
    </w:p>
    <w:p>
      <w:pPr>
        <w:spacing w:after="0" w:line="2" w:lineRule="exact"/>
        <w:rPr>
          <w:rFonts w:ascii="Times New Roman" w:cs="Times New Roman" w:eastAsia="Times New Roman" w:hAnsi="Times New Roman"/>
          <w:sz w:val="24"/>
          <w:szCs w:val="24"/>
          <w:color w:val="auto"/>
          <w:vertAlign w:val="superscript"/>
        </w:rPr>
      </w:pPr>
    </w:p>
    <w:p>
      <w:pPr>
        <w:ind w:left="544" w:hanging="544"/>
        <w:spacing w:after="0" w:line="186" w:lineRule="auto"/>
        <w:tabs>
          <w:tab w:leader="none" w:pos="544" w:val="left"/>
        </w:tabs>
        <w:numPr>
          <w:ilvl w:val="0"/>
          <w:numId w:val="5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Appliable for each Test Date.</w:t>
      </w:r>
    </w:p>
    <w:p>
      <w:pPr>
        <w:spacing w:after="0" w:line="2" w:lineRule="exact"/>
        <w:rPr>
          <w:rFonts w:ascii="Times New Roman" w:cs="Times New Roman" w:eastAsia="Times New Roman" w:hAnsi="Times New Roman"/>
          <w:sz w:val="24"/>
          <w:szCs w:val="24"/>
          <w:color w:val="auto"/>
          <w:vertAlign w:val="superscript"/>
        </w:rPr>
      </w:pPr>
    </w:p>
    <w:p>
      <w:pPr>
        <w:ind w:left="544" w:hanging="544"/>
        <w:spacing w:after="0" w:line="186" w:lineRule="auto"/>
        <w:tabs>
          <w:tab w:leader="none" w:pos="544" w:val="left"/>
        </w:tabs>
        <w:numPr>
          <w:ilvl w:val="0"/>
          <w:numId w:val="5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Applicable for each Test Date.</w:t>
      </w:r>
    </w:p>
    <w:p>
      <w:pPr>
        <w:spacing w:after="0" w:line="2" w:lineRule="exact"/>
        <w:rPr>
          <w:rFonts w:ascii="Times New Roman" w:cs="Times New Roman" w:eastAsia="Times New Roman" w:hAnsi="Times New Roman"/>
          <w:sz w:val="24"/>
          <w:szCs w:val="24"/>
          <w:color w:val="auto"/>
          <w:vertAlign w:val="superscript"/>
        </w:rPr>
      </w:pPr>
    </w:p>
    <w:p>
      <w:pPr>
        <w:ind w:left="544" w:hanging="544"/>
        <w:spacing w:after="0" w:line="186" w:lineRule="auto"/>
        <w:tabs>
          <w:tab w:leader="none" w:pos="544" w:val="left"/>
        </w:tabs>
        <w:numPr>
          <w:ilvl w:val="0"/>
          <w:numId w:val="5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Applicable for each Test Date.</w:t>
      </w:r>
    </w:p>
    <w:p>
      <w:pPr>
        <w:spacing w:after="0" w:line="2" w:lineRule="exact"/>
        <w:rPr>
          <w:rFonts w:ascii="Times New Roman" w:cs="Times New Roman" w:eastAsia="Times New Roman" w:hAnsi="Times New Roman"/>
          <w:sz w:val="24"/>
          <w:szCs w:val="24"/>
          <w:color w:val="auto"/>
          <w:vertAlign w:val="superscript"/>
        </w:rPr>
      </w:pPr>
    </w:p>
    <w:p>
      <w:pPr>
        <w:ind w:left="544" w:hanging="544"/>
        <w:spacing w:after="0" w:line="186" w:lineRule="auto"/>
        <w:tabs>
          <w:tab w:leader="none" w:pos="544" w:val="left"/>
        </w:tabs>
        <w:numPr>
          <w:ilvl w:val="0"/>
          <w:numId w:val="5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Applicable for each Test Date.</w:t>
      </w:r>
    </w:p>
    <w:p>
      <w:pPr>
        <w:spacing w:after="0" w:line="2" w:lineRule="exact"/>
        <w:rPr>
          <w:rFonts w:ascii="Times New Roman" w:cs="Times New Roman" w:eastAsia="Times New Roman" w:hAnsi="Times New Roman"/>
          <w:sz w:val="24"/>
          <w:szCs w:val="24"/>
          <w:color w:val="auto"/>
          <w:vertAlign w:val="superscript"/>
        </w:rPr>
      </w:pPr>
    </w:p>
    <w:p>
      <w:pPr>
        <w:ind w:left="544" w:right="360" w:hanging="544"/>
        <w:spacing w:after="0" w:line="199" w:lineRule="auto"/>
        <w:tabs>
          <w:tab w:leader="none" w:pos="544" w:val="left"/>
        </w:tabs>
        <w:numPr>
          <w:ilvl w:val="0"/>
          <w:numId w:val="5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this statement cannot be made, the certificate should identify any Event of Default or Default that is continuing and the steps, if any, being taken to remedy it.</w:t>
      </w:r>
    </w:p>
    <w:p>
      <w:pPr>
        <w:spacing w:after="0" w:line="131"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24"/>
          </w:cols>
          <w:pgMar w:left="436" w:top="266" w:right="4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Calculation of the financial covenants</w:t>
      </w:r>
    </w:p>
    <w:p>
      <w:pPr>
        <w:spacing w:after="0" w:line="158"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20"/>
          </w:cols>
          <w:pgMar w:left="440" w:top="266" w:right="439" w:bottom="1440" w:gutter="0" w:footer="0" w:header="0"/>
        </w:sectPr>
      </w:pPr>
    </w:p>
    <w:bookmarkStart w:id="188" w:name="page189"/>
    <w:bookmarkEnd w:id="18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7</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IMETABLES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 [”] refers to the number of Business Days before the relevant Utilisation Date/the first day of the relevant Interest Period.</w:t>
      </w:r>
    </w:p>
    <w:p>
      <w:pPr>
        <w:spacing w:after="0" w:line="2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Loans</w:t>
      </w:r>
    </w:p>
    <w:p>
      <w:pPr>
        <w:sectPr>
          <w:pgSz w:w="11900" w:h="16838" w:orient="portrait"/>
          <w:cols w:equalWidth="0" w:num="1">
            <w:col w:w="11020"/>
          </w:cols>
          <w:pgMar w:left="440" w:top="266" w:right="439" w:bottom="1440" w:gutter="0" w:footer="0" w:header="0"/>
        </w:sectPr>
      </w:pPr>
    </w:p>
    <w:p>
      <w:pPr>
        <w:spacing w:after="0" w:line="10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Delivery of a duly completed Utilisation Request (Clause 5.1 (</w:t>
      </w:r>
      <w:r>
        <w:rPr>
          <w:rFonts w:ascii="Times New Roman" w:cs="Times New Roman" w:eastAsia="Times New Roman" w:hAnsi="Times New Roman"/>
          <w:sz w:val="18"/>
          <w:szCs w:val="18"/>
          <w:i w:val="1"/>
          <w:iCs w:val="1"/>
          <w:color w:val="auto"/>
        </w:rPr>
        <w:t>Delivery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Utilisation Request</w:t>
      </w:r>
      <w:r>
        <w:rPr>
          <w:rFonts w:ascii="Times New Roman" w:cs="Times New Roman" w:eastAsia="Times New Roman" w:hAnsi="Times New Roman"/>
          <w:sz w:val="18"/>
          <w:szCs w:val="18"/>
          <w:color w:val="auto"/>
        </w:rPr>
        <w:t>)) or a Selection Notice (Clause 11.1 (</w:t>
      </w:r>
      <w:r>
        <w:rPr>
          <w:rFonts w:ascii="Times New Roman" w:cs="Times New Roman" w:eastAsia="Times New Roman" w:hAnsi="Times New Roman"/>
          <w:sz w:val="18"/>
          <w:szCs w:val="18"/>
          <w:i w:val="1"/>
          <w:iCs w:val="1"/>
          <w:color w:val="auto"/>
        </w:rPr>
        <w:t>Selection of Interest Periods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 a.m. (London time)</w:t>
      </w:r>
    </w:p>
    <w:p>
      <w:pPr>
        <w:spacing w:after="0" w:line="325" w:lineRule="exact"/>
        <w:rPr>
          <w:sz w:val="20"/>
          <w:szCs w:val="20"/>
          <w:color w:val="auto"/>
        </w:rPr>
      </w:pPr>
    </w:p>
    <w:p>
      <w:pPr>
        <w:sectPr>
          <w:pgSz w:w="11900" w:h="16838" w:orient="portrait"/>
          <w:cols w:equalWidth="0" w:num="2">
            <w:col w:w="5540" w:space="200"/>
            <w:col w:w="5280"/>
          </w:cols>
          <w:pgMar w:left="440" w:top="266" w:right="4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Agent notifies the Lenders of the Loan in accordance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 –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4:00 p.m. (London time)</w:t>
      </w:r>
    </w:p>
    <w:p>
      <w:pPr>
        <w:spacing w:after="0" w:line="123"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EURIBOR is fixed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Quotation Day 11:00 a.m. (Brussels time)</w:t>
      </w:r>
    </w:p>
    <w:p>
      <w:pPr>
        <w:spacing w:after="0" w:line="129"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Reference Rate is fixed 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Quotation Day</w:t>
      </w:r>
    </w:p>
    <w:p>
      <w:pPr>
        <w:spacing w:after="0" w:line="169" w:lineRule="exact"/>
        <w:rPr>
          <w:sz w:val="20"/>
          <w:szCs w:val="20"/>
          <w:color w:val="auto"/>
        </w:rPr>
      </w:pPr>
    </w:p>
    <w:p>
      <w:pPr>
        <w:sectPr>
          <w:pgSz w:w="11900" w:h="16838" w:orient="portrait"/>
          <w:cols w:equalWidth="0" w:num="5">
            <w:col w:w="1720" w:space="140"/>
            <w:col w:w="40" w:space="140"/>
            <w:col w:w="40" w:space="140"/>
            <w:col w:w="280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A53429063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Polestar Facilities Agreement</w:t>
      </w:r>
    </w:p>
    <w:p>
      <w:pPr>
        <w:spacing w:after="0" w:line="200" w:lineRule="exact"/>
        <w:rPr>
          <w:sz w:val="20"/>
          <w:szCs w:val="20"/>
          <w:color w:val="auto"/>
        </w:rPr>
      </w:pPr>
    </w:p>
    <w:p>
      <w:pPr>
        <w:sectPr>
          <w:pgSz w:w="11900" w:h="16838" w:orient="portrait"/>
          <w:cols w:equalWidth="0" w:num="2">
            <w:col w:w="8160" w:space="720"/>
            <w:col w:w="2140"/>
          </w:cols>
          <w:pgMar w:left="440" w:top="266" w:right="439" w:bottom="1440" w:gutter="0" w:footer="0" w:header="0"/>
          <w:type w:val="continuous"/>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20"/>
          </w:cols>
          <w:pgMar w:left="440" w:top="266" w:right="439" w:bottom="1440" w:gutter="0" w:footer="0" w:header="0"/>
          <w:type w:val="continuous"/>
        </w:sectPr>
      </w:pPr>
    </w:p>
    <w:bookmarkStart w:id="189" w:name="page190"/>
    <w:bookmarkEnd w:id="18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8</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ORMS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OTIFIABLE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EBT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2264"/>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 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NTERING INTO</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OTIFIABLE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EBT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w:t>
      </w:r>
    </w:p>
    <w:p>
      <w:pPr>
        <w:spacing w:after="0" w:line="256"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[            ] 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-7620</wp:posOffset>
            </wp:positionV>
            <wp:extent cx="4572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[The Lender]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37"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8"/>
          <w:szCs w:val="18"/>
          <w:b w:val="1"/>
          <w:bCs w:val="1"/>
          <w:color w:val="auto"/>
        </w:rPr>
        <w:t>Polestar Automotive Holding UK PLC – Facilities Agreement dated ______________________ 2024 (the “Facilities Agreement”)</w:t>
      </w:r>
    </w:p>
    <w:p>
      <w:pPr>
        <w:spacing w:after="0" w:line="254" w:lineRule="exact"/>
        <w:rPr>
          <w:sz w:val="20"/>
          <w:szCs w:val="20"/>
          <w:color w:val="auto"/>
        </w:rPr>
      </w:pPr>
    </w:p>
    <w:p>
      <w:pPr>
        <w:ind w:left="544" w:right="160" w:hanging="544"/>
        <w:spacing w:after="0" w:line="284" w:lineRule="auto"/>
        <w:tabs>
          <w:tab w:leader="none" w:pos="544"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paragraph (b) of Clause 26.2 (</w:t>
      </w:r>
      <w:r>
        <w:rPr>
          <w:rFonts w:ascii="Times New Roman" w:cs="Times New Roman" w:eastAsia="Times New Roman" w:hAnsi="Times New Roman"/>
          <w:sz w:val="18"/>
          <w:szCs w:val="18"/>
          <w:i w:val="1"/>
          <w:iCs w:val="1"/>
          <w:color w:val="auto"/>
        </w:rPr>
        <w:t>Disenfranchisement of Sponsor Affiliates</w:t>
      </w:r>
      <w:r>
        <w:rPr>
          <w:rFonts w:ascii="Times New Roman" w:cs="Times New Roman" w:eastAsia="Times New Roman" w:hAnsi="Times New Roman"/>
          <w:sz w:val="18"/>
          <w:szCs w:val="18"/>
          <w:color w:val="auto"/>
        </w:rPr>
        <w:t>) of the Facilities Agreement. Terms defined in the Facilities Agreement have the same meaning in this notice unless given a different meaning in this notice.</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 Notifiable Debt Purchase Transaction.</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Notifiable Debt Purchase Transaction referred to in paragraph 2 above relates to the amount of our Commitment(s) as set out below.</w:t>
      </w:r>
    </w:p>
    <w:p>
      <w:pPr>
        <w:sectPr>
          <w:pgSz w:w="11900" w:h="16838" w:orient="portrait"/>
          <w:cols w:equalWidth="0" w:num="1">
            <w:col w:w="11024"/>
          </w:cols>
          <w:pgMar w:left="436" w:top="266" w:right="439" w:bottom="1440" w:gutter="0" w:footer="0" w:header="0"/>
        </w:sectPr>
      </w:pP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Commitment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Amount of our Commitment to which Notifiable Debt Purchase Transaction relates</w:t>
      </w:r>
    </w:p>
    <w:p>
      <w:pPr>
        <w:spacing w:after="0" w:line="29" w:lineRule="exact"/>
        <w:rPr>
          <w:sz w:val="20"/>
          <w:szCs w:val="20"/>
          <w:color w:val="auto"/>
        </w:rPr>
      </w:pPr>
    </w:p>
    <w:p>
      <w:pPr>
        <w:sectPr>
          <w:pgSz w:w="11900" w:h="16838" w:orient="portrait"/>
          <w:cols w:equalWidth="0" w:num="2">
            <w:col w:w="2484" w:space="720"/>
            <w:col w:w="7820"/>
          </w:cols>
          <w:pgMar w:left="436" w:top="266"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Commitment (Facility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amount (of that Commitment) to which the relevant Debt Purchase Transaction applies</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sectPr>
          <w:pgSz w:w="11900" w:h="16838" w:orient="portrait"/>
          <w:cols w:equalWidth="0" w:num="2">
            <w:col w:w="2484" w:space="720"/>
            <w:col w:w="7820"/>
          </w:cols>
          <w:pgMar w:left="436" w:top="266" w:right="439" w:bottom="1440" w:gutter="0" w:footer="0" w:header="0"/>
          <w:type w:val="continuous"/>
        </w:sectPr>
      </w:pP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Commitment (Facility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amount (of that Commitment) to which the relevant Debt Purchase Transaction applies</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sectPr>
          <w:pgSz w:w="11900" w:h="16838" w:orient="portrait"/>
          <w:cols w:equalWidth="0" w:num="2">
            <w:col w:w="2484" w:space="720"/>
            <w:col w:w="7820"/>
          </w:cols>
          <w:pgMar w:left="436" w:top="266" w:right="43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[Lender]</w:t>
      </w: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ectPr>
          <w:pgSz w:w="11900" w:h="16838" w:orient="portrait"/>
          <w:cols w:equalWidth="0" w:num="1">
            <w:col w:w="11024"/>
          </w:cols>
          <w:pgMar w:left="436" w:top="266" w:right="439" w:bottom="1440" w:gutter="0" w:footer="0" w:header="0"/>
          <w:type w:val="continuous"/>
        </w:sectPr>
      </w:pP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A53429063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Facilities Agreement</w:t>
      </w:r>
    </w:p>
    <w:p>
      <w:pPr>
        <w:spacing w:after="0" w:line="200" w:lineRule="exact"/>
        <w:rPr>
          <w:sz w:val="20"/>
          <w:szCs w:val="20"/>
          <w:color w:val="auto"/>
        </w:rPr>
      </w:pPr>
    </w:p>
    <w:p>
      <w:pPr>
        <w:sectPr>
          <w:pgSz w:w="11900" w:h="16838" w:orient="portrait"/>
          <w:cols w:equalWidth="0" w:num="2">
            <w:col w:w="8164" w:space="720"/>
            <w:col w:w="2140"/>
          </w:cols>
          <w:pgMar w:left="436" w:top="266" w:right="439" w:bottom="1440" w:gutter="0" w:footer="0" w:header="0"/>
          <w:type w:val="continuous"/>
        </w:sectPr>
      </w:pPr>
    </w:p>
    <w:p>
      <w:pPr>
        <w:spacing w:after="0" w:line="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24"/>
          </w:cols>
          <w:pgMar w:left="436" w:top="266" w:right="439" w:bottom="1440" w:gutter="0" w:footer="0" w:header="0"/>
          <w:type w:val="continuous"/>
        </w:sectPr>
      </w:pPr>
    </w:p>
    <w:bookmarkStart w:id="190" w:name="page191"/>
    <w:bookmarkEnd w:id="190"/>
    <w:tbl>
      <w:tblPr>
        <w:tblLayout w:type="fixed"/>
        <w:tblInd w:w="4"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6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7"/>
              </w:rPr>
              <w:t>PART II</w:t>
            </w:r>
          </w:p>
        </w:tc>
      </w:tr>
      <w:tr>
        <w:trPr>
          <w:trHeight w:val="432"/>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6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 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OTIFIABLE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EBT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18"/>
                <w:szCs w:val="18"/>
                <w:b w:val="1"/>
                <w:bCs w:val="1"/>
                <w:color w:val="auto"/>
              </w:rPr>
              <w:t xml:space="preserve"> /</w:t>
            </w:r>
          </w:p>
        </w:tc>
      </w:tr>
      <w:tr>
        <w:trPr>
          <w:trHeight w:val="432"/>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6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OTIFIABLE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EBT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 CEASING TO BE WITH</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PONSOR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FFILIATE</w:t>
            </w:r>
          </w:p>
        </w:tc>
      </w:tr>
      <w:tr>
        <w:trPr>
          <w:trHeight w:val="4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9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 as Agent</w:t>
            </w:r>
          </w:p>
        </w:tc>
      </w:tr>
      <w:tr>
        <w:trPr>
          <w:trHeight w:val="20"/>
        </w:trPr>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9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Lender]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648"/>
        </w:trPr>
        <w:tc>
          <w:tcPr>
            <w:tcW w:w="540" w:type="dxa"/>
            <w:vAlign w:val="bottom"/>
          </w:tcPr>
          <w:p>
            <w:pPr>
              <w:spacing w:after="0"/>
              <w:rPr>
                <w:sz w:val="24"/>
                <w:szCs w:val="24"/>
                <w:color w:val="auto"/>
              </w:rPr>
            </w:pPr>
          </w:p>
        </w:tc>
        <w:tc>
          <w:tcPr>
            <w:tcW w:w="9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Polestar Automotive Holding UK PLC – Facilities Agreement dated ______________________ 2024 (the “Facilities Agreement”)</w:t>
            </w:r>
          </w:p>
        </w:tc>
      </w:tr>
    </w:tbl>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4" w:right="180" w:hanging="544"/>
        <w:spacing w:after="0" w:line="284" w:lineRule="auto"/>
        <w:tabs>
          <w:tab w:leader="none" w:pos="544"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paragraph (c) of Clause 26.2 (</w:t>
      </w:r>
      <w:r>
        <w:rPr>
          <w:rFonts w:ascii="Times New Roman" w:cs="Times New Roman" w:eastAsia="Times New Roman" w:hAnsi="Times New Roman"/>
          <w:sz w:val="18"/>
          <w:szCs w:val="18"/>
          <w:i w:val="1"/>
          <w:iCs w:val="1"/>
          <w:color w:val="auto"/>
        </w:rPr>
        <w:t>Disenfranchisement of Sponsor Affiliates</w:t>
      </w:r>
      <w:r>
        <w:rPr>
          <w:rFonts w:ascii="Times New Roman" w:cs="Times New Roman" w:eastAsia="Times New Roman" w:hAnsi="Times New Roman"/>
          <w:sz w:val="18"/>
          <w:szCs w:val="18"/>
          <w:color w:val="auto"/>
        </w:rPr>
        <w:t>) of the Facilities Agreement. Terms defined in the Facilities Agreement have the same meaning in this notice unless given a different meaning in this notice.</w:t>
      </w:r>
    </w:p>
    <w:p>
      <w:pPr>
        <w:spacing w:after="0" w:line="65" w:lineRule="exact"/>
        <w:rPr>
          <w:rFonts w:ascii="Times New Roman" w:cs="Times New Roman" w:eastAsia="Times New Roman" w:hAnsi="Times New Roman"/>
          <w:sz w:val="18"/>
          <w:szCs w:val="18"/>
          <w:color w:val="auto"/>
        </w:rPr>
      </w:pPr>
    </w:p>
    <w:p>
      <w:pPr>
        <w:ind w:left="544" w:right="160" w:hanging="544"/>
        <w:spacing w:after="0" w:line="272" w:lineRule="auto"/>
        <w:tabs>
          <w:tab w:leader="none" w:pos="544"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Notifiable Debt Purchase Transaction which we entered into and which we notified you of in a notice dated [ ] has [terminated]/[ceased to be with a Sponsor Affiliate].</w:t>
      </w:r>
      <w:r>
        <w:rPr>
          <w:rFonts w:ascii="Times New Roman" w:cs="Times New Roman" w:eastAsia="Times New Roman" w:hAnsi="Times New Roman"/>
          <w:sz w:val="26"/>
          <w:szCs w:val="26"/>
          <w:color w:val="auto"/>
          <w:vertAlign w:val="superscript"/>
        </w:rPr>
        <w:t>23</w:t>
      </w:r>
    </w:p>
    <w:p>
      <w:pPr>
        <w:ind w:left="544" w:hanging="544"/>
        <w:spacing w:after="0"/>
        <w:tabs>
          <w:tab w:leader="none" w:pos="544"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Notifiable Debt Purchase Transaction referred to in paragraph 2 above relates to the amount of our Commitment(s)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-372110</wp:posOffset>
            </wp:positionV>
            <wp:extent cx="285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p>
      <w:pPr>
        <w:spacing w:after="0" w:line="2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Commitment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Amount of our Commitment to which Notifiable Debt Purchase Transaction relates</w:t>
      </w:r>
    </w:p>
    <w:p>
      <w:pPr>
        <w:spacing w:after="0" w:line="29" w:lineRule="exact"/>
        <w:rPr>
          <w:sz w:val="20"/>
          <w:szCs w:val="20"/>
          <w:color w:val="auto"/>
        </w:rPr>
      </w:pPr>
    </w:p>
    <w:p>
      <w:pPr>
        <w:sectPr>
          <w:pgSz w:w="11900" w:h="16838" w:orient="portrait"/>
          <w:cols w:equalWidth="0" w:num="2">
            <w:col w:w="1824" w:space="720"/>
            <w:col w:w="8480"/>
          </w:cols>
          <w:pgMar w:left="436" w:top="266"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Commitment (Facility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amount (of that Commitment) to which the relevant Debt Purchase Transaction applies</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sectPr>
          <w:pgSz w:w="11900" w:h="16838" w:orient="portrait"/>
          <w:cols w:equalWidth="0" w:num="2">
            <w:col w:w="1844" w:space="700"/>
            <w:col w:w="8480"/>
          </w:cols>
          <w:pgMar w:left="436" w:top="266" w:right="439" w:bottom="1440" w:gutter="0" w:footer="0" w:header="0"/>
          <w:type w:val="continuous"/>
        </w:sectPr>
      </w:pP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Commitment (Facility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amount (of that Commitment) to which the relevant Debt Purchase Transaction applies</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sectPr>
          <w:pgSz w:w="11900" w:h="16838" w:orient="portrait"/>
          <w:cols w:equalWidth="0" w:num="2">
            <w:col w:w="1824" w:space="720"/>
            <w:col w:w="8480"/>
          </w:cols>
          <w:pgMar w:left="436" w:top="266" w:right="43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[Lender]</w:t>
      </w: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type w:val="continuous"/>
        </w:sectPr>
      </w:pPr>
    </w:p>
    <w:p>
      <w:pPr>
        <w:spacing w:after="0" w:line="122" w:lineRule="exact"/>
        <w:rPr>
          <w:sz w:val="20"/>
          <w:szCs w:val="20"/>
          <w:color w:val="auto"/>
        </w:rPr>
      </w:pPr>
    </w:p>
    <w:p>
      <w:pPr>
        <w:ind w:left="544" w:hanging="544"/>
        <w:spacing w:after="0"/>
        <w:tabs>
          <w:tab w:leader="none" w:pos="544" w:val="left"/>
        </w:tabs>
        <w:numPr>
          <w:ilvl w:val="0"/>
          <w:numId w:val="5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Delete as applicable</w:t>
      </w:r>
    </w:p>
    <w:p>
      <w:pPr>
        <w:spacing w:after="0" w:line="130"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24"/>
          </w:cols>
          <w:pgMar w:left="436" w:top="266" w:right="439" w:bottom="1440" w:gutter="0" w:footer="0" w:header="0"/>
          <w:type w:val="continuous"/>
        </w:sectPr>
      </w:pPr>
    </w:p>
    <w:bookmarkStart w:id="191" w:name="page192"/>
    <w:bookmarkEnd w:id="19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9</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REEN</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OAN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MPACT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EPORT</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GREEN LOAN IMPACT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Standard Chartered Bank (the Agent)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 Basinghall Avenue, London EC2V 5DD, 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t>
      </w:r>
    </w:p>
    <w:p>
      <w:pPr>
        <w:spacing w:after="0" w:line="11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refer to the Agreement dated [●] 2024 between, among other, Polestar Automotive Holding UK plc as borrower, Polestar Performance AB as guarantor and the Agent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This is a Green Loan Impact Report required under the terms of the Agreement. Terms defined in the Agreement have the same meaning when used in this Green Loan Impact Report unless given a different meaning in this Green Loan Impact Report. This Green Loan Impact Report is a Finance Document under the Agreement.</w:t>
      </w:r>
    </w:p>
    <w:p>
      <w:pPr>
        <w:sectPr>
          <w:pgSz w:w="11900" w:h="16838" w:orient="portrait"/>
          <w:cols w:equalWidth="0" w:num="1">
            <w:col w:w="11020"/>
          </w:cols>
          <w:pgMar w:left="440" w:top="266" w:right="439" w:bottom="1440" w:gutter="0" w:footer="0" w:header="0"/>
        </w:sectPr>
      </w:pP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Name: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Polestar Automotive Holding UK plc</w:t>
      </w:r>
    </w:p>
    <w:p>
      <w:pPr>
        <w:spacing w:after="0" w:line="128"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Utilised amount of each Green Loan Facility (include currency) / Utilised amount of all Green Loan Transactions (include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344" w:lineRule="exact"/>
        <w:rPr>
          <w:sz w:val="20"/>
          <w:szCs w:val="20"/>
          <w:color w:val="auto"/>
        </w:rPr>
      </w:pPr>
    </w:p>
    <w:p>
      <w:pPr>
        <w:sectPr>
          <w:pgSz w:w="11900" w:h="16838" w:orient="portrait"/>
          <w:cols w:equalWidth="0" w:num="2">
            <w:col w:w="5300" w:space="44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Relevant Sustainable Development Goals (SDGs) to which the Green Loan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and / or Green Loan Transactions significantly contributed to:</w:t>
      </w:r>
    </w:p>
    <w:p>
      <w:pPr>
        <w:sectPr>
          <w:pgSz w:w="11900" w:h="16838" w:orient="portrait"/>
          <w:cols w:equalWidth="0" w:num="1">
            <w:col w:w="11020"/>
          </w:cols>
          <w:pgMar w:left="440" w:top="266" w:right="439" w:bottom="1440" w:gutter="0" w:footer="0" w:header="0"/>
          <w:type w:val="continuous"/>
        </w:sectPr>
      </w:pP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Details of how all utilisations under each Green Loan Facility and / or under all Green Loan Transactions have been applied towards the Eligible Green Activities and are compliant with the GLP.</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573" w:lineRule="exact"/>
        <w:rPr>
          <w:sz w:val="20"/>
          <w:szCs w:val="20"/>
          <w:color w:val="auto"/>
        </w:rPr>
      </w:pPr>
    </w:p>
    <w:p>
      <w:pPr>
        <w:sectPr>
          <w:pgSz w:w="11900" w:h="16838" w:orient="portrait"/>
          <w:cols w:equalWidth="0" w:num="2">
            <w:col w:w="5480" w:space="26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Specifically:</w:t>
      </w:r>
    </w:p>
    <w:p>
      <w:pPr>
        <w:sectPr>
          <w:pgSz w:w="11900" w:h="16838" w:orient="portrait"/>
          <w:cols w:equalWidth="0" w:num="1">
            <w:col w:w="11020"/>
          </w:cols>
          <w:pgMar w:left="440" w:top="266" w:right="439" w:bottom="1440" w:gutter="0" w:footer="0" w:header="0"/>
          <w:type w:val="continuous"/>
        </w:sectPr>
      </w:pP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 how the proceeds of the Green Loan Facility or Green Loan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Transactions have been applied to achieve the Eligible Green</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Activities;</w:t>
      </w:r>
    </w:p>
    <w:p>
      <w:pPr>
        <w:spacing w:after="0" w:line="112" w:lineRule="exact"/>
        <w:rPr>
          <w:sz w:val="20"/>
          <w:szCs w:val="20"/>
          <w:color w:val="auto"/>
        </w:rPr>
      </w:pPr>
    </w:p>
    <w:p>
      <w:pPr>
        <w:sectPr>
          <w:pgSz w:w="11900" w:h="16838" w:orient="portrait"/>
          <w:cols w:equalWidth="0" w:num="2">
            <w:col w:w="560" w:space="120"/>
            <w:col w:w="10340"/>
          </w:cols>
          <w:pgMar w:left="440" w:top="266"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 how the Eligible Green Activities fits with the Borrower’s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environmental sustainability objectives, including any eligibility</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criteria;</w:t>
      </w:r>
    </w:p>
    <w:p>
      <w:pPr>
        <w:spacing w:after="0" w:line="112" w:lineRule="exact"/>
        <w:rPr>
          <w:sz w:val="20"/>
          <w:szCs w:val="20"/>
          <w:color w:val="auto"/>
        </w:rPr>
      </w:pPr>
    </w:p>
    <w:p>
      <w:pPr>
        <w:sectPr>
          <w:pgSz w:w="11900" w:h="16838" w:orient="portrait"/>
          <w:cols w:equalWidth="0" w:num="2">
            <w:col w:w="560" w:space="120"/>
            <w:col w:w="10340"/>
          </w:cols>
          <w:pgMar w:left="440" w:top="266"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 what steps the Borrower has taken to ensure that the proceeds of the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Green Loan Facility or Green Loan Transactions have been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properly and clearly allocated towards the Eligible Green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Activities;</w:t>
      </w:r>
    </w:p>
    <w:p>
      <w:pPr>
        <w:spacing w:after="0" w:line="153" w:lineRule="exact"/>
        <w:rPr>
          <w:sz w:val="20"/>
          <w:szCs w:val="20"/>
          <w:color w:val="auto"/>
        </w:rPr>
      </w:pPr>
    </w:p>
    <w:p>
      <w:pPr>
        <w:sectPr>
          <w:pgSz w:w="11900" w:h="16838" w:orient="portrait"/>
          <w:cols w:equalWidth="0" w:num="2">
            <w:col w:w="560" w:space="120"/>
            <w:col w:w="103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A53429063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Polestar Facilities Agreement</w:t>
      </w:r>
    </w:p>
    <w:p>
      <w:pPr>
        <w:spacing w:after="0" w:line="200" w:lineRule="exact"/>
        <w:rPr>
          <w:sz w:val="20"/>
          <w:szCs w:val="20"/>
          <w:color w:val="auto"/>
        </w:rPr>
      </w:pPr>
    </w:p>
    <w:p>
      <w:pPr>
        <w:sectPr>
          <w:pgSz w:w="11900" w:h="16838" w:orient="portrait"/>
          <w:cols w:equalWidth="0" w:num="2">
            <w:col w:w="8160" w:space="720"/>
            <w:col w:w="2140"/>
          </w:cols>
          <w:pgMar w:left="440" w:top="266" w:right="439" w:bottom="1440" w:gutter="0" w:footer="0" w:header="0"/>
          <w:type w:val="continuous"/>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20"/>
          </w:cols>
          <w:pgMar w:left="440" w:top="266" w:right="439" w:bottom="1440" w:gutter="0" w:footer="0" w:header="0"/>
          <w:type w:val="continuous"/>
        </w:sectPr>
      </w:pPr>
    </w:p>
    <w:bookmarkStart w:id="192" w:name="page193"/>
    <w:bookmarkEnd w:id="1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 how the economic activity referred to in the Eligible Green</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Activities significantly contributed a positive impact to the relevant</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SDGs;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 the process applied to determine the level of positive impact; and</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 any supplemental information on the identification, management</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and mitigation of environmental and social risks associated with the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Eligible Green Activities.</w:t>
      </w:r>
    </w:p>
    <w:p>
      <w:pPr>
        <w:spacing w:after="0" w:line="112" w:lineRule="exact"/>
        <w:rPr>
          <w:sz w:val="20"/>
          <w:szCs w:val="20"/>
          <w:color w:val="auto"/>
        </w:rPr>
      </w:pPr>
    </w:p>
    <w:p>
      <w:pPr>
        <w:ind w:right="5460"/>
        <w:spacing w:after="0" w:line="266" w:lineRule="auto"/>
        <w:rPr>
          <w:sz w:val="20"/>
          <w:szCs w:val="20"/>
          <w:color w:val="auto"/>
        </w:rPr>
      </w:pPr>
      <w:r>
        <w:rPr>
          <w:rFonts w:ascii="Times New Roman" w:cs="Times New Roman" w:eastAsia="Times New Roman" w:hAnsi="Times New Roman"/>
          <w:sz w:val="18"/>
          <w:szCs w:val="18"/>
          <w:color w:val="auto"/>
        </w:rPr>
        <w:t>Details of any utilisations which are standing to the credit of the relevant dedicated bank account to be deployed in accordance with the Eligible Green Activities (Utilisations Awaiting Deployment).</w:t>
      </w:r>
    </w:p>
    <w:p>
      <w:pPr>
        <w:spacing w:after="0" w:line="68"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Relevant Jurisdictions:</w:t>
      </w:r>
      <w:r>
        <w:rPr>
          <w:sz w:val="20"/>
          <w:szCs w:val="20"/>
          <w:color w:val="auto"/>
        </w:rPr>
        <w:tab/>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Compliance Statement: We confirm that all utilisations under the Green Loan Facility and / or the Green Loan Transactions (as the case may be) have been or, in respect of Utilisations Awaiting Deployment, will be applied towards Eligible Green Activities and confirm compliance with clauses in the Agreement relating to the Eligible Green Activities and the GLP, including use of proceeds and relevant representations, warranties and undertakings. All relevant documents required to establish and support the statements made in this Green Loan Impact Report have been attached.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82"/>
              </w:rPr>
              <w:t>Signed: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3760" w:type="dxa"/>
            <w:vAlign w:val="bottom"/>
            <w:gridSpan w:val="3"/>
          </w:tcPr>
          <w:p>
            <w:pPr>
              <w:ind w:left="3080"/>
              <w:spacing w:after="0"/>
              <w:rPr>
                <w:sz w:val="20"/>
                <w:szCs w:val="20"/>
                <w:color w:val="auto"/>
              </w:rPr>
            </w:pPr>
            <w:r>
              <w:rPr>
                <w:rFonts w:ascii="Times New Roman" w:cs="Times New Roman" w:eastAsia="Times New Roman" w:hAnsi="Times New Roman"/>
                <w:sz w:val="18"/>
                <w:szCs w:val="18"/>
                <w:color w:val="auto"/>
                <w:w w:val="85"/>
              </w:rPr>
              <w:t>Signed: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43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82"/>
              </w:rPr>
              <w:t>Name:  </w:t>
            </w: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3660" w:type="dxa"/>
            <w:vAlign w:val="bottom"/>
            <w:gridSpan w:val="2"/>
          </w:tcPr>
          <w:p>
            <w:pPr>
              <w:ind w:left="3080"/>
              <w:spacing w:after="0"/>
              <w:rPr>
                <w:sz w:val="20"/>
                <w:szCs w:val="20"/>
                <w:color w:val="auto"/>
              </w:rPr>
            </w:pPr>
            <w:r>
              <w:rPr>
                <w:rFonts w:ascii="Times New Roman" w:cs="Times New Roman" w:eastAsia="Times New Roman" w:hAnsi="Times New Roman"/>
                <w:sz w:val="18"/>
                <w:szCs w:val="18"/>
                <w:color w:val="auto"/>
                <w:w w:val="76"/>
              </w:rPr>
              <w:t>Name: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62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39"/>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Title: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3760" w:type="dxa"/>
            <w:vAlign w:val="bottom"/>
            <w:gridSpan w:val="3"/>
          </w:tcPr>
          <w:p>
            <w:pPr>
              <w:ind w:left="3080"/>
              <w:spacing w:after="0"/>
              <w:rPr>
                <w:sz w:val="20"/>
                <w:szCs w:val="20"/>
                <w:color w:val="auto"/>
              </w:rPr>
            </w:pPr>
            <w:r>
              <w:rPr>
                <w:rFonts w:ascii="Times New Roman" w:cs="Times New Roman" w:eastAsia="Times New Roman" w:hAnsi="Times New Roman"/>
                <w:sz w:val="18"/>
                <w:szCs w:val="18"/>
                <w:color w:val="auto"/>
              </w:rPr>
              <w:t xml:space="preserve">Title: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420" w:type="dxa"/>
            <w:vAlign w:val="bottom"/>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98"/>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A53429063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Polestar Facilities Agreement</w:t>
            </w:r>
          </w:p>
        </w:tc>
      </w:tr>
      <w:tr>
        <w:trPr>
          <w:trHeight w:val="432"/>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020"/>
          </w:cols>
          <w:pgMar w:left="440" w:top="378" w:right="439" w:bottom="1440" w:gutter="0" w:footer="0" w:header="0"/>
        </w:sectPr>
      </w:pPr>
    </w:p>
    <w:bookmarkStart w:id="193" w:name="page194"/>
    <w:bookmarkEnd w:id="1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rPr>
              <w:t>SCHEDULE 10</w:t>
            </w:r>
          </w:p>
        </w:tc>
      </w:tr>
      <w:tr>
        <w:trPr>
          <w:trHeight w:val="432"/>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6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QPP C</w:t>
            </w:r>
            <w:r>
              <w:rPr>
                <w:rFonts w:ascii="Times New Roman" w:cs="Times New Roman" w:eastAsia="Times New Roman" w:hAnsi="Times New Roman"/>
                <w:sz w:val="14"/>
                <w:szCs w:val="14"/>
                <w:b w:val="1"/>
                <w:bCs w:val="1"/>
                <w:color w:val="auto"/>
              </w:rPr>
              <w:t>ERTIFICATE</w:t>
            </w:r>
          </w:p>
        </w:tc>
      </w:tr>
      <w:tr>
        <w:trPr>
          <w:trHeight w:val="45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5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Polestar Automotive Holding UK PLC as Borrower</w:t>
            </w:r>
          </w:p>
        </w:tc>
      </w:tr>
      <w:tr>
        <w:trPr>
          <w:trHeight w:val="45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5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Lender</w:t>
            </w:r>
            <w:r>
              <w:rPr>
                <w:rFonts w:ascii="Times New Roman" w:cs="Times New Roman" w:eastAsia="Times New Roman" w:hAnsi="Times New Roman"/>
                <w:sz w:val="18"/>
                <w:szCs w:val="18"/>
                <w:color w:val="auto"/>
              </w:rPr>
              <w:t>]</w:t>
            </w:r>
          </w:p>
        </w:tc>
      </w:tr>
      <w:tr>
        <w:trPr>
          <w:trHeight w:val="4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Polestar Automotive Holding UK PLC– Facilities Agreement</w:t>
      </w:r>
    </w:p>
    <w:p>
      <w:pPr>
        <w:spacing w:after="0" w:line="31" w:lineRule="exact"/>
        <w:rPr>
          <w:sz w:val="20"/>
          <w:szCs w:val="20"/>
          <w:color w:val="auto"/>
        </w:rPr>
      </w:pPr>
    </w:p>
    <w:p>
      <w:pPr>
        <w:ind w:left="3884"/>
        <w:spacing w:after="0"/>
        <w:rPr>
          <w:sz w:val="20"/>
          <w:szCs w:val="20"/>
          <w:color w:val="auto"/>
        </w:rPr>
      </w:pPr>
      <w:r>
        <w:rPr>
          <w:rFonts w:ascii="Times New Roman" w:cs="Times New Roman" w:eastAsia="Times New Roman" w:hAnsi="Times New Roman"/>
          <w:sz w:val="18"/>
          <w:szCs w:val="18"/>
          <w:b w:val="1"/>
          <w:bCs w:val="1"/>
          <w:color w:val="auto"/>
        </w:rPr>
        <w:t>dated __________ 2024 (the “Agreement“)</w:t>
      </w:r>
    </w:p>
    <w:p>
      <w:pPr>
        <w:spacing w:after="0" w:line="234" w:lineRule="exact"/>
        <w:rPr>
          <w:sz w:val="20"/>
          <w:szCs w:val="20"/>
          <w:color w:val="auto"/>
        </w:rPr>
      </w:pPr>
    </w:p>
    <w:p>
      <w:pPr>
        <w:ind w:left="544" w:right="260" w:hanging="544"/>
        <w:spacing w:after="0" w:line="213" w:lineRule="auto"/>
        <w:tabs>
          <w:tab w:leader="none" w:pos="544"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Agreement. This is a QPP Certificate</w:t>
      </w:r>
      <w:r>
        <w:rPr>
          <w:rFonts w:ascii="Times New Roman" w:cs="Times New Roman" w:eastAsia="Times New Roman" w:hAnsi="Times New Roman"/>
          <w:sz w:val="26"/>
          <w:szCs w:val="26"/>
          <w:color w:val="auto"/>
          <w:vertAlign w:val="superscript"/>
        </w:rPr>
        <w:t>24</w:t>
      </w:r>
      <w:r>
        <w:rPr>
          <w:rFonts w:ascii="Times New Roman" w:cs="Times New Roman" w:eastAsia="Times New Roman" w:hAnsi="Times New Roman"/>
          <w:sz w:val="18"/>
          <w:szCs w:val="18"/>
          <w:color w:val="auto"/>
        </w:rPr>
        <w:t>. Terms defined in the Agreement have the same meaning in this QPP Certificate unless given a different meaning in this QPP Certificate.</w:t>
      </w:r>
    </w:p>
    <w:p>
      <w:pPr>
        <w:spacing w:after="0" w:line="10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beneficially entitled to all interest payable to us as a Lender under the Loan;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resident of a qualifying territory; and</w:t>
      </w:r>
    </w:p>
    <w:p>
      <w:pPr>
        <w:spacing w:after="0" w:line="130"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beneficially entitled to the interest which is payable to us on the Loan for genuine commercial reasons, and not as part of a tax advantage scheme.</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These confirmations together form a creditor certificate.</w:t>
      </w:r>
    </w:p>
    <w:p>
      <w:pPr>
        <w:spacing w:after="0" w:line="131" w:lineRule="exact"/>
        <w:rPr>
          <w:sz w:val="20"/>
          <w:szCs w:val="20"/>
          <w:color w:val="auto"/>
        </w:rPr>
      </w:pPr>
    </w:p>
    <w:p>
      <w:pPr>
        <w:ind w:left="544" w:right="640" w:hanging="544"/>
        <w:spacing w:after="0" w:line="282" w:lineRule="auto"/>
        <w:tabs>
          <w:tab w:leader="none" w:pos="544"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QPP Certificate the terms “resident”, “qualifying territory”, “scheme”, “tax advantage scheme” and “creditor certificate” have the meaning given to them in the Qualifying Private Placement Regulations 2015 (2015 No. 2002).</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Lender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23" w:lineRule="exact"/>
        <w:rPr>
          <w:sz w:val="20"/>
          <w:szCs w:val="20"/>
          <w:color w:val="auto"/>
        </w:rPr>
      </w:pPr>
    </w:p>
    <w:p>
      <w:pPr>
        <w:ind w:left="4"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This QPP Certificate is required where a lender is a person eligible for the UK withholding tax exemption for qualifying private placements; a separate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QPP Certificate should be provided by each such lender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3" w:lineRule="exact"/>
        <w:rPr>
          <w:sz w:val="20"/>
          <w:szCs w:val="20"/>
          <w:color w:val="auto"/>
        </w:rPr>
      </w:pPr>
    </w:p>
    <w:p>
      <w:pPr>
        <w:ind w:left="544" w:right="520" w:hanging="544"/>
        <w:spacing w:after="0" w:line="208" w:lineRule="auto"/>
        <w:tabs>
          <w:tab w:leader="none" w:pos="544" w:val="left"/>
        </w:tabs>
        <w:numPr>
          <w:ilvl w:val="0"/>
          <w:numId w:val="5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QPP Certificate is to be executed if the Original Lender is a person eligible for the UK withholding tax exemption for qualifying private placements.</w:t>
      </w:r>
    </w:p>
    <w:p>
      <w:pPr>
        <w:spacing w:after="0" w:line="132" w:lineRule="exact"/>
        <w:rPr>
          <w:sz w:val="20"/>
          <w:szCs w:val="20"/>
          <w:color w:val="auto"/>
        </w:rPr>
      </w:pPr>
    </w:p>
    <w:p>
      <w:pPr>
        <w:ind w:left="4"/>
        <w:spacing w:after="0"/>
        <w:tabs>
          <w:tab w:leader="none" w:pos="8864" w:val="left"/>
        </w:tabs>
        <w:rPr>
          <w:sz w:val="20"/>
          <w:szCs w:val="20"/>
          <w:color w:val="auto"/>
        </w:rPr>
      </w:pPr>
      <w:r>
        <w:rPr>
          <w:rFonts w:ascii="Times New Roman" w:cs="Times New Roman" w:eastAsia="Times New Roman" w:hAnsi="Times New Roman"/>
          <w:sz w:val="18"/>
          <w:szCs w:val="18"/>
          <w:color w:val="auto"/>
        </w:rPr>
        <w:t>A53429063</w:t>
      </w:r>
      <w:r>
        <w:rPr>
          <w:sz w:val="20"/>
          <w:szCs w:val="20"/>
          <w:color w:val="auto"/>
        </w:rPr>
        <w:tab/>
      </w:r>
      <w:r>
        <w:rPr>
          <w:rFonts w:ascii="Times New Roman" w:cs="Times New Roman" w:eastAsia="Times New Roman" w:hAnsi="Times New Roman"/>
          <w:sz w:val="18"/>
          <w:szCs w:val="18"/>
          <w:color w:val="auto"/>
        </w:rPr>
        <w:t>Polestar Facilities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24"/>
          </w:cols>
          <w:pgMar w:left="436" w:top="266" w:right="439" w:bottom="1440" w:gutter="0" w:footer="0" w:header="0"/>
        </w:sectPr>
      </w:pPr>
    </w:p>
    <w:bookmarkStart w:id="194" w:name="page195"/>
    <w:bookmarkEnd w:id="19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Assar Gabrielssons väg 9, Göteborg, SE-405 31, Sweden</w:t>
            </w:r>
          </w:p>
        </w:tc>
      </w:tr>
      <w:tr>
        <w:trPr>
          <w:trHeight w:val="45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 N/A</w:t>
            </w:r>
          </w:p>
        </w:tc>
      </w:tr>
      <w:tr>
        <w:trPr>
          <w:trHeight w:val="45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1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with a copy to legal@polestar.com</w:t>
            </w:r>
          </w:p>
        </w:tc>
      </w:tr>
      <w:tr>
        <w:trPr>
          <w:trHeight w:val="20"/>
        </w:trPr>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440" w:top="266" w:right="439" w:bottom="1440" w:gutter="0" w:footer="0" w:header="0"/>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authorised signatory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Per Ansgar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authorised signatory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Ansgar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58" w:lineRule="exact"/>
        <w:rPr>
          <w:sz w:val="20"/>
          <w:szCs w:val="20"/>
          <w:color w:val="auto"/>
        </w:rPr>
      </w:pPr>
    </w:p>
    <w:p>
      <w:pPr>
        <w:sectPr>
          <w:pgSz w:w="11900" w:h="16838" w:orient="portrait"/>
          <w:cols w:equalWidth="0" w:num="2">
            <w:col w:w="5120" w:space="720"/>
            <w:col w:w="5180"/>
          </w:cols>
          <w:pgMar w:left="440" w:top="266" w:right="439" w:bottom="1440" w:gutter="0" w:footer="0" w:header="0"/>
          <w:type w:val="continuous"/>
        </w:sectPr>
      </w:pPr>
    </w:p>
    <w:p>
      <w:pPr>
        <w:ind w:left="8900"/>
        <w:spacing w:after="0"/>
        <w:rPr>
          <w:sz w:val="20"/>
          <w:szCs w:val="20"/>
          <w:color w:val="auto"/>
        </w:rPr>
      </w:pPr>
      <w:r>
        <w:rPr>
          <w:rFonts w:ascii="Times New Roman" w:cs="Times New Roman" w:eastAsia="Times New Roman" w:hAnsi="Times New Roman"/>
          <w:sz w:val="17"/>
          <w:szCs w:val="17"/>
          <w:color w:val="auto"/>
        </w:rPr>
        <w:t>Polestar Facilities Agreement</w:t>
      </w:r>
    </w:p>
    <w:p>
      <w:pPr>
        <w:sectPr>
          <w:pgSz w:w="11900" w:h="16838" w:orient="portrait"/>
          <w:cols w:equalWidth="0" w:num="1">
            <w:col w:w="11020"/>
          </w:cols>
          <w:pgMar w:left="440" w:top="266" w:right="43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Guarantor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PERFORMANCE AB</w:t>
      </w:r>
    </w:p>
    <w:p>
      <w:pPr>
        <w:spacing w:after="0" w:line="25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color w:val="auto"/>
        </w:rPr>
        <w:t>Address:</w:t>
      </w:r>
      <w:r>
        <w:rPr>
          <w:sz w:val="20"/>
          <w:szCs w:val="20"/>
          <w:color w:val="auto"/>
        </w:rPr>
        <w:tab/>
      </w:r>
      <w:r>
        <w:rPr>
          <w:rFonts w:ascii="Times New Roman" w:cs="Times New Roman" w:eastAsia="Times New Roman" w:hAnsi="Times New Roman"/>
          <w:sz w:val="17"/>
          <w:szCs w:val="17"/>
          <w:color w:val="auto"/>
        </w:rPr>
        <w:t>Assar Gabrielssons väg 9, Göteborg, SE-405 31, Sweden</w:t>
      </w:r>
    </w:p>
    <w:p>
      <w:pPr>
        <w:spacing w:after="0" w:line="2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Attention:</w:t>
        <w:tab/>
        <w:t>[***]</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 with a copy to legal@polestar.com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3604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authorised signatory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3604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Per Ansgar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2143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authorised signatory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Ansgar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2143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2">
            <w:col w:w="5220" w:space="720"/>
            <w:col w:w="5080"/>
          </w:cols>
          <w:pgMar w:left="440" w:top="266"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Global Coordinator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Christophe Cerisier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Christophe Cerisier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Charmaine Lo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Charmaine Lo</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Global Coordinator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NATIXIS, HONG KONG BRANCH (incorporated in France and the liability of its members is limited)</w:t>
      </w:r>
    </w:p>
    <w:p>
      <w:pPr>
        <w:sectPr>
          <w:pgSz w:w="11900" w:h="16838" w:orient="portrait"/>
          <w:cols w:equalWidth="0" w:num="1">
            <w:col w:w="11020"/>
          </w:cols>
          <w:pgMar w:left="440" w:top="266" w:right="439"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/s/ Kevin Ye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/s/ Claire Chen</w:t>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Kevin Ye, Acquisition &amp; Strategic Finance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Claire Chen, Acquisition &amp; Strategic Finance</w:t>
      </w:r>
    </w:p>
    <w:p>
      <w:pPr>
        <w:spacing w:after="0" w:line="15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Polestar Facilities Agreement</w:t>
      </w:r>
    </w:p>
    <w:p>
      <w:pPr>
        <w:sectPr>
          <w:pgSz w:w="11900" w:h="16838" w:orient="portrait"/>
          <w:cols w:equalWidth="0" w:num="2">
            <w:col w:w="5020" w:space="720"/>
            <w:col w:w="5280"/>
          </w:cols>
          <w:pgMar w:left="440" w:top="266" w:right="439" w:bottom="144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Global Coordinator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CHARTERED BANK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Simon Derrick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Simon Derrick</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Joint Green Loan Lead Coordinator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BANCO BILBAO VIZCAYA ARGENTARIA, S.A., LONDON BRANCH</w:t>
      </w:r>
    </w:p>
    <w:p>
      <w:pPr>
        <w:sectPr>
          <w:pgSz w:w="11900" w:h="16838" w:orient="portrait"/>
          <w:cols w:equalWidth="0" w:num="1">
            <w:col w:w="11020"/>
          </w:cols>
          <w:pgMar w:left="440" w:top="266" w:right="439"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/s/ Pedro Garrido</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/s/ Eugenia Rubio</w:t>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Pedro Garrido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Eugenia Rubio</w:t>
      </w:r>
    </w:p>
    <w:p>
      <w:pPr>
        <w:spacing w:after="0" w:line="169"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jc w:val="right"/>
        <w:spacing w:after="0"/>
        <w:rPr>
          <w:sz w:val="20"/>
          <w:szCs w:val="20"/>
          <w:color w:val="auto"/>
        </w:rPr>
      </w:pPr>
      <w:r>
        <w:rPr>
          <w:rFonts w:ascii="Times New Roman" w:cs="Times New Roman" w:eastAsia="Times New Roman" w:hAnsi="Times New Roman"/>
          <w:sz w:val="17"/>
          <w:szCs w:val="17"/>
          <w:color w:val="auto"/>
        </w:rPr>
        <w:t>Polestar Facilities Agreement</w:t>
      </w:r>
    </w:p>
    <w:p>
      <w:pPr>
        <w:sectPr>
          <w:pgSz w:w="11900" w:h="16838" w:orient="portrait"/>
          <w:cols w:equalWidth="0" w:num="1">
            <w:col w:w="11020"/>
          </w:cols>
          <w:pgMar w:left="440" w:top="266" w:right="43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Joint Green Loan Lead Coordinator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Christophe Cerisier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Christophe Cerisier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Charmaine Lo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Charmaine Lo</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Joint Green Loan Lead Coordinator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NATIXIS, HONG KONG BRANCH (incorporated in France and the liability of its members is limited)</w:t>
      </w:r>
    </w:p>
    <w:p>
      <w:pPr>
        <w:sectPr>
          <w:pgSz w:w="11900" w:h="16838" w:orient="portrait"/>
          <w:cols w:equalWidth="0" w:num="1">
            <w:col w:w="11020"/>
          </w:cols>
          <w:pgMar w:left="440" w:top="266" w:right="439"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/s/ Kevin Ye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/s/ Claire Chen</w:t>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Kevin Ye, Acquisition &amp; Strategic Finance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Claire Chen, Acquisition &amp; Strategic Finance</w:t>
      </w:r>
    </w:p>
    <w:p>
      <w:pPr>
        <w:spacing w:after="0" w:line="15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Polestar Facilities Agreement</w:t>
      </w:r>
    </w:p>
    <w:p>
      <w:pPr>
        <w:sectPr>
          <w:pgSz w:w="11900" w:h="16838" w:orient="portrait"/>
          <w:cols w:equalWidth="0" w:num="2">
            <w:col w:w="5020" w:space="720"/>
            <w:col w:w="5280"/>
          </w:cols>
          <w:pgMar w:left="440" w:top="266" w:right="43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Joint Green Loan Lead Coordinator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CHARTERED BANK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Simon Derrick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Simon Derrick</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Green Loan Coordinator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HONGKONG AND SHANGHAI BANKING CORPORATION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Alice C F Cheng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Alice C F Cheng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Ethan T Y Leung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Ethan T Y Leung</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Mandated Lead Arranger and Bookrunner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Christophe Cerisier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Christophe Cerisier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Charmaine Lo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Charmaine Lo</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Mandated Lead Arranger and Bookrunner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NATIXIS, HONG KONG BRANCH (incorporated in France and the liability of its members is limited)</w:t>
      </w:r>
    </w:p>
    <w:p>
      <w:pPr>
        <w:sectPr>
          <w:pgSz w:w="11900" w:h="16838" w:orient="portrait"/>
          <w:cols w:equalWidth="0" w:num="1">
            <w:col w:w="11020"/>
          </w:cols>
          <w:pgMar w:left="440" w:top="266" w:right="439"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/s/ Kevin Ye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/s/ Claire Chen</w:t>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Kevin Ye, Acquisition &amp; Strategic Finance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Claire Chen, Acquisition &amp; Strategic Finance</w:t>
      </w:r>
    </w:p>
    <w:p>
      <w:pPr>
        <w:spacing w:after="0" w:line="15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Polestar Facilities Agreement</w:t>
      </w:r>
    </w:p>
    <w:p>
      <w:pPr>
        <w:sectPr>
          <w:pgSz w:w="11900" w:h="16838" w:orient="portrait"/>
          <w:cols w:equalWidth="0" w:num="2">
            <w:col w:w="5020" w:space="720"/>
            <w:col w:w="5280"/>
          </w:cols>
          <w:pgMar w:left="440" w:top="266" w:right="439" w:bottom="144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Mandated Lead Arranger and Bookrunner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CHARTERED BANK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Simon Derrick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Simon Derrick</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Mandated Lead Arranger and Bookrunner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HONGKONG AND SHANGHAI BANKING CORPORATION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Alice C F Cheng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Alice C F Cheng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Ethan T Y Leung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Ethan T Y Leung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Jeff Lim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Jeff Lim, Head of Loans Origination, Hong Kong Leveraged &amp; Acquisition Finance Global Banking</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Mandated Lead Arranger and Bookrunner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BANCO BILBAO VIZCAYA ARGENTARIA, S.A., LONDON BRANCH</w:t>
      </w:r>
    </w:p>
    <w:p>
      <w:pPr>
        <w:sectPr>
          <w:pgSz w:w="11900" w:h="16838" w:orient="portrait"/>
          <w:cols w:equalWidth="0" w:num="1">
            <w:col w:w="11020"/>
          </w:cols>
          <w:pgMar w:left="440" w:top="266" w:right="439"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/s/ Pedro Garrido</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/s/ Eugenia Rubio</w:t>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Pedro Garrido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Eugenia Rubio</w:t>
      </w:r>
    </w:p>
    <w:p>
      <w:pPr>
        <w:spacing w:after="0" w:line="169"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jc w:val="right"/>
        <w:spacing w:after="0"/>
        <w:rPr>
          <w:sz w:val="20"/>
          <w:szCs w:val="20"/>
          <w:color w:val="auto"/>
        </w:rPr>
      </w:pPr>
      <w:r>
        <w:rPr>
          <w:rFonts w:ascii="Times New Roman" w:cs="Times New Roman" w:eastAsia="Times New Roman" w:hAnsi="Times New Roman"/>
          <w:sz w:val="17"/>
          <w:szCs w:val="17"/>
          <w:color w:val="auto"/>
        </w:rPr>
        <w:t>Polestar Facilities Agreement</w:t>
      </w:r>
    </w:p>
    <w:p>
      <w:pPr>
        <w:sectPr>
          <w:pgSz w:w="11900" w:h="16838" w:orient="portrait"/>
          <w:cols w:equalWidth="0" w:num="1">
            <w:col w:w="11020"/>
          </w:cols>
          <w:pgMar w:left="440" w:top="266" w:right="439" w:bottom="144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Mandated Lead Arranger and Bookrunner</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SHANGHAI PUDONG DEVELOPMENT BANK CO., LTD. (acting through its Offshore Banking Unit) (a company incorporated in the PRC with limited liability)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Ren Jun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Ren Jun</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Mandated Lead Arranger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CRÉDIT AGRICOLE CORPORATE AND INVESTMENT BANK (incorporated in France with limited liability)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Pam Kwok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Pam Kwok,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Kenneth Lee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Kenneth Lee, Managing Director</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Mandated Lead Arranger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BOHAI BANK CO., LTD. SHANGHAI FREE TRADE ZONE BRANCH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China Bohai Bank Co., Ltd. Shanghai Free Trade Zone Branch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China Bohai Bank Co., Ltd. Shanghai Free Trade Zone Branch</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Mandated Lead Arranger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MIZUHO BANK, LTD. (incorporated in Japan with limited liability)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Emily Lim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Emily Lim, Head of Loan Capital Markets</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Mandated Lead Arranger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MUFG Bank, Ltd. (incorporated in Japan with limited liability), Hong Kong Branch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Ip Ngai Ling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Ip Ngai Ling, Managing Director Head of Global Corporate Banking, Hong Kong</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Mandated Lead Arranger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CITIGROUP GLOBAL MARKETS ASIA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Vincent Yeung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Vincent Yeung, Director</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Mandated Lead Arranger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ZHESHANG BANK CO., LTD. (HANGZHOU BRANCH)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China Zheshang Bank Co.,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China Zheshang Bank Co., Ltd.</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CHARTERED BANK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 Basinghall Avenue,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London, EC2V 5DD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+4420 7885 9728</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Asset Servicing – Manager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Loans.AgencyUK@sc.com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Faye Drew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Faye Drew</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Security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CHARTERED BANK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 Basinghall Avenue,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London, EC2V 5DD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+4420 7885 9728</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Asset Servicing – Manager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Loans.AgencyUK@sc.com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Faye Drew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Faye Drew</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Account 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CHARTERED BANK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Karin Flinspach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Karin Flinspach</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Christophe Cerisier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Christophe Cerisier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Charmaine Lo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Charmaine Lo</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NATIXIS, HONG KONG BRANCH (incorporated in France and the liability of its members is limited)</w:t>
      </w:r>
    </w:p>
    <w:p>
      <w:pPr>
        <w:sectPr>
          <w:pgSz w:w="11900" w:h="16838" w:orient="portrait"/>
          <w:cols w:equalWidth="0" w:num="1">
            <w:col w:w="11020"/>
          </w:cols>
          <w:pgMar w:left="440" w:top="266" w:right="439"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/s/ Kevin Ye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/s/ Claire Chen</w:t>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Kevin Ye, Acquisition &amp; Strategic Finance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Claire Chen, Acquisition &amp; Strategic Finance</w:t>
      </w:r>
    </w:p>
    <w:p>
      <w:pPr>
        <w:spacing w:after="0" w:line="15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Polestar Facilities Agreement</w:t>
      </w:r>
    </w:p>
    <w:p>
      <w:pPr>
        <w:sectPr>
          <w:pgSz w:w="11900" w:h="16838" w:orient="portrait"/>
          <w:cols w:equalWidth="0" w:num="2">
            <w:col w:w="5020" w:space="720"/>
            <w:col w:w="5280"/>
          </w:cols>
          <w:pgMar w:left="440" w:top="266" w:right="439" w:bottom="1440" w:gutter="0" w:footer="0" w:header="0"/>
          <w:type w:val="continuous"/>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CHARTERED BANK (HONG KONG)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Gao Ying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Gao Ying, Managing Director, Client Coverage, Corporate, Commercial &amp; Institutional Banking Hong Kong</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BANCO BILBAO VIZCAYA ARGENTARIA, S.A., LONDON BRANCH</w:t>
      </w:r>
    </w:p>
    <w:p>
      <w:pPr>
        <w:sectPr>
          <w:pgSz w:w="11900" w:h="16838" w:orient="portrait"/>
          <w:cols w:equalWidth="0" w:num="1">
            <w:col w:w="11020"/>
          </w:cols>
          <w:pgMar w:left="440" w:top="266" w:right="439"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/s/ Pedro Garrido</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/s/ Eugenia Rubio</w:t>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Pedro Garrido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Eugenia Rubio</w:t>
      </w:r>
    </w:p>
    <w:p>
      <w:pPr>
        <w:spacing w:after="0" w:line="169"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jc w:val="right"/>
        <w:spacing w:after="0"/>
        <w:rPr>
          <w:sz w:val="20"/>
          <w:szCs w:val="20"/>
          <w:color w:val="auto"/>
        </w:rPr>
      </w:pPr>
      <w:r>
        <w:rPr>
          <w:rFonts w:ascii="Times New Roman" w:cs="Times New Roman" w:eastAsia="Times New Roman" w:hAnsi="Times New Roman"/>
          <w:sz w:val="17"/>
          <w:szCs w:val="17"/>
          <w:color w:val="auto"/>
        </w:rPr>
        <w:t>Polestar Facilities Agreement</w:t>
      </w:r>
    </w:p>
    <w:p>
      <w:pPr>
        <w:sectPr>
          <w:pgSz w:w="11900" w:h="16838" w:orient="portrait"/>
          <w:cols w:equalWidth="0" w:num="1">
            <w:col w:w="11020"/>
          </w:cols>
          <w:pgMar w:left="440" w:top="266" w:right="439"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HONGKONG AND SHANGHAI BANKING CORPORATION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Alice C F Cheng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Alice C F Cheng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Ethan T Y Leung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Ethan T Y Leung</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Lender</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SHANGHAI PUDONG DEVELOPMENT BANK CO., LTD. (acting through its Offshore Banking Unit) (a company incorporated in the PRC with limited liability)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Ren Jun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Ren Jun</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Lender</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CRÉDIT AGRICOLE CORPORATE AND INVESTMENT BANK, HONG KONG BRANCH (INCORPORATED IN FRANCE WITH LIMITED LIABILITY)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Pam Kwok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Pam Kwok,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Kenneth Lee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Kenneth Lee, Managing Director</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CITIBANK N.A., LONDON BRANCH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Irina Kim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Irina Kim</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MIZUHO BANK, LTD. (INCORPORATED IN JAPAN WITH LIMITED LIABILITY), HONG KONG BRANCH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Micky Gu</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Micky Gu, Managing Director</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MUFG Bank, Ltd. (incorporated in Japan with limited liability), Hong Kong Branch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Ip Ngai Ling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Ip Ngai Ling, Managing Director Head of Global Corporate Banking, Hong Kong</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Bohai Bank Co., Ltd. Shanghai Free Trade Zone Branch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China Bohai Bank Co., Ltd. Shanghai Free Trade Zone Branch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China Bohai Bank Co., Ltd. Shanghai Free Trade Zone Branch</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ZHESHANG BANK CO., LTD. (HANGZHOU BRANCH)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China Zheshang Bank Co.,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China Zheshang Bank Co., Ltd.</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Polestar Facilities Agreement</w:t>
      </w:r>
    </w:p>
    <w:p>
      <w:pPr>
        <w:sectPr>
          <w:pgSz w:w="11900" w:h="16838" w:orient="portrait"/>
          <w:cols w:equalWidth="0" w:num="1">
            <w:col w:w="11020"/>
          </w:cols>
          <w:pgMar w:left="440" w:top="266" w:right="4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582930"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secures USD 1 billion external funding;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 confirmed</w:t>
      </w:r>
    </w:p>
    <w:p>
      <w:pPr>
        <w:spacing w:after="0" w:line="112" w:lineRule="exact"/>
        <w:rPr>
          <w:sz w:val="20"/>
          <w:szCs w:val="20"/>
          <w:color w:val="auto"/>
        </w:rPr>
      </w:pPr>
    </w:p>
    <w:p>
      <w:pPr>
        <w:ind w:left="960" w:hanging="424"/>
        <w:spacing w:after="0"/>
        <w:tabs>
          <w:tab w:leader="none" w:pos="96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USD 950 million external funding secured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Sweden Holdings intends to participate in future financing activities when required</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Richer product mix; global roll-out of two new SUVs to drive significant volume and profit margin progression expected in second half of the year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Efficiency program delivers results</w:t>
      </w:r>
    </w:p>
    <w:p>
      <w:pPr>
        <w:spacing w:after="0" w:line="22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28 February 2024. </w:t>
      </w:r>
      <w:r>
        <w:rPr>
          <w:rFonts w:ascii="Times New Roman" w:cs="Times New Roman" w:eastAsia="Times New Roman" w:hAnsi="Times New Roman"/>
          <w:sz w:val="18"/>
          <w:szCs w:val="18"/>
          <w:color w:val="auto"/>
        </w:rPr>
        <w:t>Polestar Automotive Holding UK PLC (Nasdaq: PSNY), the Swedish electric performance car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 announces that it has secured USD 950 million in external funding. The company is making strong progress on its strengthened business plan and achieving its 2025 targets.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financing is being provided by 12 leading international banks including BNP Paribas, Natixis, Standard Chartered, BBVA, HSBC and SPDB, in the form of a three-year loan facility. It provides Polestar with the funds it requires to finance the next stage of its development and covers a large majority of its estimated financing needs. Cash on the balance sheet as at 31 December 2023 was approximately USD 770 million.</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Thomas Ingenlath, Polestar CEO, says: “Securing funding from a syndicate of global banks reflects our partners’ support for Polestar’s growth course. Together with Geely’s full financial support and access to innovative technology and engineering expertise, we have reinforced our path towards cash flow break-even targeted in 2025.”</w:t>
      </w:r>
    </w:p>
    <w:p>
      <w:pPr>
        <w:spacing w:after="0" w:line="17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Daniel Li, Geely Holding Group CEO and Polestar Board Member, says: “As a strategic partner and direct shareholder in Polestar, Geely will continue to provide full operational and financial support to the iconic performance car brand going forward. We will retain our shares in Polestar and intend to participate in future financing activities when required. Polestar will have full access to technologies and engineering expertise from Geely Holding to realise its global growth targets.”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Delivering on our strengthened business plan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financing that has now been agreed will be accompanied by a comprehensive efficiency program from Polestar. Among other measures, 10 percent of jobs have been cut since mid-2023, with a further 15 percent to follow this year.</w:t>
      </w:r>
    </w:p>
    <w:p>
      <w:pPr>
        <w:sectPr>
          <w:pgSz w:w="11900" w:h="16838" w:orient="portrait"/>
          <w:cols w:equalWidth="0" w:num="1">
            <w:col w:w="11020"/>
          </w:cols>
          <w:pgMar w:left="440" w:top="117" w:right="439" w:bottom="1440" w:gutter="0" w:footer="0" w:header="0"/>
        </w:sectPr>
      </w:pPr>
    </w:p>
    <w:bookmarkStart w:id="232" w:name="page233"/>
    <w:bookmarkEnd w:id="232"/>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has thus made significant progress on its strengthened business plan and 2025 targets: achieving cash flow break-even, annual volume of over 155,000 and a gross margin in the high teens.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same time, Polestar was able to expand its model range with two high-margin SUVs. The Polestar 4 sales are accelerating around the world, a Polestar 3 has now started production in China and has also successfully completed test production runs in South Carolina, USA. Prototype production of Polestar 5, a progressive performance GT, will also accelerate in 2024.</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Finally, in addition to the secured USD 950 million in external funding, the recently announced new shareholder structure in Polestar provides a solid basis for the brand’s further business development. Under the new structure, Geely Sweden Holdings will become the second largest shareholder and Volvo Cars intends to retain an 18% stake.</w:t>
      </w:r>
    </w:p>
    <w:p>
      <w:pPr>
        <w:spacing w:after="0" w:line="17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“This marks a new phase in Polestar’s business,” says Thomas Ingenlath. “The efforts of recent years are paying off: We improved our cost basis, secured financing and are ramping up our product offensive. Both SUVs now sharpen the brand, target one of the fastest growing segments in the industry and position us for strong volume growth and profit margin progression from the second half of 2024,” he adds.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the end of this year, Polestar expects volume growth that supports the 2025 volume target and a double-digit gross profit margin. Volume and margin progression are expected to be weighted towards the second half of 2024, as the two SUVs reach full production and global distribution.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Publication of full-year 2023 results and conference call</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Polestar is adjusting the release date for the preliminary unaudited financial and operational results for the full year 2023 to a later date. This will allow the Company time to complete the first year of compliance required by the Sarbanes-Oxley Act of 2002.</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Polestar management will hold a live audio webcast tomorrow, February 29, 2024 at 08:00 ET (14:00 CET) to discuss the Company’s business and outlook update. The live webcast will be available at </w:t>
      </w:r>
      <w:r>
        <w:rPr>
          <w:rFonts w:ascii="Times New Roman" w:cs="Times New Roman" w:eastAsia="Times New Roman" w:hAnsi="Times New Roman"/>
          <w:sz w:val="18"/>
          <w:szCs w:val="18"/>
          <w:u w:val="single" w:color="auto"/>
          <w:color w:val="auto"/>
        </w:rPr>
        <w:t>https://edge.media-server.com/mmc/p/6p89czud/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Following the completion of the call, a replay will be available shortly at </w:t>
      </w:r>
      <w:r>
        <w:rPr>
          <w:rFonts w:ascii="Times New Roman" w:cs="Times New Roman" w:eastAsia="Times New Roman" w:hAnsi="Times New Roman"/>
          <w:sz w:val="18"/>
          <w:szCs w:val="18"/>
          <w:u w:val="single" w:color="auto"/>
          <w:color w:val="auto"/>
        </w:rPr>
        <w:t>https://investors.polestar.com.</w:t>
      </w:r>
    </w:p>
    <w:p>
      <w:pPr>
        <w:sectPr>
          <w:pgSz w:w="11900" w:h="16838" w:orient="portrait"/>
          <w:cols w:equalWidth="0" w:num="1">
            <w:col w:w="10940"/>
          </w:cols>
          <w:pgMar w:left="440" w:top="270" w:right="5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editors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Polestar’s three-year loan facility involves 12 banks, with BNP Paribas, Natixis and Standard Chartered leading the transaction and BBVA, HSBC, and SPDB acting as Mandated Lead Arrangers and Bookrunners.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Tanya Ridd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tanya.ridd@polestar.com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125984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Regarding Preliminary Unaudited Financial and Operational Results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The unaudited financial and operational information published in this press release is preliminary and subject to potential adjustments. Potential adjustments to operational and consolidated financial information may be identified from work performed during Polestar’s year-end audit. This could result in differences from the unaudited operational and financial information published herein. For the avoidance of doubt, the preliminary unaudited operational and financial information published in this press release should not be considered a substitute for the financial information to be filed with the SEC in Polestar’s Annual Report on Form 20-F for the year ended December 31, 2023.</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1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w:t>
      </w:r>
    </w:p>
    <w:p>
      <w:pPr>
        <w:spacing w:after="0" w:line="173"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ectPr>
          <w:pgSz w:w="11900" w:h="16838" w:orient="portrait"/>
          <w:cols w:equalWidth="0" w:num="1">
            <w:col w:w="10980"/>
          </w:cols>
          <w:pgMar w:left="440" w:top="266"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(15) the risks associated with negative press or reputational harm, including from lithium-ion battery cells catching fire or venting smoke; (16) delays in the design, development, manufacture, launch and financing of Polestar’s vehicles and other product offerings, and Polestar’s reliance on a limited number of vehicle models to generate revenues; (17) Polestar’s ability to continuously and rapidly innovate, develop and market new products; (18) risks related to future market adoption of Polestar’s offerings; (19) risks related to Polestar’s distribution model; (20)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 (21) Polestar’s ability to forecast demand for its vehicles; (22) Polestar’s ability to raise additional funding; (23) Polestar’s ability to successfully execute cost-cutting activities and strategic efficiency initiatives; (and (24) other risks and uncertainties set forth in the sections entitled “Risk</w:t>
      </w:r>
    </w:p>
    <w:p>
      <w:pPr>
        <w:sectPr>
          <w:pgSz w:w="11900" w:h="16838" w:orient="portrait"/>
          <w:cols w:equalWidth="0" w:num="1">
            <w:col w:w="11000"/>
          </w:cols>
          <w:pgMar w:left="440" w:top="266" w:right="459" w:bottom="1440" w:gutter="0" w:footer="0" w:header="0"/>
        </w:sectPr>
      </w:pPr>
    </w:p>
    <w:bookmarkStart w:id="235" w:name="page236"/>
    <w:bookmarkEnd w:id="235"/>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sectPr>
      <w:pgSz w:w="11900" w:h="16838" w:orient="portrait"/>
      <w:cols w:equalWidth="0" w:num="1">
        <w:col w:w="10980"/>
      </w:cols>
      <w:pgMar w:left="440" w:top="2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2FCDE5E"/>
    <w:multiLevelType w:val="hybridMultilevel"/>
    <w:lvl w:ilvl="0">
      <w:lvlJc w:val="left"/>
      <w:lvlText w:val="(%1)"/>
      <w:numFmt w:val="lowerRoman"/>
      <w:start w:val="6"/>
    </w:lvl>
  </w:abstractNum>
  <w:abstractNum w:abstractNumId="1">
    <w:nsid w:val="4A1D606E"/>
    <w:multiLevelType w:val="hybridMultilevel"/>
    <w:lvl w:ilvl="0">
      <w:lvlJc w:val="left"/>
      <w:lvlText w:val="(%1)"/>
      <w:numFmt w:val="lowerRoman"/>
      <w:start w:val="12"/>
    </w:lvl>
  </w:abstractNum>
  <w:abstractNum w:abstractNumId="2">
    <w:nsid w:val="4382503"/>
    <w:multiLevelType w:val="hybridMultilevel"/>
    <w:lvl w:ilvl="0">
      <w:lvlJc w:val="left"/>
      <w:lvlText w:val="(%1)"/>
      <w:numFmt w:val="lowerRoman"/>
      <w:start w:val="23"/>
    </w:lvl>
  </w:abstractNum>
  <w:abstractNum w:abstractNumId="3">
    <w:nsid w:val="59B76E28"/>
    <w:multiLevelType w:val="hybridMultilevel"/>
    <w:lvl w:ilvl="0">
      <w:lvlJc w:val="left"/>
      <w:lvlText w:val="(%1)"/>
      <w:numFmt w:val="decimal"/>
      <w:start w:val="1"/>
    </w:lvl>
  </w:abstractNum>
  <w:abstractNum w:abstractNumId="4">
    <w:nsid w:val="4252C2DA"/>
    <w:multiLevelType w:val="hybridMultilevel"/>
    <w:lvl w:ilvl="0">
      <w:lvlJc w:val="left"/>
      <w:lvlText w:val="(%1)"/>
      <w:numFmt w:val="decimal"/>
      <w:start w:val="11"/>
    </w:lvl>
  </w:abstractNum>
  <w:abstractNum w:abstractNumId="5">
    <w:nsid w:val="6A92EF4C"/>
    <w:multiLevelType w:val="hybridMultilevel"/>
    <w:lvl w:ilvl="0">
      <w:lvlJc w:val="left"/>
      <w:lvlText w:val="%1."/>
      <w:numFmt w:val="decimal"/>
      <w:start w:val="1"/>
    </w:lvl>
  </w:abstractNum>
  <w:abstractNum w:abstractNumId="6">
    <w:nsid w:val="41ED20D7"/>
    <w:multiLevelType w:val="hybridMultilevel"/>
    <w:lvl w:ilvl="0">
      <w:lvlJc w:val="left"/>
      <w:lvlText w:val="(%1)"/>
      <w:numFmt w:val="lowerLetter"/>
      <w:start w:val="1"/>
    </w:lvl>
  </w:abstractNum>
  <w:abstractNum w:abstractNumId="7">
    <w:nsid w:val="E6B3F6A"/>
    <w:multiLevelType w:val="hybridMultilevel"/>
    <w:lvl w:ilvl="0">
      <w:lvlJc w:val="left"/>
      <w:lvlText w:val="(%1)"/>
      <w:numFmt w:val="lowerLetter"/>
      <w:start w:val="1"/>
    </w:lvl>
  </w:abstractNum>
  <w:abstractNum w:abstractNumId="8">
    <w:nsid w:val="3EB21819"/>
    <w:multiLevelType w:val="hybridMultilevel"/>
    <w:lvl w:ilvl="0">
      <w:lvlJc w:val="left"/>
      <w:lvlText w:val="(%1)"/>
      <w:numFmt w:val="lowerLetter"/>
      <w:start w:val="2"/>
    </w:lvl>
  </w:abstractNum>
  <w:abstractNum w:abstractNumId="9">
    <w:nsid w:val="41531DED"/>
    <w:multiLevelType w:val="hybridMultilevel"/>
    <w:lvl w:ilvl="0">
      <w:lvlJc w:val="left"/>
      <w:lvlText w:val="(%1)"/>
      <w:numFmt w:val="lowerLetter"/>
      <w:start w:val="1"/>
    </w:lvl>
  </w:abstractNum>
  <w:abstractNum w:abstractNumId="10">
    <w:nsid w:val="6353CD2"/>
    <w:multiLevelType w:val="hybridMultilevel"/>
    <w:lvl w:ilvl="0">
      <w:lvlJc w:val="left"/>
      <w:lvlText w:val="(%1)"/>
      <w:numFmt w:val="lowerLetter"/>
      <w:start w:val="1"/>
    </w:lvl>
  </w:abstractNum>
  <w:abstractNum w:abstractNumId="11">
    <w:nsid w:val="683CAAD3"/>
    <w:multiLevelType w:val="hybridMultilevel"/>
    <w:lvl w:ilvl="0">
      <w:lvlJc w:val="left"/>
      <w:lvlText w:val="(%1)"/>
      <w:numFmt w:val="lowerLetter"/>
      <w:start w:val="2"/>
    </w:lvl>
    <w:lvl w:ilvl="1">
      <w:lvlJc w:val="left"/>
      <w:lvlText w:val="(%2)"/>
      <w:numFmt w:val="lowerRoman"/>
      <w:start w:val="1"/>
    </w:lvl>
  </w:abstractNum>
  <w:abstractNum w:abstractNumId="12">
    <w:nsid w:val="313C7C99"/>
    <w:multiLevelType w:val="hybridMultilevel"/>
    <w:lvl w:ilvl="0">
      <w:lvlJc w:val="left"/>
      <w:lvlText w:val="(%1)"/>
      <w:numFmt w:val="lowerLetter"/>
      <w:start w:val="1"/>
    </w:lvl>
  </w:abstractNum>
  <w:abstractNum w:abstractNumId="13">
    <w:nsid w:val="519EB94C"/>
    <w:multiLevelType w:val="hybridMultilevel"/>
    <w:lvl w:ilvl="0">
      <w:lvlJc w:val="left"/>
      <w:lvlText w:val="(%1)"/>
      <w:numFmt w:val="lowerLetter"/>
      <w:start w:val="1"/>
    </w:lvl>
    <w:lvl w:ilvl="1">
      <w:lvlJc w:val="left"/>
      <w:lvlText w:val="(%2)"/>
      <w:numFmt w:val="lowerRoman"/>
      <w:start w:val="1"/>
    </w:lvl>
  </w:abstractNum>
  <w:abstractNum w:abstractNumId="14">
    <w:nsid w:val="39DF2579"/>
    <w:multiLevelType w:val="hybridMultilevel"/>
    <w:lvl w:ilvl="0">
      <w:lvlJc w:val="left"/>
      <w:lvlText w:val="(%1)"/>
      <w:numFmt w:val="lowerLetter"/>
      <w:start w:val="1"/>
    </w:lvl>
  </w:abstractNum>
  <w:abstractNum w:abstractNumId="15">
    <w:nsid w:val="126E008B"/>
    <w:multiLevelType w:val="hybridMultilevel"/>
    <w:lvl w:ilvl="0">
      <w:lvlJc w:val="left"/>
      <w:lvlText w:val="(%1)"/>
      <w:numFmt w:val="lowerLetter"/>
      <w:start w:val="1"/>
    </w:lvl>
  </w:abstractNum>
  <w:abstractNum w:abstractNumId="16">
    <w:nsid w:val="34DFBC00"/>
    <w:multiLevelType w:val="hybridMultilevel"/>
    <w:lvl w:ilvl="0">
      <w:lvlJc w:val="left"/>
      <w:lvlText w:val="(%1)"/>
      <w:numFmt w:val="lowerLetter"/>
      <w:start w:val="1"/>
    </w:lvl>
    <w:lvl w:ilvl="1">
      <w:lvlJc w:val="left"/>
      <w:lvlText w:val="(%2)"/>
      <w:numFmt w:val="lowerRoman"/>
      <w:start w:val="1"/>
    </w:lvl>
  </w:abstractNum>
  <w:abstractNum w:abstractNumId="17">
    <w:nsid w:val="1F9EC322"/>
    <w:multiLevelType w:val="hybridMultilevel"/>
    <w:lvl w:ilvl="0">
      <w:lvlJc w:val="left"/>
      <w:lvlText w:val="(%1)"/>
      <w:numFmt w:val="lowerLetter"/>
      <w:start w:val="2"/>
    </w:lvl>
  </w:abstractNum>
  <w:abstractNum w:abstractNumId="18">
    <w:nsid w:val="3410ED56"/>
    <w:multiLevelType w:val="hybridMultilevel"/>
    <w:lvl w:ilvl="0">
      <w:lvlJc w:val="left"/>
      <w:lvlText w:val="(%1)"/>
      <w:numFmt w:val="lowerLetter"/>
      <w:start w:val="1"/>
    </w:lvl>
  </w:abstractNum>
  <w:abstractNum w:abstractNumId="19">
    <w:nsid w:val="23C049A"/>
    <w:multiLevelType w:val="hybridMultilevel"/>
    <w:lvl w:ilvl="0">
      <w:lvlJc w:val="left"/>
      <w:lvlText w:val="(%1)"/>
      <w:numFmt w:val="lowerRoman"/>
      <w:start w:val="1"/>
    </w:lvl>
    <w:lvl w:ilvl="1">
      <w:lvlJc w:val="left"/>
      <w:lvlText w:val="(%2)"/>
      <w:numFmt w:val="upperLetter"/>
      <w:start w:val="1"/>
    </w:lvl>
  </w:abstractNum>
  <w:abstractNum w:abstractNumId="20">
    <w:nsid w:val="5BDA35D4"/>
    <w:multiLevelType w:val="hybridMultilevel"/>
    <w:lvl w:ilvl="0">
      <w:lvlJc w:val="left"/>
      <w:lvlText w:val="(%1)"/>
      <w:numFmt w:val="lowerRoman"/>
      <w:start w:val="2"/>
    </w:lvl>
  </w:abstractNum>
  <w:abstractNum w:abstractNumId="21">
    <w:nsid w:val="496FB218"/>
    <w:multiLevelType w:val="hybridMultilevel"/>
    <w:lvl w:ilvl="0">
      <w:lvlJc w:val="left"/>
      <w:lvlText w:val="(%1)"/>
      <w:numFmt w:val="lowerLetter"/>
      <w:start w:val="1"/>
    </w:lvl>
  </w:abstractNum>
  <w:abstractNum w:abstractNumId="22">
    <w:nsid w:val="680EA5D1"/>
    <w:multiLevelType w:val="hybridMultilevel"/>
    <w:lvl w:ilvl="0">
      <w:lvlJc w:val="left"/>
      <w:lvlText w:val="(%1)"/>
      <w:numFmt w:val="lowerLetter"/>
      <w:start w:val="1"/>
    </w:lvl>
  </w:abstractNum>
  <w:abstractNum w:abstractNumId="23">
    <w:nsid w:val="4A9554FE"/>
    <w:multiLevelType w:val="hybridMultilevel"/>
    <w:lvl w:ilvl="0">
      <w:lvlJc w:val="left"/>
      <w:lvlText w:val="(%1)"/>
      <w:numFmt w:val="lowerRoman"/>
      <w:start w:val="1"/>
    </w:lvl>
    <w:lvl w:ilvl="1">
      <w:lvlJc w:val="left"/>
      <w:lvlText w:val="(%2)"/>
      <w:numFmt w:val="upperLetter"/>
      <w:start w:val="1"/>
    </w:lvl>
  </w:abstractNum>
  <w:abstractNum w:abstractNumId="24">
    <w:nsid w:val="392EDBE4"/>
    <w:multiLevelType w:val="hybridMultilevel"/>
    <w:lvl w:ilvl="0">
      <w:lvlJc w:val="left"/>
      <w:lvlText w:val="(%1)"/>
      <w:numFmt w:val="lowerRoman"/>
      <w:start w:val="2"/>
    </w:lvl>
  </w:abstractNum>
  <w:abstractNum w:abstractNumId="25">
    <w:nsid w:val="3D1A2DD9"/>
    <w:multiLevelType w:val="hybridMultilevel"/>
    <w:lvl w:ilvl="0">
      <w:lvlJc w:val="left"/>
      <w:lvlText w:val="(%1)"/>
      <w:numFmt w:val="lowerLetter"/>
      <w:start w:val="1"/>
    </w:lvl>
    <w:lvl w:ilvl="1">
      <w:lvlJc w:val="left"/>
      <w:lvlText w:val="(%2)"/>
      <w:numFmt w:val="lowerRoman"/>
      <w:start w:val="1"/>
    </w:lvl>
  </w:abstractNum>
  <w:abstractNum w:abstractNumId="26">
    <w:nsid w:val="7F618FCD"/>
    <w:multiLevelType w:val="hybridMultilevel"/>
    <w:lvl w:ilvl="0">
      <w:lvlJc w:val="left"/>
      <w:lvlText w:val="(%1)"/>
      <w:numFmt w:val="lowerLetter"/>
      <w:start w:val="1"/>
    </w:lvl>
  </w:abstractNum>
  <w:abstractNum w:abstractNumId="27">
    <w:nsid w:val="7843E45"/>
    <w:multiLevelType w:val="hybridMultilevel"/>
    <w:lvl w:ilvl="0">
      <w:lvlJc w:val="left"/>
      <w:lvlText w:val="(%1)"/>
      <w:numFmt w:val="lowerLetter"/>
      <w:start w:val="1"/>
    </w:lvl>
  </w:abstractNum>
  <w:abstractNum w:abstractNumId="28">
    <w:nsid w:val="9815DA3"/>
    <w:multiLevelType w:val="hybridMultilevel"/>
    <w:lvl w:ilvl="0">
      <w:lvlJc w:val="left"/>
      <w:lvlText w:val="(%1)"/>
      <w:numFmt w:val="lowerLetter"/>
      <w:start w:val="1"/>
    </w:lvl>
  </w:abstractNum>
  <w:abstractNum w:abstractNumId="29">
    <w:nsid w:val="5204A191"/>
    <w:multiLevelType w:val="hybridMultilevel"/>
    <w:lvl w:ilvl="0">
      <w:lvlJc w:val="left"/>
      <w:lvlText w:val="(%1)"/>
      <w:numFmt w:val="lowerLetter"/>
      <w:start w:val="1"/>
    </w:lvl>
  </w:abstractNum>
  <w:abstractNum w:abstractNumId="30">
    <w:nsid w:val="4C73A9C6"/>
    <w:multiLevelType w:val="hybridMultilevel"/>
    <w:lvl w:ilvl="0">
      <w:lvlJc w:val="left"/>
      <w:lvlText w:val="(%1)"/>
      <w:numFmt w:val="lowerLetter"/>
      <w:start w:val="1"/>
    </w:lvl>
  </w:abstractNum>
  <w:abstractNum w:abstractNumId="31">
    <w:nsid w:val="1C7E3C01"/>
    <w:multiLevelType w:val="hybridMultilevel"/>
    <w:lvl w:ilvl="0">
      <w:lvlJc w:val="left"/>
      <w:lvlText w:val="(%1)"/>
      <w:numFmt w:val="lowerLetter"/>
      <w:start w:val="1"/>
    </w:lvl>
  </w:abstractNum>
  <w:abstractNum w:abstractNumId="32">
    <w:nsid w:val="1C2201FF"/>
    <w:multiLevelType w:val="hybridMultilevel"/>
    <w:lvl w:ilvl="0">
      <w:lvlJc w:val="left"/>
      <w:lvlText w:val="(%1)"/>
      <w:numFmt w:val="lowerLetter"/>
      <w:start w:val="1"/>
    </w:lvl>
  </w:abstractNum>
  <w:abstractNum w:abstractNumId="33">
    <w:nsid w:val="50ABCEC9"/>
    <w:multiLevelType w:val="hybridMultilevel"/>
    <w:lvl w:ilvl="0">
      <w:lvlJc w:val="left"/>
      <w:lvlText w:val="(%1)"/>
      <w:numFmt w:val="lowerLetter"/>
      <w:start w:val="2"/>
    </w:lvl>
  </w:abstractNum>
  <w:abstractNum w:abstractNumId="34">
    <w:nsid w:val="7635AA2A"/>
    <w:multiLevelType w:val="hybridMultilevel"/>
    <w:lvl w:ilvl="0">
      <w:lvlJc w:val="left"/>
      <w:lvlText w:val="(%1)"/>
      <w:numFmt w:val="lowerLetter"/>
      <w:start w:val="1"/>
    </w:lvl>
  </w:abstractNum>
  <w:abstractNum w:abstractNumId="35">
    <w:nsid w:val="5E74C4D9"/>
    <w:multiLevelType w:val="hybridMultilevel"/>
    <w:lvl w:ilvl="0">
      <w:lvlJc w:val="left"/>
      <w:lvlText w:val="(%1)"/>
      <w:numFmt w:val="lowerLetter"/>
      <w:start w:val="1"/>
    </w:lvl>
  </w:abstractNum>
  <w:abstractNum w:abstractNumId="36">
    <w:nsid w:val="3B3EBE15"/>
    <w:multiLevelType w:val="hybridMultilevel"/>
    <w:lvl w:ilvl="0">
      <w:lvlJc w:val="left"/>
      <w:lvlText w:val="(%1)"/>
      <w:numFmt w:val="lowerRoman"/>
      <w:start w:val="1"/>
    </w:lvl>
    <w:lvl w:ilvl="1">
      <w:lvlJc w:val="left"/>
      <w:lvlText w:val="(%2)"/>
      <w:numFmt w:val="upperLetter"/>
      <w:start w:val="1"/>
    </w:lvl>
  </w:abstractNum>
  <w:abstractNum w:abstractNumId="37">
    <w:nsid w:val="3822CB01"/>
    <w:multiLevelType w:val="hybridMultilevel"/>
    <w:lvl w:ilvl="0">
      <w:lvlJc w:val="left"/>
      <w:lvlText w:val="%1"/>
      <w:numFmt w:val="lowerLetter"/>
      <w:start w:val="1"/>
    </w:lvl>
    <w:lvl w:ilvl="1">
      <w:lvlJc w:val="left"/>
      <w:lvlText w:val="(%2)"/>
      <w:numFmt w:val="lowerLetter"/>
      <w:start w:val="35"/>
    </w:lvl>
  </w:abstractNum>
  <w:abstractNum w:abstractNumId="38">
    <w:nsid w:val="6CE00443"/>
    <w:multiLevelType w:val="hybridMultilevel"/>
    <w:lvl w:ilvl="0">
      <w:lvlJc w:val="left"/>
      <w:lvlText w:val="(%1)"/>
      <w:numFmt w:val="lowerLetter"/>
      <w:start w:val="1"/>
    </w:lvl>
    <w:lvl w:ilvl="1">
      <w:lvlJc w:val="left"/>
      <w:lvlText w:val="(%2)"/>
      <w:numFmt w:val="lowerLetter"/>
      <w:start w:val="9"/>
    </w:lvl>
  </w:abstractNum>
  <w:abstractNum w:abstractNumId="39">
    <w:nsid w:val="79F0D62F"/>
    <w:multiLevelType w:val="hybridMultilevel"/>
    <w:lvl w:ilvl="0">
      <w:lvlJc w:val="left"/>
      <w:lvlText w:val="%1"/>
      <w:numFmt w:val="lowerLetter"/>
      <w:start w:val="1"/>
    </w:lvl>
    <w:lvl w:ilvl="1">
      <w:lvlJc w:val="left"/>
      <w:lvlText w:val="(%2)"/>
      <w:numFmt w:val="lowerLetter"/>
      <w:start w:val="35"/>
    </w:lvl>
  </w:abstractNum>
  <w:abstractNum w:abstractNumId="40">
    <w:nsid w:val="7975E8EE"/>
    <w:multiLevelType w:val="hybridMultilevel"/>
    <w:lvl w:ilvl="0">
      <w:lvlJc w:val="left"/>
      <w:lvlText w:val="(%1)"/>
      <w:numFmt w:val="lowerLetter"/>
      <w:start w:val="6"/>
    </w:lvl>
    <w:lvl w:ilvl="1">
      <w:lvlJc w:val="left"/>
      <w:lvlText w:val="%2"/>
      <w:numFmt w:val="lowerLetter"/>
      <w:start w:val="1"/>
    </w:lvl>
  </w:abstractNum>
  <w:abstractNum w:abstractNumId="41">
    <w:nsid w:val="73154115"/>
    <w:multiLevelType w:val="hybridMultilevel"/>
    <w:lvl w:ilvl="0">
      <w:lvlJc w:val="left"/>
      <w:lvlText w:val="(%1)"/>
      <w:numFmt w:val="lowerLetter"/>
      <w:start w:val="1"/>
    </w:lvl>
    <w:lvl w:ilvl="1">
      <w:lvlJc w:val="left"/>
      <w:lvlText w:val="(%2)"/>
      <w:numFmt w:val="lowerRoman"/>
      <w:start w:val="1"/>
    </w:lvl>
  </w:abstractNum>
  <w:abstractNum w:abstractNumId="42">
    <w:nsid w:val="622D8102"/>
    <w:multiLevelType w:val="hybridMultilevel"/>
    <w:lvl w:ilvl="0">
      <w:lvlJc w:val="left"/>
      <w:lvlText w:val="(%1)"/>
      <w:numFmt w:val="lowerLetter"/>
      <w:start w:val="1"/>
    </w:lvl>
    <w:lvl w:ilvl="1">
      <w:lvlJc w:val="left"/>
      <w:lvlText w:val="(%2)"/>
      <w:numFmt w:val="lowerRoman"/>
      <w:start w:val="1"/>
    </w:lvl>
  </w:abstractNum>
  <w:abstractNum w:abstractNumId="43">
    <w:nsid w:val="2AB26587"/>
    <w:multiLevelType w:val="hybridMultilevel"/>
    <w:lvl w:ilvl="0">
      <w:lvlJc w:val="left"/>
      <w:lvlText w:val="(%1)"/>
      <w:numFmt w:val="lowerLetter"/>
      <w:start w:val="1"/>
    </w:lvl>
  </w:abstractNum>
  <w:abstractNum w:abstractNumId="44">
    <w:nsid w:val="44B3FA61"/>
    <w:multiLevelType w:val="hybridMultilevel"/>
    <w:lvl w:ilvl="0">
      <w:lvlJc w:val="left"/>
      <w:lvlText w:val="(%1)"/>
      <w:numFmt w:val="lowerLetter"/>
      <w:start w:val="1"/>
    </w:lvl>
    <w:lvl w:ilvl="1">
      <w:lvlJc w:val="left"/>
      <w:lvlText w:val="(%2)"/>
      <w:numFmt w:val="lowerRoman"/>
      <w:start w:val="1"/>
    </w:lvl>
  </w:abstractNum>
  <w:abstractNum w:abstractNumId="45">
    <w:nsid w:val="1C0CA67C"/>
    <w:multiLevelType w:val="hybridMultilevel"/>
    <w:lvl w:ilvl="0">
      <w:lvlJc w:val="left"/>
      <w:lvlText w:val="(%1)"/>
      <w:numFmt w:val="lowerLetter"/>
      <w:start w:val="1"/>
    </w:lvl>
  </w:abstractNum>
  <w:abstractNum w:abstractNumId="46">
    <w:nsid w:val="3D206613"/>
    <w:multiLevelType w:val="hybridMultilevel"/>
    <w:lvl w:ilvl="0">
      <w:lvlJc w:val="left"/>
      <w:lvlText w:val="(%1)"/>
      <w:numFmt w:val="lowerLetter"/>
      <w:start w:val="1"/>
    </w:lvl>
  </w:abstractNum>
  <w:abstractNum w:abstractNumId="47">
    <w:nsid w:val="7993B662"/>
    <w:multiLevelType w:val="hybridMultilevel"/>
    <w:lvl w:ilvl="0">
      <w:lvlJc w:val="left"/>
      <w:lvlText w:val="(%1)"/>
      <w:numFmt w:val="lowerLetter"/>
      <w:start w:val="1"/>
    </w:lvl>
  </w:abstractNum>
  <w:abstractNum w:abstractNumId="48">
    <w:nsid w:val="3BAB699E"/>
    <w:multiLevelType w:val="hybridMultilevel"/>
    <w:lvl w:ilvl="0">
      <w:lvlJc w:val="left"/>
      <w:lvlText w:val="(%1)"/>
      <w:numFmt w:val="lowerLetter"/>
      <w:start w:val="1"/>
    </w:lvl>
  </w:abstractNum>
  <w:abstractNum w:abstractNumId="49">
    <w:nsid w:val="71315369"/>
    <w:multiLevelType w:val="hybridMultilevel"/>
    <w:lvl w:ilvl="0">
      <w:lvlJc w:val="left"/>
      <w:lvlText w:val="(%1)"/>
      <w:numFmt w:val="lowerLetter"/>
      <w:start w:val="1"/>
    </w:lvl>
  </w:abstractNum>
  <w:abstractNum w:abstractNumId="50">
    <w:nsid w:val="7BCFBAFC"/>
    <w:multiLevelType w:val="hybridMultilevel"/>
    <w:lvl w:ilvl="0">
      <w:lvlJc w:val="left"/>
      <w:lvlText w:val="(%1)"/>
      <w:numFmt w:val="lowerLetter"/>
      <w:start w:val="1"/>
    </w:lvl>
  </w:abstractNum>
  <w:abstractNum w:abstractNumId="51">
    <w:nsid w:val="17859F72"/>
    <w:multiLevelType w:val="hybridMultilevel"/>
    <w:lvl w:ilvl="0">
      <w:lvlJc w:val="left"/>
      <w:lvlText w:val="(%1)"/>
      <w:numFmt w:val="lowerLetter"/>
      <w:start w:val="1"/>
    </w:lvl>
  </w:abstractNum>
  <w:abstractNum w:abstractNumId="52">
    <w:nsid w:val="3AA10581"/>
    <w:multiLevelType w:val="hybridMultilevel"/>
    <w:lvl w:ilvl="0">
      <w:lvlJc w:val="left"/>
      <w:lvlText w:val="(%1)"/>
      <w:numFmt w:val="lowerLetter"/>
      <w:start w:val="1"/>
    </w:lvl>
  </w:abstractNum>
  <w:abstractNum w:abstractNumId="53">
    <w:nsid w:val="63DE60CD"/>
    <w:multiLevelType w:val="hybridMultilevel"/>
    <w:lvl w:ilvl="0">
      <w:lvlJc w:val="left"/>
      <w:lvlText w:val="(%1)"/>
      <w:numFmt w:val="lowerLetter"/>
      <w:start w:val="1"/>
    </w:lvl>
  </w:abstractNum>
  <w:abstractNum w:abstractNumId="54">
    <w:nsid w:val="621AF471"/>
    <w:multiLevelType w:val="hybridMultilevel"/>
    <w:lvl w:ilvl="0">
      <w:lvlJc w:val="left"/>
      <w:lvlText w:val="(%1)"/>
      <w:numFmt w:val="lowerLetter"/>
      <w:start w:val="1"/>
    </w:lvl>
  </w:abstractNum>
  <w:abstractNum w:abstractNumId="55">
    <w:nsid w:val="73CFE165"/>
    <w:multiLevelType w:val="hybridMultilevel"/>
    <w:lvl w:ilvl="0">
      <w:lvlJc w:val="left"/>
      <w:lvlText w:val="(%1)"/>
      <w:numFmt w:val="lowerLetter"/>
      <w:start w:val="4"/>
    </w:lvl>
    <w:lvl w:ilvl="1">
      <w:lvlJc w:val="left"/>
      <w:lvlText w:val="(%2)"/>
      <w:numFmt w:val="lowerRoman"/>
      <w:start w:val="1"/>
    </w:lvl>
  </w:abstractNum>
  <w:abstractNum w:abstractNumId="56">
    <w:nsid w:val="20F88EA6"/>
    <w:multiLevelType w:val="hybridMultilevel"/>
    <w:lvl w:ilvl="0">
      <w:lvlJc w:val="left"/>
      <w:lvlText w:val="(%1)"/>
      <w:numFmt w:val="lowerLetter"/>
      <w:start w:val="1"/>
    </w:lvl>
  </w:abstractNum>
  <w:abstractNum w:abstractNumId="57">
    <w:nsid w:val="617C843E"/>
    <w:multiLevelType w:val="hybridMultilevel"/>
    <w:lvl w:ilvl="0">
      <w:lvlJc w:val="left"/>
      <w:lvlText w:val="(%1)"/>
      <w:numFmt w:val="lowerLetter"/>
      <w:start w:val="4"/>
    </w:lvl>
    <w:lvl w:ilvl="1">
      <w:lvlJc w:val="left"/>
      <w:lvlText w:val="(%2)"/>
      <w:numFmt w:val="upperLetter"/>
      <w:start w:val="2"/>
    </w:lvl>
    <w:lvl w:ilvl="2">
      <w:lvlJc w:val="left"/>
      <w:lvlText w:val="(%3)"/>
      <w:numFmt w:val="lowerRoman"/>
      <w:start w:val="1"/>
    </w:lvl>
  </w:abstractNum>
  <w:abstractNum w:abstractNumId="58">
    <w:nsid w:val="7B541FAB"/>
    <w:multiLevelType w:val="hybridMultilevel"/>
    <w:lvl w:ilvl="0">
      <w:lvlJc w:val="left"/>
      <w:lvlText w:val="(%1)"/>
      <w:numFmt w:val="lowerLetter"/>
      <w:start w:val="1"/>
    </w:lvl>
  </w:abstractNum>
  <w:abstractNum w:abstractNumId="59">
    <w:nsid w:val="2A79EC49"/>
    <w:multiLevelType w:val="hybridMultilevel"/>
    <w:lvl w:ilvl="0">
      <w:lvlJc w:val="left"/>
      <w:lvlText w:val="(%1)"/>
      <w:numFmt w:val="lowerLetter"/>
      <w:start w:val="4"/>
    </w:lvl>
    <w:lvl w:ilvl="1">
      <w:lvlJc w:val="left"/>
      <w:lvlText w:val="(%2)"/>
      <w:numFmt w:val="lowerRoman"/>
      <w:start w:val="1"/>
    </w:lvl>
  </w:abstractNum>
  <w:abstractNum w:abstractNumId="60">
    <w:nsid w:val="338125CF"/>
    <w:multiLevelType w:val="hybridMultilevel"/>
    <w:lvl w:ilvl="0">
      <w:lvlJc w:val="left"/>
      <w:lvlText w:val="(%1)"/>
      <w:numFmt w:val="lowerLetter"/>
      <w:start w:val="16"/>
    </w:lvl>
  </w:abstractNum>
  <w:abstractNum w:abstractNumId="61">
    <w:nsid w:val="47C7C971"/>
    <w:multiLevelType w:val="hybridMultilevel"/>
    <w:lvl w:ilvl="0">
      <w:lvlJc w:val="left"/>
      <w:lvlText w:val="(%1)"/>
      <w:numFmt w:val="lowerLetter"/>
      <w:start w:val="1"/>
    </w:lvl>
  </w:abstractNum>
  <w:abstractNum w:abstractNumId="62">
    <w:nsid w:val="46F8284B"/>
    <w:multiLevelType w:val="hybridMultilevel"/>
    <w:lvl w:ilvl="0">
      <w:lvlJc w:val="left"/>
      <w:lvlText w:val="(%1)"/>
      <w:numFmt w:val="lowerLetter"/>
      <w:start w:val="3"/>
    </w:lvl>
  </w:abstractNum>
  <w:abstractNum w:abstractNumId="63">
    <w:nsid w:val="4FA327CE"/>
    <w:multiLevelType w:val="hybridMultilevel"/>
    <w:lvl w:ilvl="0">
      <w:lvlJc w:val="left"/>
      <w:lvlText w:val="(%1)"/>
      <w:numFmt w:val="lowerLetter"/>
      <w:start w:val="1"/>
    </w:lvl>
  </w:abstractNum>
  <w:abstractNum w:abstractNumId="64">
    <w:nsid w:val="1873983A"/>
    <w:multiLevelType w:val="hybridMultilevel"/>
    <w:lvl w:ilvl="0">
      <w:lvlJc w:val="left"/>
      <w:lvlText w:val="(%1)"/>
      <w:numFmt w:val="lowerLetter"/>
      <w:start w:val="11"/>
    </w:lvl>
  </w:abstractNum>
  <w:abstractNum w:abstractNumId="65">
    <w:nsid w:val="3D2DD275"/>
    <w:multiLevelType w:val="hybridMultilevel"/>
    <w:lvl w:ilvl="0">
      <w:lvlJc w:val="left"/>
      <w:lvlText w:val="(%1)"/>
      <w:numFmt w:val="lowerLetter"/>
      <w:start w:val="1"/>
    </w:lvl>
  </w:abstractNum>
  <w:abstractNum w:abstractNumId="66">
    <w:nsid w:val="2E17ECA7"/>
    <w:multiLevelType w:val="hybridMultilevel"/>
    <w:lvl w:ilvl="0">
      <w:lvlJc w:val="left"/>
      <w:lvlText w:val="(%1)"/>
      <w:numFmt w:val="lowerLetter"/>
      <w:start w:val="12"/>
    </w:lvl>
  </w:abstractNum>
  <w:abstractNum w:abstractNumId="67">
    <w:nsid w:val="53B2564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8">
    <w:nsid w:val="75509D7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69">
    <w:nsid w:val="1AF7F0EA"/>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70">
    <w:nsid w:val="4DA32C7E"/>
    <w:multiLevelType w:val="hybridMultilevel"/>
    <w:lvl w:ilvl="0">
      <w:lvlJc w:val="left"/>
      <w:lvlText w:val="(%1)"/>
      <w:numFmt w:val="lowerLetter"/>
      <w:start w:val="1"/>
    </w:lvl>
  </w:abstractNum>
  <w:abstractNum w:abstractNumId="71">
    <w:nsid w:val="6EC68664"/>
    <w:multiLevelType w:val="hybridMultilevel"/>
    <w:lvl w:ilvl="0">
      <w:lvlJc w:val="left"/>
      <w:lvlText w:val="(%1)"/>
      <w:numFmt w:val="lowerLetter"/>
      <w:start w:val="1"/>
    </w:lvl>
    <w:lvl w:ilvl="1">
      <w:lvlJc w:val="left"/>
      <w:lvlText w:val="(%2)"/>
      <w:numFmt w:val="lowerRoman"/>
      <w:start w:val="1"/>
    </w:lvl>
  </w:abstractNum>
  <w:abstractNum w:abstractNumId="72">
    <w:nsid w:val="E0D31FF"/>
    <w:multiLevelType w:val="hybridMultilevel"/>
    <w:lvl w:ilvl="0">
      <w:lvlJc w:val="left"/>
      <w:lvlText w:val="(%1)"/>
      <w:numFmt w:val="lowerLetter"/>
      <w:start w:val="4"/>
    </w:lvl>
  </w:abstractNum>
  <w:abstractNum w:abstractNumId="73">
    <w:nsid w:val="2FD0AD81"/>
    <w:multiLevelType w:val="hybridMultilevel"/>
    <w:lvl w:ilvl="0">
      <w:lvlJc w:val="left"/>
      <w:lvlText w:val="(%1)"/>
      <w:numFmt w:val="lowerRoman"/>
      <w:start w:val="1"/>
    </w:lvl>
    <w:lvl w:ilvl="1">
      <w:lvlJc w:val="left"/>
      <w:lvlText w:val="(%2)"/>
      <w:numFmt w:val="lowerRoman"/>
      <w:start w:val="1"/>
    </w:lvl>
  </w:abstractNum>
  <w:abstractNum w:abstractNumId="74">
    <w:nsid w:val="1978EBEB"/>
    <w:multiLevelType w:val="hybridMultilevel"/>
    <w:lvl w:ilvl="0">
      <w:lvlJc w:val="left"/>
      <w:lvlText w:val="(%1)"/>
      <w:numFmt w:val="lowerLetter"/>
      <w:start w:val="10"/>
    </w:lvl>
  </w:abstractNum>
  <w:abstractNum w:abstractNumId="75">
    <w:nsid w:val="52C12C61"/>
    <w:multiLevelType w:val="hybridMultilevel"/>
    <w:lvl w:ilvl="0">
      <w:lvlJc w:val="left"/>
      <w:lvlText w:val="(%1)"/>
      <w:numFmt w:val="lowerLetter"/>
      <w:start w:val="1"/>
    </w:lvl>
  </w:abstractNum>
  <w:abstractNum w:abstractNumId="76">
    <w:nsid w:val="4BDD53FD"/>
    <w:multiLevelType w:val="hybridMultilevel"/>
    <w:lvl w:ilvl="0">
      <w:lvlJc w:val="left"/>
      <w:lvlText w:val="(%1)"/>
      <w:numFmt w:val="lowerLetter"/>
      <w:start w:val="1"/>
    </w:lvl>
    <w:lvl w:ilvl="1">
      <w:lvlJc w:val="left"/>
      <w:lvlText w:val="(%2)"/>
      <w:numFmt w:val="lowerRoman"/>
      <w:start w:val="1"/>
    </w:lvl>
  </w:abstractNum>
  <w:abstractNum w:abstractNumId="77">
    <w:nsid w:val="569951FE"/>
    <w:multiLevelType w:val="hybridMultilevel"/>
    <w:lvl w:ilvl="0">
      <w:lvlJc w:val="left"/>
      <w:lvlText w:val="(%1)"/>
      <w:numFmt w:val="lowerLetter"/>
      <w:start w:val="1"/>
    </w:lvl>
  </w:abstractNum>
  <w:abstractNum w:abstractNumId="78">
    <w:nsid w:val="4C54E2C3"/>
    <w:multiLevelType w:val="hybridMultilevel"/>
    <w:lvl w:ilvl="0">
      <w:lvlJc w:val="left"/>
      <w:lvlText w:val="(%1)"/>
      <w:numFmt w:val="lowerLetter"/>
      <w:start w:val="1"/>
    </w:lvl>
  </w:abstractNum>
  <w:abstractNum w:abstractNumId="79">
    <w:nsid w:val="788BD9B"/>
    <w:multiLevelType w:val="hybridMultilevel"/>
    <w:lvl w:ilvl="0">
      <w:lvlJc w:val="left"/>
      <w:lvlText w:val="(%1)"/>
      <w:numFmt w:val="lowerLetter"/>
      <w:start w:val="1"/>
    </w:lvl>
  </w:abstractNum>
  <w:abstractNum w:abstractNumId="80">
    <w:nsid w:val="47CAA567"/>
    <w:multiLevelType w:val="hybridMultilevel"/>
    <w:lvl w:ilvl="0">
      <w:lvlJc w:val="left"/>
      <w:lvlText w:val="(%1)"/>
      <w:numFmt w:val="lowerLetter"/>
      <w:start w:val="1"/>
    </w:lvl>
  </w:abstractNum>
  <w:abstractNum w:abstractNumId="81">
    <w:nsid w:val="48249DBF"/>
    <w:multiLevelType w:val="hybridMultilevel"/>
    <w:lvl w:ilvl="0">
      <w:lvlJc w:val="left"/>
      <w:lvlText w:val="(%1)"/>
      <w:numFmt w:val="lowerLetter"/>
      <w:start w:val="1"/>
    </w:lvl>
  </w:abstractNum>
  <w:abstractNum w:abstractNumId="82">
    <w:nsid w:val="1F0E5D0D"/>
    <w:multiLevelType w:val="hybridMultilevel"/>
    <w:lvl w:ilvl="0">
      <w:lvlJc w:val="left"/>
      <w:lvlText w:val="(%1)"/>
      <w:numFmt w:val="lowerRoman"/>
      <w:start w:val="2"/>
    </w:lvl>
  </w:abstractNum>
  <w:abstractNum w:abstractNumId="83">
    <w:nsid w:val="26BAAE9"/>
    <w:multiLevelType w:val="hybridMultilevel"/>
    <w:lvl w:ilvl="0">
      <w:lvlJc w:val="left"/>
      <w:lvlText w:val="(%1)"/>
      <w:numFmt w:val="lowerLetter"/>
      <w:start w:val="1"/>
    </w:lvl>
  </w:abstractNum>
  <w:abstractNum w:abstractNumId="84">
    <w:nsid w:val="2C02FE8C"/>
    <w:multiLevelType w:val="hybridMultilevel"/>
    <w:lvl w:ilvl="0">
      <w:lvlJc w:val="left"/>
      <w:lvlText w:val="(%1)"/>
      <w:numFmt w:val="lowerLetter"/>
      <w:start w:val="1"/>
    </w:lvl>
  </w:abstractNum>
  <w:abstractNum w:abstractNumId="85">
    <w:nsid w:val="129517E"/>
    <w:multiLevelType w:val="hybridMultilevel"/>
    <w:lvl w:ilvl="0">
      <w:lvlJc w:val="left"/>
      <w:lvlText w:val="(%1)"/>
      <w:numFmt w:val="lowerLetter"/>
      <w:start w:val="2"/>
    </w:lvl>
  </w:abstractNum>
  <w:abstractNum w:abstractNumId="86">
    <w:nsid w:val="763B8C4E"/>
    <w:multiLevelType w:val="hybridMultilevel"/>
    <w:lvl w:ilvl="0">
      <w:lvlJc w:val="left"/>
      <w:lvlText w:val="(%1)"/>
      <w:numFmt w:val="lowerLetter"/>
      <w:start w:val="1"/>
    </w:lvl>
  </w:abstractNum>
  <w:abstractNum w:abstractNumId="87">
    <w:nsid w:val="4CFB8D32"/>
    <w:multiLevelType w:val="hybridMultilevel"/>
    <w:lvl w:ilvl="0">
      <w:lvlJc w:val="left"/>
      <w:lvlText w:val="(%1)"/>
      <w:numFmt w:val="lowerLetter"/>
      <w:start w:val="1"/>
    </w:lvl>
  </w:abstractNum>
  <w:abstractNum w:abstractNumId="88">
    <w:nsid w:val="62A5D5BD"/>
    <w:multiLevelType w:val="hybridMultilevel"/>
    <w:lvl w:ilvl="0">
      <w:lvlJc w:val="left"/>
      <w:lvlText w:val="(%1)"/>
      <w:numFmt w:val="lowerLetter"/>
      <w:start w:val="1"/>
    </w:lvl>
  </w:abstractNum>
  <w:abstractNum w:abstractNumId="89">
    <w:nsid w:val="718FABF9"/>
    <w:multiLevelType w:val="hybridMultilevel"/>
    <w:lvl w:ilvl="0">
      <w:lvlJc w:val="left"/>
      <w:lvlText w:val="(%1)"/>
      <w:numFmt w:val="lowerRoman"/>
      <w:start w:val="1"/>
    </w:lvl>
  </w:abstractNum>
  <w:abstractNum w:abstractNumId="90">
    <w:nsid w:val="7775797C"/>
    <w:multiLevelType w:val="hybridMultilevel"/>
    <w:lvl w:ilvl="0">
      <w:lvlJc w:val="left"/>
      <w:lvlText w:val="(%1)"/>
      <w:numFmt w:val="lowerLetter"/>
      <w:start w:val="1"/>
    </w:lvl>
  </w:abstractNum>
  <w:abstractNum w:abstractNumId="91">
    <w:nsid w:val="1626FB8C"/>
    <w:multiLevelType w:val="hybridMultilevel"/>
    <w:lvl w:ilvl="0">
      <w:lvlJc w:val="left"/>
      <w:lvlText w:val="(%1)"/>
      <w:numFmt w:val="lowerLetter"/>
      <w:start w:val="1"/>
    </w:lvl>
  </w:abstractNum>
  <w:abstractNum w:abstractNumId="92">
    <w:nsid w:val="3957756A"/>
    <w:multiLevelType w:val="hybridMultilevel"/>
    <w:lvl w:ilvl="0">
      <w:lvlJc w:val="left"/>
      <w:lvlText w:val="(%1)"/>
      <w:numFmt w:val="lowerLetter"/>
      <w:start w:val="1"/>
    </w:lvl>
  </w:abstractNum>
  <w:abstractNum w:abstractNumId="93">
    <w:nsid w:val="3E6DA1C7"/>
    <w:multiLevelType w:val="hybridMultilevel"/>
    <w:lvl w:ilvl="0">
      <w:lvlJc w:val="left"/>
      <w:lvlText w:val="(%1)"/>
      <w:numFmt w:val="lowerLetter"/>
      <w:start w:val="1"/>
    </w:lvl>
    <w:lvl w:ilvl="1">
      <w:lvlJc w:val="left"/>
      <w:lvlText w:val="(%2)"/>
      <w:numFmt w:val="lowerRoman"/>
      <w:start w:val="1"/>
    </w:lvl>
  </w:abstractNum>
  <w:abstractNum w:abstractNumId="94">
    <w:nsid w:val="65CA235B"/>
    <w:multiLevelType w:val="hybridMultilevel"/>
    <w:lvl w:ilvl="0">
      <w:lvlJc w:val="left"/>
      <w:lvlText w:val="%1"/>
      <w:numFmt w:val="lowerLetter"/>
      <w:start w:val="1"/>
    </w:lvl>
    <w:lvl w:ilvl="1">
      <w:lvlJc w:val="left"/>
      <w:lvlText w:val="(%2)"/>
      <w:numFmt w:val="lowerRoman"/>
      <w:start w:val="8"/>
    </w:lvl>
  </w:abstractNum>
  <w:abstractNum w:abstractNumId="95">
    <w:nsid w:val="51CB0DA4"/>
    <w:multiLevelType w:val="hybridMultilevel"/>
    <w:lvl w:ilvl="0">
      <w:lvlJc w:val="left"/>
      <w:lvlText w:val="(%1)"/>
      <w:numFmt w:val="lowerLetter"/>
      <w:start w:val="2"/>
    </w:lvl>
    <w:lvl w:ilvl="1">
      <w:lvlJc w:val="left"/>
      <w:lvlText w:val="%2"/>
      <w:numFmt w:val="lowerRoman"/>
      <w:start w:val="1"/>
    </w:lvl>
  </w:abstractNum>
  <w:abstractNum w:abstractNumId="96">
    <w:nsid w:val="7B9B743C"/>
    <w:multiLevelType w:val="hybridMultilevel"/>
    <w:lvl w:ilvl="0">
      <w:lvlJc w:val="left"/>
      <w:lvlText w:val="(%1)"/>
      <w:numFmt w:val="lowerLetter"/>
      <w:start w:val="1"/>
    </w:lvl>
  </w:abstractNum>
  <w:abstractNum w:abstractNumId="97">
    <w:nsid w:val="13E21002"/>
    <w:multiLevelType w:val="hybridMultilevel"/>
    <w:lvl w:ilvl="0">
      <w:lvlJc w:val="left"/>
      <w:lvlText w:val="(%1)"/>
      <w:numFmt w:val="lowerLetter"/>
      <w:start w:val="1"/>
    </w:lvl>
    <w:lvl w:ilvl="1">
      <w:lvlJc w:val="left"/>
      <w:lvlText w:val="(%2)"/>
      <w:numFmt w:val="lowerRoman"/>
      <w:start w:val="1"/>
    </w:lvl>
  </w:abstractNum>
  <w:abstractNum w:abstractNumId="98">
    <w:nsid w:val="257D63F4"/>
    <w:multiLevelType w:val="hybridMultilevel"/>
    <w:lvl w:ilvl="0">
      <w:lvlJc w:val="left"/>
      <w:lvlText w:val="%1."/>
      <w:numFmt w:val="decimal"/>
      <w:start w:val="2"/>
    </w:lvl>
    <w:lvl w:ilvl="1">
      <w:lvlJc w:val="left"/>
      <w:lvlText w:val="(%2)"/>
      <w:numFmt w:val="lowerLetter"/>
      <w:start w:val="1"/>
    </w:lvl>
  </w:abstractNum>
  <w:abstractNum w:abstractNumId="99">
    <w:nsid w:val="70EC11B2"/>
    <w:multiLevelType w:val="hybridMultilevel"/>
    <w:lvl w:ilvl="0">
      <w:lvlJc w:val="left"/>
      <w:lvlText w:val="(%1)"/>
      <w:numFmt w:val="lowerLetter"/>
      <w:start w:val="1"/>
    </w:lvl>
  </w:abstractNum>
  <w:abstractNum w:abstractNumId="100">
    <w:nsid w:val="2EDA00ED"/>
    <w:multiLevelType w:val="hybridMultilevel"/>
    <w:lvl w:ilvl="0">
      <w:lvlJc w:val="left"/>
      <w:lvlText w:val="(%1)"/>
      <w:numFmt w:val="lowerLetter"/>
      <w:start w:val="1"/>
    </w:lvl>
    <w:lvl w:ilvl="1">
      <w:lvlJc w:val="left"/>
      <w:lvlText w:val="(%2)"/>
      <w:numFmt w:val="lowerRoman"/>
      <w:start w:val="1"/>
    </w:lvl>
  </w:abstractNum>
  <w:abstractNum w:abstractNumId="101">
    <w:nsid w:val="73209072"/>
    <w:multiLevelType w:val="hybridMultilevel"/>
    <w:lvl w:ilvl="0">
      <w:lvlJc w:val="left"/>
      <w:lvlText w:val="(%1)"/>
      <w:numFmt w:val="lowerLetter"/>
      <w:start w:val="2"/>
    </w:lvl>
  </w:abstractNum>
  <w:abstractNum w:abstractNumId="102">
    <w:nsid w:val="5FB29816"/>
    <w:multiLevelType w:val="hybridMultilevel"/>
    <w:lvl w:ilvl="0">
      <w:lvlJc w:val="left"/>
      <w:lvlText w:val="%1."/>
      <w:numFmt w:val="decimal"/>
      <w:start w:val="3"/>
    </w:lvl>
  </w:abstractNum>
  <w:abstractNum w:abstractNumId="103">
    <w:nsid w:val="3CE732EC"/>
    <w:multiLevelType w:val="hybridMultilevel"/>
    <w:lvl w:ilvl="0">
      <w:lvlJc w:val="left"/>
      <w:lvlText w:val="%1."/>
      <w:numFmt w:val="decimal"/>
      <w:start w:val="4"/>
    </w:lvl>
  </w:abstractNum>
  <w:abstractNum w:abstractNumId="104">
    <w:nsid w:val="22F13DF3"/>
    <w:multiLevelType w:val="hybridMultilevel"/>
    <w:lvl w:ilvl="0">
      <w:lvlJc w:val="left"/>
      <w:lvlText w:val="(%1)"/>
      <w:numFmt w:val="lowerLetter"/>
      <w:start w:val="1"/>
    </w:lvl>
  </w:abstractNum>
  <w:abstractNum w:abstractNumId="105">
    <w:nsid w:val="792B8401"/>
    <w:multiLevelType w:val="hybridMultilevel"/>
    <w:lvl w:ilvl="0">
      <w:lvlJc w:val="left"/>
      <w:lvlText w:val="(%1)"/>
      <w:numFmt w:val="lowerLetter"/>
      <w:start w:val="1"/>
    </w:lvl>
  </w:abstractNum>
  <w:abstractNum w:abstractNumId="106">
    <w:nsid w:val="FA85F4D"/>
    <w:multiLevelType w:val="hybridMultilevel"/>
    <w:lvl w:ilvl="0">
      <w:lvlJc w:val="left"/>
      <w:lvlText w:val="(%1)"/>
      <w:numFmt w:val="lowerLetter"/>
      <w:start w:val="1"/>
    </w:lvl>
  </w:abstractNum>
  <w:abstractNum w:abstractNumId="107">
    <w:nsid w:val="6ECE91F0"/>
    <w:multiLevelType w:val="hybridMultilevel"/>
    <w:lvl w:ilvl="0">
      <w:lvlJc w:val="left"/>
      <w:lvlText w:val="%1."/>
      <w:numFmt w:val="decimal"/>
      <w:start w:val="5"/>
    </w:lvl>
  </w:abstractNum>
  <w:abstractNum w:abstractNumId="108">
    <w:nsid w:val="4FC4D600"/>
    <w:multiLevelType w:val="hybridMultilevel"/>
    <w:lvl w:ilvl="0">
      <w:lvlJc w:val="left"/>
      <w:lvlText w:val="(%1)"/>
      <w:numFmt w:val="lowerLetter"/>
      <w:start w:val="1"/>
    </w:lvl>
    <w:lvl w:ilvl="1">
      <w:lvlJc w:val="left"/>
      <w:lvlText w:val="(%2)"/>
      <w:numFmt w:val="lowerRoman"/>
      <w:start w:val="1"/>
    </w:lvl>
  </w:abstractNum>
  <w:abstractNum w:abstractNumId="109">
    <w:nsid w:val="5BFD4210"/>
    <w:multiLevelType w:val="hybridMultilevel"/>
    <w:lvl w:ilvl="0">
      <w:lvlJc w:val="left"/>
      <w:lvlText w:val="(%1)"/>
      <w:numFmt w:val="lowerLetter"/>
      <w:start w:val="1"/>
    </w:lvl>
    <w:lvl w:ilvl="1">
      <w:lvlJc w:val="left"/>
      <w:lvlText w:val="(%2)"/>
      <w:numFmt w:val="lowerRoman"/>
      <w:start w:val="1"/>
    </w:lvl>
  </w:abstractNum>
  <w:abstractNum w:abstractNumId="110">
    <w:nsid w:val="76574F8B"/>
    <w:multiLevelType w:val="hybridMultilevel"/>
    <w:lvl w:ilvl="0">
      <w:lvlJc w:val="left"/>
      <w:lvlText w:val="(%1)"/>
      <w:numFmt w:val="lowerLetter"/>
      <w:start w:val="1"/>
    </w:lvl>
  </w:abstractNum>
  <w:abstractNum w:abstractNumId="111">
    <w:nsid w:val="178F7B67"/>
    <w:multiLevelType w:val="hybridMultilevel"/>
    <w:lvl w:ilvl="0">
      <w:lvlJc w:val="left"/>
      <w:lvlText w:val="(%1)"/>
      <w:numFmt w:val="lowerLetter"/>
      <w:start w:val="2"/>
    </w:lvl>
  </w:abstractNum>
  <w:abstractNum w:abstractNumId="112">
    <w:nsid w:val="2421DFCF"/>
    <w:multiLevelType w:val="hybridMultilevel"/>
    <w:lvl w:ilvl="0">
      <w:lvlJc w:val="left"/>
      <w:lvlText w:val="%1."/>
      <w:numFmt w:val="decimal"/>
      <w:start w:val="6"/>
    </w:lvl>
  </w:abstractNum>
  <w:abstractNum w:abstractNumId="113">
    <w:nsid w:val="1565AC99"/>
    <w:multiLevelType w:val="hybridMultilevel"/>
    <w:lvl w:ilvl="0">
      <w:lvlJc w:val="left"/>
      <w:lvlText w:val="(%1)"/>
      <w:numFmt w:val="lowerLetter"/>
      <w:start w:val="1"/>
    </w:lvl>
  </w:abstractNum>
  <w:abstractNum w:abstractNumId="114">
    <w:nsid w:val="19FB2650"/>
    <w:multiLevelType w:val="hybridMultilevel"/>
    <w:lvl w:ilvl="0">
      <w:lvlJc w:val="left"/>
      <w:lvlText w:val="%1."/>
      <w:numFmt w:val="decimal"/>
      <w:start w:val="7"/>
    </w:lvl>
  </w:abstractNum>
  <w:abstractNum w:abstractNumId="115">
    <w:nsid w:val="5024DE5B"/>
    <w:multiLevelType w:val="hybridMultilevel"/>
    <w:lvl w:ilvl="0">
      <w:lvlJc w:val="left"/>
      <w:lvlText w:val="(%1)"/>
      <w:numFmt w:val="lowerLetter"/>
      <w:start w:val="1"/>
    </w:lvl>
  </w:abstractNum>
  <w:abstractNum w:abstractNumId="116">
    <w:nsid w:val="168EFE17"/>
    <w:multiLevelType w:val="hybridMultilevel"/>
    <w:lvl w:ilvl="0">
      <w:lvlJc w:val="left"/>
      <w:lvlText w:val="(%1)"/>
      <w:numFmt w:val="lowerLetter"/>
      <w:start w:val="1"/>
    </w:lvl>
  </w:abstractNum>
  <w:abstractNum w:abstractNumId="117">
    <w:nsid w:val="1036B29F"/>
    <w:multiLevelType w:val="hybridMultilevel"/>
    <w:lvl w:ilvl="0">
      <w:lvlJc w:val="left"/>
      <w:lvlText w:val="(%1)"/>
      <w:numFmt w:val="lowerRoman"/>
      <w:start w:val="1"/>
    </w:lvl>
  </w:abstractNum>
  <w:abstractNum w:abstractNumId="118">
    <w:nsid w:val="1D206B8E"/>
    <w:multiLevelType w:val="hybridMultilevel"/>
    <w:lvl w:ilvl="0">
      <w:lvlJc w:val="left"/>
      <w:lvlText w:val="(%1)"/>
      <w:numFmt w:val="lowerLetter"/>
      <w:start w:val="1"/>
    </w:lvl>
    <w:lvl w:ilvl="1">
      <w:lvlJc w:val="left"/>
      <w:lvlText w:val="(%2)"/>
      <w:numFmt w:val="lowerRoman"/>
      <w:start w:val="1"/>
    </w:lvl>
  </w:abstractNum>
  <w:abstractNum w:abstractNumId="119">
    <w:nsid w:val="7934D3D4"/>
    <w:multiLevelType w:val="hybridMultilevel"/>
    <w:lvl w:ilvl="0">
      <w:lvlJc w:val="left"/>
      <w:lvlText w:val="(%1)"/>
      <w:numFmt w:val="lowerLetter"/>
      <w:start w:val="2"/>
    </w:lvl>
  </w:abstractNum>
  <w:abstractNum w:abstractNumId="120">
    <w:nsid w:val="1C65E98"/>
    <w:multiLevelType w:val="hybridMultilevel"/>
    <w:lvl w:ilvl="0">
      <w:lvlJc w:val="left"/>
      <w:lvlText w:val="(%1)"/>
      <w:numFmt w:val="lowerLetter"/>
      <w:start w:val="1"/>
    </w:lvl>
    <w:lvl w:ilvl="1">
      <w:lvlJc w:val="left"/>
      <w:lvlText w:val="(%2)"/>
      <w:numFmt w:val="lowerRoman"/>
      <w:start w:val="1"/>
    </w:lvl>
  </w:abstractNum>
  <w:abstractNum w:abstractNumId="121">
    <w:nsid w:val="1495E50A"/>
    <w:multiLevelType w:val="hybridMultilevel"/>
    <w:lvl w:ilvl="0">
      <w:lvlJc w:val="left"/>
      <w:lvlText w:val="(%1)"/>
      <w:numFmt w:val="lowerLetter"/>
      <w:start w:val="2"/>
    </w:lvl>
  </w:abstractNum>
  <w:abstractNum w:abstractNumId="122">
    <w:nsid w:val="F5BCF61"/>
    <w:multiLevelType w:val="hybridMultilevel"/>
    <w:lvl w:ilvl="0">
      <w:lvlJc w:val="left"/>
      <w:lvlText w:val="(%1)"/>
      <w:numFmt w:val="lowerLetter"/>
      <w:start w:val="4"/>
    </w:lvl>
    <w:lvl w:ilvl="1">
      <w:lvlJc w:val="left"/>
      <w:lvlText w:val="(%2)"/>
      <w:numFmt w:val="lowerRoman"/>
      <w:start w:val="1"/>
    </w:lvl>
  </w:abstractNum>
  <w:abstractNum w:abstractNumId="123">
    <w:nsid w:val="3B1DD403"/>
    <w:multiLevelType w:val="hybridMultilevel"/>
    <w:lvl w:ilvl="0">
      <w:lvlJc w:val="left"/>
      <w:lvlText w:val="(%1)"/>
      <w:numFmt w:val="lowerLetter"/>
      <w:start w:val="5"/>
    </w:lvl>
    <w:lvl w:ilvl="1">
      <w:lvlJc w:val="left"/>
      <w:lvlText w:val="(%2)"/>
      <w:numFmt w:val="lowerRoman"/>
      <w:start w:val="1"/>
    </w:lvl>
  </w:abstractNum>
  <w:abstractNum w:abstractNumId="124">
    <w:nsid w:val="530386D1"/>
    <w:multiLevelType w:val="hybridMultilevel"/>
    <w:lvl w:ilvl="0">
      <w:lvlJc w:val="left"/>
      <w:lvlText w:val="(%1)"/>
      <w:numFmt w:val="lowerRoman"/>
      <w:start w:val="1"/>
    </w:lvl>
  </w:abstractNum>
  <w:abstractNum w:abstractNumId="125">
    <w:nsid w:val="7525F2BC"/>
    <w:multiLevelType w:val="hybridMultilevel"/>
    <w:lvl w:ilvl="0">
      <w:lvlJc w:val="left"/>
      <w:lvlText w:val="%1."/>
      <w:numFmt w:val="decimal"/>
      <w:start w:val="8"/>
    </w:lvl>
    <w:lvl w:ilvl="1">
      <w:lvlJc w:val="left"/>
      <w:lvlText w:val="(%2)"/>
      <w:numFmt w:val="lowerLetter"/>
      <w:start w:val="1"/>
    </w:lvl>
  </w:abstractNum>
  <w:abstractNum w:abstractNumId="126">
    <w:nsid w:val="CE8E1A7"/>
    <w:multiLevelType w:val="hybridMultilevel"/>
    <w:lvl w:ilvl="0">
      <w:lvlJc w:val="left"/>
      <w:lvlText w:val="(%1)"/>
      <w:numFmt w:val="lowerLetter"/>
      <w:start w:val="1"/>
    </w:lvl>
    <w:lvl w:ilvl="1">
      <w:lvlJc w:val="left"/>
      <w:lvlText w:val="(%2)"/>
      <w:numFmt w:val="lowerRoman"/>
      <w:start w:val="1"/>
    </w:lvl>
  </w:abstractNum>
  <w:abstractNum w:abstractNumId="127">
    <w:nsid w:val="4E9EFB0D"/>
    <w:multiLevelType w:val="hybridMultilevel"/>
    <w:lvl w:ilvl="0">
      <w:lvlJc w:val="left"/>
      <w:lvlText w:val="(%1)"/>
      <w:numFmt w:val="lowerRoman"/>
      <w:start w:val="1"/>
    </w:lvl>
    <w:lvl w:ilvl="1">
      <w:lvlJc w:val="left"/>
      <w:lvlText w:val="(%2)"/>
      <w:numFmt w:val="upperLetter"/>
      <w:start w:val="1"/>
    </w:lvl>
  </w:abstractNum>
  <w:abstractNum w:abstractNumId="128">
    <w:nsid w:val="90802BE"/>
    <w:multiLevelType w:val="hybridMultilevel"/>
    <w:lvl w:ilvl="0">
      <w:lvlJc w:val="left"/>
      <w:lvlText w:val="%1"/>
      <w:numFmt w:val="lowerLetter"/>
      <w:start w:val="1"/>
    </w:lvl>
    <w:lvl w:ilvl="1">
      <w:lvlJc w:val="left"/>
      <w:lvlText w:val="(%2)"/>
      <w:numFmt w:val="lowerLetter"/>
      <w:start w:val="35"/>
    </w:lvl>
  </w:abstractNum>
  <w:abstractNum w:abstractNumId="129">
    <w:nsid w:val="3266459B"/>
    <w:multiLevelType w:val="hybridMultilevel"/>
    <w:lvl w:ilvl="0">
      <w:lvlJc w:val="left"/>
      <w:lvlText w:val="(%1)"/>
      <w:numFmt w:val="lowerLetter"/>
      <w:start w:val="2"/>
    </w:lvl>
    <w:lvl w:ilvl="1">
      <w:lvlJc w:val="left"/>
      <w:lvlText w:val="(%2)"/>
      <w:numFmt w:val="lowerLetter"/>
      <w:start w:val="9"/>
    </w:lvl>
  </w:abstractNum>
  <w:abstractNum w:abstractNumId="130">
    <w:nsid w:val="3F8B0CBF"/>
    <w:multiLevelType w:val="hybridMultilevel"/>
    <w:lvl w:ilvl="0">
      <w:lvlJc w:val="left"/>
      <w:lvlText w:val="(%1)"/>
      <w:numFmt w:val="lowerRoman"/>
      <w:start w:val="2"/>
    </w:lvl>
  </w:abstractNum>
  <w:abstractNum w:abstractNumId="131">
    <w:nsid w:val="37E203AB"/>
    <w:multiLevelType w:val="hybridMultilevel"/>
    <w:lvl w:ilvl="0">
      <w:lvlJc w:val="left"/>
      <w:lvlText w:val="(%1)"/>
      <w:numFmt w:val="lowerLetter"/>
      <w:start w:val="1"/>
    </w:lvl>
  </w:abstractNum>
  <w:abstractNum w:abstractNumId="132">
    <w:nsid w:val="2586D60E"/>
    <w:multiLevelType w:val="hybridMultilevel"/>
    <w:lvl w:ilvl="0">
      <w:lvlJc w:val="left"/>
      <w:lvlText w:val="%1."/>
      <w:numFmt w:val="decimal"/>
      <w:start w:val="9"/>
    </w:lvl>
  </w:abstractNum>
  <w:abstractNum w:abstractNumId="133">
    <w:nsid w:val="1F3DA4D5"/>
    <w:multiLevelType w:val="hybridMultilevel"/>
    <w:lvl w:ilvl="0">
      <w:lvlJc w:val="left"/>
      <w:lvlText w:val="%1."/>
      <w:numFmt w:val="decimal"/>
      <w:start w:val="10"/>
    </w:lvl>
  </w:abstractNum>
  <w:abstractNum w:abstractNumId="134">
    <w:nsid w:val="74C93698"/>
    <w:multiLevelType w:val="hybridMultilevel"/>
    <w:lvl w:ilvl="0">
      <w:lvlJc w:val="left"/>
      <w:lvlText w:val="(%1)"/>
      <w:numFmt w:val="lowerLetter"/>
      <w:start w:val="1"/>
    </w:lvl>
  </w:abstractNum>
  <w:abstractNum w:abstractNumId="135">
    <w:nsid w:val="48781401"/>
    <w:multiLevelType w:val="hybridMultilevel"/>
    <w:lvl w:ilvl="0">
      <w:lvlJc w:val="left"/>
      <w:lvlText w:val="(%1)"/>
      <w:numFmt w:val="lowerLetter"/>
      <w:start w:val="1"/>
    </w:lvl>
  </w:abstractNum>
  <w:abstractNum w:abstractNumId="136">
    <w:nsid w:val="186928D6"/>
    <w:multiLevelType w:val="hybridMultilevel"/>
    <w:lvl w:ilvl="0">
      <w:lvlJc w:val="left"/>
      <w:lvlText w:val="(%1)"/>
      <w:numFmt w:val="lowerLetter"/>
      <w:start w:val="1"/>
    </w:lvl>
  </w:abstractNum>
  <w:abstractNum w:abstractNumId="137">
    <w:nsid w:val="47195E5"/>
    <w:multiLevelType w:val="hybridMultilevel"/>
    <w:lvl w:ilvl="0">
      <w:lvlJc w:val="left"/>
      <w:lvlText w:val="%1"/>
      <w:numFmt w:val="lowerLetter"/>
      <w:start w:val="1"/>
    </w:lvl>
    <w:lvl w:ilvl="1">
      <w:lvlJc w:val="left"/>
      <w:lvlText w:val="(%2)"/>
      <w:numFmt w:val="lowerRoman"/>
      <w:start w:val="1"/>
    </w:lvl>
  </w:abstractNum>
  <w:abstractNum w:abstractNumId="138">
    <w:nsid w:val="3746A5F2"/>
    <w:multiLevelType w:val="hybridMultilevel"/>
    <w:lvl w:ilvl="0">
      <w:lvlJc w:val="left"/>
      <w:lvlText w:val="(%1)"/>
      <w:numFmt w:val="lowerLetter"/>
      <w:start w:val="3"/>
    </w:lvl>
    <w:lvl w:ilvl="1">
      <w:lvlJc w:val="left"/>
      <w:lvlText w:val="%2"/>
      <w:numFmt w:val="lowerRoman"/>
      <w:start w:val="1"/>
    </w:lvl>
  </w:abstractNum>
  <w:abstractNum w:abstractNumId="139">
    <w:nsid w:val="682DFED6"/>
    <w:multiLevelType w:val="hybridMultilevel"/>
    <w:lvl w:ilvl="0">
      <w:lvlJc w:val="left"/>
      <w:lvlText w:val="(%1)"/>
      <w:numFmt w:val="lowerLetter"/>
      <w:start w:val="1"/>
    </w:lvl>
  </w:abstractNum>
  <w:abstractNum w:abstractNumId="140">
    <w:nsid w:val="606ED7F6"/>
    <w:multiLevelType w:val="hybridMultilevel"/>
    <w:lvl w:ilvl="0">
      <w:lvlJc w:val="left"/>
      <w:lvlText w:val="%1."/>
      <w:numFmt w:val="decimal"/>
      <w:start w:val="11"/>
    </w:lvl>
  </w:abstractNum>
  <w:abstractNum w:abstractNumId="141">
    <w:nsid w:val="2D9DF57D"/>
    <w:multiLevelType w:val="hybridMultilevel"/>
    <w:lvl w:ilvl="0">
      <w:lvlJc w:val="left"/>
      <w:lvlText w:val="(%1)"/>
      <w:numFmt w:val="lowerLetter"/>
      <w:start w:val="1"/>
    </w:lvl>
  </w:abstractNum>
  <w:abstractNum w:abstractNumId="142">
    <w:nsid w:val="7FBD7A3E"/>
    <w:multiLevelType w:val="hybridMultilevel"/>
    <w:lvl w:ilvl="0">
      <w:lvlJc w:val="left"/>
      <w:lvlText w:val="(%1)"/>
      <w:numFmt w:val="lowerLetter"/>
      <w:start w:val="1"/>
    </w:lvl>
  </w:abstractNum>
  <w:abstractNum w:abstractNumId="143">
    <w:nsid w:val="490B7C5"/>
    <w:multiLevelType w:val="hybridMultilevel"/>
    <w:lvl w:ilvl="0">
      <w:lvlJc w:val="left"/>
      <w:lvlText w:val="%1."/>
      <w:numFmt w:val="decimal"/>
      <w:start w:val="12"/>
    </w:lvl>
  </w:abstractNum>
  <w:abstractNum w:abstractNumId="144">
    <w:nsid w:val="4303A216"/>
    <w:multiLevelType w:val="hybridMultilevel"/>
    <w:lvl w:ilvl="0">
      <w:lvlJc w:val="left"/>
      <w:lvlText w:val="(%1)"/>
      <w:numFmt w:val="lowerLetter"/>
      <w:start w:val="1"/>
    </w:lvl>
    <w:lvl w:ilvl="1">
      <w:lvlJc w:val="left"/>
      <w:lvlText w:val="(%2)"/>
      <w:numFmt w:val="lowerRoman"/>
      <w:start w:val="1"/>
    </w:lvl>
  </w:abstractNum>
  <w:abstractNum w:abstractNumId="145">
    <w:nsid w:val="19B8A08E"/>
    <w:multiLevelType w:val="hybridMultilevel"/>
    <w:lvl w:ilvl="0">
      <w:lvlJc w:val="left"/>
      <w:lvlText w:val="(%1)"/>
      <w:numFmt w:val="lowerLetter"/>
      <w:start w:val="3"/>
    </w:lvl>
    <w:lvl w:ilvl="1">
      <w:lvlJc w:val="left"/>
      <w:lvlText w:val="(%2)"/>
      <w:numFmt w:val="lowerRoman"/>
      <w:start w:val="1"/>
    </w:lvl>
  </w:abstractNum>
  <w:abstractNum w:abstractNumId="146">
    <w:nsid w:val="54B59621"/>
    <w:multiLevelType w:val="hybridMultilevel"/>
    <w:lvl w:ilvl="0">
      <w:lvlJc w:val="left"/>
      <w:lvlText w:val="(%1)"/>
      <w:numFmt w:val="lowerLetter"/>
      <w:start w:val="4"/>
    </w:lvl>
  </w:abstractNum>
  <w:abstractNum w:abstractNumId="147">
    <w:nsid w:val="5992A02E"/>
    <w:multiLevelType w:val="hybridMultilevel"/>
    <w:lvl w:ilvl="0">
      <w:lvlJc w:val="left"/>
      <w:lvlText w:val="(%1)"/>
      <w:numFmt w:val="lowerLetter"/>
      <w:start w:val="1"/>
    </w:lvl>
  </w:abstractNum>
  <w:abstractNum w:abstractNumId="148">
    <w:nsid w:val="29EF532D"/>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49">
    <w:nsid w:val="71D601AF"/>
    <w:multiLevelType w:val="hybridMultilevel"/>
    <w:lvl w:ilvl="0">
      <w:lvlJc w:val="left"/>
      <w:lvlText w:val="(%1)"/>
      <w:numFmt w:val="lowerLetter"/>
      <w:start w:val="1"/>
    </w:lvl>
  </w:abstractNum>
  <w:abstractNum w:abstractNumId="150">
    <w:nsid w:val="52C77402"/>
    <w:multiLevelType w:val="hybridMultilevel"/>
    <w:lvl w:ilvl="0">
      <w:lvlJc w:val="left"/>
      <w:lvlText w:val="(%1)"/>
      <w:numFmt w:val="lowerLetter"/>
      <w:start w:val="2"/>
    </w:lvl>
  </w:abstractNum>
  <w:abstractNum w:abstractNumId="151">
    <w:nsid w:val="2BB5B1C6"/>
    <w:multiLevelType w:val="hybridMultilevel"/>
    <w:lvl w:ilvl="0">
      <w:lvlJc w:val="left"/>
      <w:lvlText w:val="(%1)"/>
      <w:numFmt w:val="lowerLetter"/>
      <w:start w:val="1"/>
    </w:lvl>
    <w:lvl w:ilvl="1">
      <w:lvlJc w:val="left"/>
      <w:lvlText w:val="(%2)"/>
      <w:numFmt w:val="lowerRoman"/>
      <w:start w:val="1"/>
    </w:lvl>
  </w:abstractNum>
  <w:abstractNum w:abstractNumId="152">
    <w:nsid w:val="66BE6B9"/>
    <w:multiLevelType w:val="hybridMultilevel"/>
    <w:lvl w:ilvl="0">
      <w:lvlJc w:val="left"/>
      <w:lvlText w:val="(%1)"/>
      <w:numFmt w:val="lowerLetter"/>
      <w:start w:val="5"/>
    </w:lvl>
    <w:lvl w:ilvl="1">
      <w:lvlJc w:val="left"/>
      <w:lvlText w:val="(%2)"/>
      <w:numFmt w:val="lowerRoman"/>
      <w:start w:val="1"/>
    </w:lvl>
  </w:abstractNum>
  <w:abstractNum w:abstractNumId="153">
    <w:nsid w:val="62234363"/>
    <w:multiLevelType w:val="hybridMultilevel"/>
    <w:lvl w:ilvl="0">
      <w:lvlJc w:val="left"/>
      <w:lvlText w:val="(%1)"/>
      <w:numFmt w:val="lowerLetter"/>
      <w:start w:val="1"/>
    </w:lvl>
  </w:abstractNum>
  <w:abstractNum w:abstractNumId="154">
    <w:nsid w:val="66D385C9"/>
    <w:multiLevelType w:val="hybridMultilevel"/>
    <w:lvl w:ilvl="0">
      <w:lvlJc w:val="left"/>
      <w:lvlText w:val="(%1)"/>
      <w:numFmt w:val="lowerLetter"/>
      <w:start w:val="2"/>
    </w:lvl>
  </w:abstractNum>
  <w:abstractNum w:abstractNumId="155">
    <w:nsid w:val="596F6D8A"/>
    <w:multiLevelType w:val="hybridMultilevel"/>
    <w:lvl w:ilvl="0">
      <w:lvlJc w:val="left"/>
      <w:lvlText w:val="%1."/>
      <w:numFmt w:val="decimal"/>
      <w:start w:val="13"/>
    </w:lvl>
  </w:abstractNum>
  <w:abstractNum w:abstractNumId="156">
    <w:nsid w:val="5749361F"/>
    <w:multiLevelType w:val="hybridMultilevel"/>
    <w:lvl w:ilvl="0">
      <w:lvlJc w:val="left"/>
      <w:lvlText w:val="(%1)"/>
      <w:numFmt w:val="lowerLetter"/>
      <w:start w:val="1"/>
    </w:lvl>
    <w:lvl w:ilvl="1">
      <w:lvlJc w:val="left"/>
      <w:lvlText w:val="(%2)"/>
      <w:numFmt w:val="lowerRoman"/>
      <w:start w:val="1"/>
    </w:lvl>
  </w:abstractNum>
  <w:abstractNum w:abstractNumId="157">
    <w:nsid w:val="73BC6770"/>
    <w:multiLevelType w:val="hybridMultilevel"/>
    <w:lvl w:ilvl="0">
      <w:lvlJc w:val="left"/>
      <w:lvlText w:val="%1."/>
      <w:numFmt w:val="decimal"/>
      <w:start w:val="14"/>
    </w:lvl>
    <w:lvl w:ilvl="1">
      <w:lvlJc w:val="left"/>
      <w:lvlText w:val="(%2)"/>
      <w:numFmt w:val="lowerLetter"/>
      <w:start w:val="1"/>
    </w:lvl>
  </w:abstractNum>
  <w:abstractNum w:abstractNumId="158">
    <w:nsid w:val="280E689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9">
    <w:nsid w:val="605138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60">
    <w:nsid w:val="2622AD0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61">
    <w:nsid w:val="6799755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2">
    <w:nsid w:val="18333C89"/>
    <w:multiLevelType w:val="hybridMultilevel"/>
    <w:lvl w:ilvl="0">
      <w:lvlJc w:val="left"/>
      <w:lvlText w:val="(%1)"/>
      <w:numFmt w:val="lowerLetter"/>
      <w:start w:val="1"/>
    </w:lvl>
    <w:lvl w:ilvl="1">
      <w:lvlJc w:val="left"/>
      <w:lvlText w:val="(%2)"/>
      <w:numFmt w:val="lowerRoman"/>
      <w:start w:val="1"/>
    </w:lvl>
  </w:abstractNum>
  <w:abstractNum w:abstractNumId="163">
    <w:nsid w:val="4BA9831A"/>
    <w:multiLevelType w:val="hybridMultilevel"/>
    <w:lvl w:ilvl="0">
      <w:lvlJc w:val="left"/>
      <w:lvlText w:val="(%1)"/>
      <w:numFmt w:val="lowerLetter"/>
      <w:start w:val="3"/>
    </w:lvl>
  </w:abstractNum>
  <w:abstractNum w:abstractNumId="164">
    <w:nsid w:val="6D71A2B"/>
    <w:multiLevelType w:val="hybridMultilevel"/>
    <w:lvl w:ilvl="0">
      <w:lvlJc w:val="left"/>
      <w:lvlText w:val="(%1)"/>
      <w:numFmt w:val="lowerLetter"/>
      <w:start w:val="1"/>
    </w:lvl>
    <w:lvl w:ilvl="1">
      <w:lvlJc w:val="left"/>
      <w:lvlText w:val="(%2)"/>
      <w:numFmt w:val="lowerRoman"/>
      <w:start w:val="1"/>
    </w:lvl>
  </w:abstractNum>
  <w:abstractNum w:abstractNumId="165">
    <w:nsid w:val="CFC7321"/>
    <w:multiLevelType w:val="hybridMultilevel"/>
    <w:lvl w:ilvl="0">
      <w:lvlJc w:val="left"/>
      <w:lvlText w:val="(%1)"/>
      <w:numFmt w:val="lowerLetter"/>
      <w:start w:val="1"/>
    </w:lvl>
  </w:abstractNum>
  <w:abstractNum w:abstractNumId="166">
    <w:nsid w:val="1421971B"/>
    <w:multiLevelType w:val="hybridMultilevel"/>
    <w:lvl w:ilvl="0">
      <w:lvlJc w:val="left"/>
      <w:lvlText w:val="(%1)"/>
      <w:numFmt w:val="lowerLetter"/>
      <w:start w:val="1"/>
    </w:lvl>
  </w:abstractNum>
  <w:abstractNum w:abstractNumId="167">
    <w:nsid w:val="1F40430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8">
    <w:nsid w:val="116E0907"/>
    <w:multiLevelType w:val="hybridMultilevel"/>
    <w:lvl w:ilvl="0">
      <w:lvlJc w:val="left"/>
      <w:lvlText w:val="(%1)"/>
      <w:numFmt w:val="lowerLetter"/>
      <w:start w:val="5"/>
    </w:lvl>
  </w:abstractNum>
  <w:abstractNum w:abstractNumId="169">
    <w:nsid w:val="4B683D0D"/>
    <w:multiLevelType w:val="hybridMultilevel"/>
    <w:lvl w:ilvl="0">
      <w:lvlJc w:val="left"/>
      <w:lvlText w:val="(%1)"/>
      <w:numFmt w:val="lowerRoman"/>
      <w:start w:val="1"/>
    </w:lvl>
  </w:abstractNum>
  <w:abstractNum w:abstractNumId="170">
    <w:nsid w:val="76E41D8"/>
    <w:multiLevelType w:val="hybridMultilevel"/>
    <w:lvl w:ilvl="0">
      <w:lvlJc w:val="left"/>
      <w:lvlText w:val="(%1)"/>
      <w:numFmt w:val="upperLetter"/>
      <w:start w:val="1"/>
    </w:lvl>
  </w:abstractNum>
  <w:abstractNum w:abstractNumId="171">
    <w:nsid w:val="71DCE0FD"/>
    <w:multiLevelType w:val="hybridMultilevel"/>
    <w:lvl w:ilvl="0">
      <w:lvlJc w:val="left"/>
      <w:lvlText w:val="%1"/>
      <w:numFmt w:val="lowerLetter"/>
      <w:start w:val="1"/>
    </w:lvl>
    <w:lvl w:ilvl="1">
      <w:lvlJc w:val="left"/>
      <w:lvlText w:val="(%2)"/>
      <w:numFmt w:val="lowerLetter"/>
      <w:start w:val="61"/>
    </w:lvl>
  </w:abstractNum>
  <w:abstractNum w:abstractNumId="172">
    <w:nsid w:val="7906328B"/>
    <w:multiLevelType w:val="hybridMultilevel"/>
    <w:lvl w:ilvl="0">
      <w:lvlJc w:val="left"/>
      <w:lvlText w:val="(%1)"/>
      <w:numFmt w:val="lowerLetter"/>
      <w:start w:val="8"/>
    </w:lvl>
    <w:lvl w:ilvl="1">
      <w:lvlJc w:val="left"/>
      <w:lvlText w:val="(%2)"/>
      <w:numFmt w:val="lowerLetter"/>
      <w:start w:val="9"/>
    </w:lvl>
  </w:abstractNum>
  <w:abstractNum w:abstractNumId="173">
    <w:nsid w:val="72BBC16"/>
    <w:multiLevelType w:val="hybridMultilevel"/>
    <w:lvl w:ilvl="0">
      <w:lvlJc w:val="left"/>
      <w:lvlText w:val="(%1)"/>
      <w:numFmt w:val="lowerRoman"/>
      <w:start w:val="2"/>
    </w:lvl>
    <w:lvl w:ilvl="1">
      <w:lvlJc w:val="left"/>
      <w:lvlText w:val="(%2)"/>
      <w:numFmt w:val="upperLetter"/>
      <w:start w:val="1"/>
    </w:lvl>
  </w:abstractNum>
  <w:abstractNum w:abstractNumId="174">
    <w:nsid w:val="766D98C2"/>
    <w:multiLevelType w:val="hybridMultilevel"/>
    <w:lvl w:ilvl="0">
      <w:lvlJc w:val="left"/>
      <w:lvlText w:val="(%1)"/>
      <w:numFmt w:val="upperLetter"/>
      <w:start w:val="2"/>
    </w:lvl>
  </w:abstractNum>
  <w:abstractNum w:abstractNumId="175">
    <w:nsid w:val="3C09D4A1"/>
    <w:multiLevelType w:val="hybridMultilevel"/>
    <w:lvl w:ilvl="0">
      <w:lvlJc w:val="left"/>
      <w:lvlText w:val="(%1)"/>
      <w:numFmt w:val="lowerLetter"/>
      <w:start w:val="9"/>
    </w:lvl>
  </w:abstractNum>
  <w:abstractNum w:abstractNumId="176">
    <w:nsid w:val="20E45CA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7">
    <w:nsid w:val="4B232EE3"/>
    <w:multiLevelType w:val="hybridMultilevel"/>
    <w:lvl w:ilvl="0">
      <w:lvlJc w:val="left"/>
      <w:lvlText w:val="(%1)"/>
      <w:numFmt w:val="upperLetter"/>
      <w:start w:val="2"/>
    </w:lvl>
  </w:abstractNum>
  <w:abstractNum w:abstractNumId="178">
    <w:nsid w:val="159C74CF"/>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79">
    <w:nsid w:val="4AD3AFD2"/>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80">
    <w:nsid w:val="3CF93092"/>
    <w:multiLevelType w:val="hybridMultilevel"/>
    <w:lvl w:ilvl="0">
      <w:lvlJc w:val="left"/>
      <w:lvlText w:val="(%1)"/>
      <w:numFmt w:val="lowerLetter"/>
      <w:start w:val="1"/>
    </w:lvl>
  </w:abstractNum>
  <w:abstractNum w:abstractNumId="181">
    <w:nsid w:val="6863E8D2"/>
    <w:multiLevelType w:val="hybridMultilevel"/>
    <w:lvl w:ilvl="0">
      <w:lvlJc w:val="left"/>
      <w:lvlText w:val="(%1)"/>
      <w:numFmt w:val="decimal"/>
      <w:start w:val="1"/>
    </w:lvl>
  </w:abstractNum>
  <w:abstractNum w:abstractNumId="182">
    <w:nsid w:val="76896198"/>
    <w:multiLevelType w:val="hybridMultilevel"/>
    <w:lvl w:ilvl="0">
      <w:lvlJc w:val="left"/>
      <w:lvlText w:val="(%1)"/>
      <w:numFmt w:val="lowerLetter"/>
      <w:start w:val="1"/>
    </w:lvl>
    <w:lvl w:ilvl="1">
      <w:lvlJc w:val="left"/>
      <w:lvlText w:val="(%2)"/>
      <w:numFmt w:val="lowerRoman"/>
      <w:start w:val="1"/>
    </w:lvl>
  </w:abstractNum>
  <w:abstractNum w:abstractNumId="183">
    <w:nsid w:val="4365174B"/>
    <w:multiLevelType w:val="hybridMultilevel"/>
    <w:lvl w:ilvl="0">
      <w:lvlJc w:val="left"/>
      <w:lvlText w:val="(%1)"/>
      <w:numFmt w:val="lowerLetter"/>
      <w:start w:val="4"/>
    </w:lvl>
  </w:abstractNum>
  <w:abstractNum w:abstractNumId="184">
    <w:nsid w:val="4A872C3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5">
    <w:nsid w:val="5D5CE761"/>
    <w:multiLevelType w:val="hybridMultilevel"/>
    <w:lvl w:ilvl="0">
      <w:lvlJc w:val="left"/>
      <w:lvlText w:val="(%1)"/>
      <w:numFmt w:val="lowerLetter"/>
      <w:start w:val="5"/>
    </w:lvl>
    <w:lvl w:ilvl="1">
      <w:lvlJc w:val="left"/>
      <w:lvlText w:val="(%2)"/>
      <w:numFmt w:val="lowerRoman"/>
      <w:start w:val="1"/>
    </w:lvl>
  </w:abstractNum>
  <w:abstractNum w:abstractNumId="186">
    <w:nsid w:val="1CD484D5"/>
    <w:multiLevelType w:val="hybridMultilevel"/>
    <w:lvl w:ilvl="0">
      <w:lvlJc w:val="left"/>
      <w:lvlText w:val="%1"/>
      <w:numFmt w:val="lowerLetter"/>
      <w:start w:val="1"/>
    </w:lvl>
    <w:lvl w:ilvl="1">
      <w:lvlJc w:val="left"/>
      <w:lvlText w:val="(%2)"/>
      <w:numFmt w:val="upperLetter"/>
      <w:start w:val="1"/>
    </w:lvl>
  </w:abstractNum>
  <w:abstractNum w:abstractNumId="187">
    <w:nsid w:val="21D06255"/>
    <w:multiLevelType w:val="hybridMultilevel"/>
    <w:lvl w:ilvl="0">
      <w:lvlJc w:val="left"/>
      <w:lvlText w:val="(%1)"/>
      <w:numFmt w:val="lowerLetter"/>
      <w:start w:val="6"/>
    </w:lvl>
    <w:lvl w:ilvl="1">
      <w:lvlJc w:val="left"/>
      <w:lvlText w:val="%2"/>
      <w:numFmt w:val="upperLetter"/>
      <w:start w:val="1"/>
    </w:lvl>
  </w:abstractNum>
  <w:abstractNum w:abstractNumId="188">
    <w:nsid w:val="51194ED1"/>
    <w:multiLevelType w:val="hybridMultilevel"/>
    <w:lvl w:ilvl="0">
      <w:lvlJc w:val="left"/>
      <w:lvlText w:val="(%1)"/>
      <w:numFmt w:val="lowerLetter"/>
      <w:start w:val="1"/>
    </w:lvl>
  </w:abstractNum>
  <w:abstractNum w:abstractNumId="189">
    <w:nsid w:val="44E2ED6C"/>
    <w:multiLevelType w:val="hybridMultilevel"/>
    <w:lvl w:ilvl="0">
      <w:lvlJc w:val="left"/>
      <w:lvlText w:val="%1."/>
      <w:numFmt w:val="decimal"/>
      <w:start w:val="15"/>
    </w:lvl>
  </w:abstractNum>
  <w:abstractNum w:abstractNumId="190">
    <w:nsid w:val="2219B33"/>
    <w:multiLevelType w:val="hybridMultilevel"/>
    <w:lvl w:ilvl="0">
      <w:lvlJc w:val="left"/>
      <w:lvlText w:val="(%1)"/>
      <w:numFmt w:val="lowerLetter"/>
      <w:start w:val="1"/>
    </w:lvl>
    <w:lvl w:ilvl="1">
      <w:lvlJc w:val="left"/>
      <w:lvlText w:val="(%2)"/>
      <w:numFmt w:val="lowerRoman"/>
      <w:start w:val="1"/>
    </w:lvl>
  </w:abstractNum>
  <w:abstractNum w:abstractNumId="191">
    <w:nsid w:val="773BFBDD"/>
    <w:multiLevelType w:val="hybridMultilevel"/>
    <w:lvl w:ilvl="0">
      <w:lvlJc w:val="left"/>
      <w:lvlText w:val="(%1)"/>
      <w:numFmt w:val="lowerRoman"/>
      <w:start w:val="1"/>
    </w:lvl>
  </w:abstractNum>
  <w:abstractNum w:abstractNumId="192">
    <w:nsid w:val="2C7C62C2"/>
    <w:multiLevelType w:val="hybridMultilevel"/>
    <w:lvl w:ilvl="0">
      <w:lvlJc w:val="left"/>
      <w:lvlText w:val="(%1)"/>
      <w:numFmt w:val="lowerRoman"/>
      <w:start w:val="1"/>
    </w:lvl>
  </w:abstractNum>
  <w:abstractNum w:abstractNumId="193">
    <w:nsid w:val="1A54D7BC"/>
    <w:multiLevelType w:val="hybridMultilevel"/>
    <w:lvl w:ilvl="0">
      <w:lvlJc w:val="left"/>
      <w:lvlText w:val="(%1)"/>
      <w:numFmt w:val="lowerRoman"/>
      <w:start w:val="2"/>
    </w:lvl>
  </w:abstractNum>
  <w:abstractNum w:abstractNumId="194">
    <w:nsid w:val="42E57EF7"/>
    <w:multiLevelType w:val="hybridMultilevel"/>
    <w:lvl w:ilvl="0">
      <w:lvlJc w:val="left"/>
      <w:lvlText w:val="(%1)"/>
      <w:numFmt w:val="lowerRoman"/>
      <w:start w:val="1"/>
    </w:lvl>
  </w:abstractNum>
  <w:abstractNum w:abstractNumId="195">
    <w:nsid w:val="33537CED"/>
    <w:multiLevelType w:val="hybridMultilevel"/>
    <w:lvl w:ilvl="0">
      <w:lvlJc w:val="left"/>
      <w:lvlText w:val="(%1)"/>
      <w:numFmt w:val="lowerRoman"/>
      <w:start w:val="1"/>
    </w:lvl>
  </w:abstractNum>
  <w:abstractNum w:abstractNumId="196">
    <w:nsid w:val="27514ADE"/>
    <w:multiLevelType w:val="hybridMultilevel"/>
    <w:lvl w:ilvl="0">
      <w:lvlJc w:val="left"/>
      <w:lvlText w:val="(%1)"/>
      <w:numFmt w:val="lowerRoman"/>
      <w:start w:val="1"/>
    </w:lvl>
  </w:abstractNum>
  <w:abstractNum w:abstractNumId="197">
    <w:nsid w:val="57071613"/>
    <w:multiLevelType w:val="hybridMultilevel"/>
    <w:lvl w:ilvl="0">
      <w:lvlJc w:val="left"/>
      <w:lvlText w:val="(%1)"/>
      <w:numFmt w:val="lowerLetter"/>
      <w:start w:val="1"/>
    </w:lvl>
  </w:abstractNum>
  <w:abstractNum w:abstractNumId="198">
    <w:nsid w:val="5293BFEF"/>
    <w:multiLevelType w:val="hybridMultilevel"/>
    <w:lvl w:ilvl="0">
      <w:lvlJc w:val="left"/>
      <w:lvlText w:val="(%1)"/>
      <w:numFmt w:val="lowerLetter"/>
      <w:start w:val="1"/>
    </w:lvl>
    <w:lvl w:ilvl="1">
      <w:lvlJc w:val="left"/>
      <w:lvlText w:val="(%2)"/>
      <w:numFmt w:val="lowerRoman"/>
      <w:start w:val="1"/>
    </w:lvl>
  </w:abstractNum>
  <w:abstractNum w:abstractNumId="199">
    <w:nsid w:val="38BF53E5"/>
    <w:multiLevelType w:val="hybridMultilevel"/>
    <w:lvl w:ilvl="0">
      <w:lvlJc w:val="left"/>
      <w:lvlText w:val="%1."/>
      <w:numFmt w:val="decimal"/>
      <w:start w:val="16"/>
    </w:lvl>
  </w:abstractNum>
  <w:abstractNum w:abstractNumId="200">
    <w:nsid w:val="226F5320"/>
    <w:multiLevelType w:val="hybridMultilevel"/>
    <w:lvl w:ilvl="0">
      <w:lvlJc w:val="left"/>
      <w:lvlText w:val="(%1)"/>
      <w:numFmt w:val="lowerLetter"/>
      <w:start w:val="1"/>
    </w:lvl>
    <w:lvl w:ilvl="1">
      <w:lvlJc w:val="left"/>
      <w:lvlText w:val="(%2)"/>
      <w:numFmt w:val="lowerRoman"/>
      <w:start w:val="1"/>
    </w:lvl>
  </w:abstractNum>
  <w:abstractNum w:abstractNumId="201">
    <w:nsid w:val="5A0201C7"/>
    <w:multiLevelType w:val="hybridMultilevel"/>
    <w:lvl w:ilvl="0">
      <w:lvlJc w:val="left"/>
      <w:lvlText w:val="(%1)"/>
      <w:numFmt w:val="lowerLetter"/>
      <w:start w:val="2"/>
    </w:lvl>
  </w:abstractNum>
  <w:abstractNum w:abstractNumId="202">
    <w:nsid w:val="2A9C34E2"/>
    <w:multiLevelType w:val="hybridMultilevel"/>
    <w:lvl w:ilvl="0">
      <w:lvlJc w:val="left"/>
      <w:lvlText w:val="(%1)"/>
      <w:numFmt w:val="lowerLetter"/>
      <w:start w:val="1"/>
    </w:lvl>
  </w:abstractNum>
  <w:abstractNum w:abstractNumId="203">
    <w:nsid w:val="1B7585AB"/>
    <w:multiLevelType w:val="hybridMultilevel"/>
    <w:lvl w:ilvl="0">
      <w:lvlJc w:val="left"/>
      <w:lvlText w:val="(%1)"/>
      <w:numFmt w:val="lowerLetter"/>
      <w:start w:val="3"/>
    </w:lvl>
  </w:abstractNum>
  <w:abstractNum w:abstractNumId="204">
    <w:nsid w:val="612DBDDD"/>
    <w:multiLevelType w:val="hybridMultilevel"/>
    <w:lvl w:ilvl="0">
      <w:lvlJc w:val="left"/>
      <w:lvlText w:val="(%1)"/>
      <w:numFmt w:val="lowerLetter"/>
      <w:start w:val="1"/>
    </w:lvl>
    <w:lvl w:ilvl="1">
      <w:lvlJc w:val="left"/>
      <w:lvlText w:val="(%2)"/>
      <w:numFmt w:val="lowerRoman"/>
      <w:start w:val="1"/>
    </w:lvl>
  </w:abstractNum>
  <w:abstractNum w:abstractNumId="205">
    <w:nsid w:val="2109CDA4"/>
    <w:multiLevelType w:val="hybridMultilevel"/>
    <w:lvl w:ilvl="0">
      <w:lvlJc w:val="left"/>
      <w:lvlText w:val="(%1)"/>
      <w:numFmt w:val="lowerLetter"/>
      <w:start w:val="1"/>
    </w:lvl>
    <w:lvl w:ilvl="1">
      <w:lvlJc w:val="left"/>
      <w:lvlText w:val="(%2)"/>
      <w:numFmt w:val="lowerRoman"/>
      <w:start w:val="1"/>
    </w:lvl>
  </w:abstractNum>
  <w:abstractNum w:abstractNumId="206">
    <w:nsid w:val="577F5A4D"/>
    <w:multiLevelType w:val="hybridMultilevel"/>
    <w:lvl w:ilvl="0">
      <w:lvlJc w:val="left"/>
      <w:lvlText w:val="(%1)"/>
      <w:numFmt w:val="lowerRoman"/>
      <w:start w:val="3"/>
    </w:lvl>
  </w:abstractNum>
  <w:abstractNum w:abstractNumId="207">
    <w:nsid w:val="2121A81"/>
    <w:multiLevelType w:val="hybridMultilevel"/>
    <w:lvl w:ilvl="0">
      <w:lvlJc w:val="left"/>
      <w:lvlText w:val="(%1)"/>
      <w:numFmt w:val="lowerLetter"/>
      <w:start w:val="2"/>
    </w:lvl>
  </w:abstractNum>
  <w:abstractNum w:abstractNumId="208">
    <w:nsid w:val="6C2CFC88"/>
    <w:multiLevelType w:val="hybridMultilevel"/>
    <w:lvl w:ilvl="0">
      <w:lvlJc w:val="left"/>
      <w:lvlText w:val="%1"/>
      <w:numFmt w:val="decimal"/>
      <w:start w:val="1"/>
    </w:lvl>
    <w:lvl w:ilvl="1">
      <w:lvlJc w:val="left"/>
      <w:lvlText w:val="(%2)"/>
      <w:numFmt w:val="lowerLetter"/>
      <w:start w:val="1"/>
    </w:lvl>
  </w:abstractNum>
  <w:abstractNum w:abstractNumId="209">
    <w:nsid w:val="6D1BCF1C"/>
    <w:multiLevelType w:val="hybridMultilevel"/>
    <w:lvl w:ilvl="0">
      <w:lvlJc w:val="left"/>
      <w:lvlText w:val="%1."/>
      <w:numFmt w:val="decimal"/>
      <w:start w:val="17"/>
    </w:lvl>
    <w:lvl w:ilvl="1">
      <w:lvlJc w:val="left"/>
      <w:lvlText w:val="%2"/>
      <w:numFmt w:val="lowerLetter"/>
      <w:start w:val="1"/>
    </w:lvl>
  </w:abstractNum>
  <w:abstractNum w:abstractNumId="210">
    <w:nsid w:val="4CE5CA53"/>
    <w:multiLevelType w:val="hybridMultilevel"/>
    <w:lvl w:ilvl="0">
      <w:lvlJc w:val="left"/>
      <w:lvlText w:val="(%1)"/>
      <w:numFmt w:val="lowerLetter"/>
      <w:start w:val="1"/>
    </w:lvl>
  </w:abstractNum>
  <w:abstractNum w:abstractNumId="211">
    <w:nsid w:val="29262D1A"/>
    <w:multiLevelType w:val="hybridMultilevel"/>
    <w:lvl w:ilvl="0">
      <w:lvlJc w:val="left"/>
      <w:lvlText w:val="(%1)"/>
      <w:numFmt w:val="lowerLetter"/>
      <w:start w:val="1"/>
    </w:lvl>
  </w:abstractNum>
  <w:abstractNum w:abstractNumId="212">
    <w:nsid w:val="557FB7EE"/>
    <w:multiLevelType w:val="hybridMultilevel"/>
    <w:lvl w:ilvl="0">
      <w:lvlJc w:val="left"/>
      <w:lvlText w:val="%1."/>
      <w:numFmt w:val="decimal"/>
      <w:start w:val="18"/>
    </w:lvl>
  </w:abstractNum>
  <w:abstractNum w:abstractNumId="213">
    <w:nsid w:val="436F2BEB"/>
    <w:multiLevelType w:val="hybridMultilevel"/>
    <w:lvl w:ilvl="0">
      <w:lvlJc w:val="left"/>
      <w:lvlText w:val="(%1)"/>
      <w:numFmt w:val="lowerLetter"/>
      <w:start w:val="1"/>
    </w:lvl>
  </w:abstractNum>
  <w:abstractNum w:abstractNumId="214">
    <w:nsid w:val="6C8B4466"/>
    <w:multiLevelType w:val="hybridMultilevel"/>
    <w:lvl w:ilvl="0">
      <w:lvlJc w:val="left"/>
      <w:lvlText w:val="(%1)"/>
      <w:numFmt w:val="lowerLetter"/>
      <w:start w:val="1"/>
    </w:lvl>
  </w:abstractNum>
  <w:abstractNum w:abstractNumId="215">
    <w:nsid w:val="2006E424"/>
    <w:multiLevelType w:val="hybridMultilevel"/>
    <w:lvl w:ilvl="0">
      <w:lvlJc w:val="left"/>
      <w:lvlText w:val="%1."/>
      <w:numFmt w:val="decimal"/>
      <w:start w:val="19"/>
    </w:lvl>
    <w:lvl w:ilvl="1">
      <w:lvlJc w:val="left"/>
      <w:lvlText w:val="(%2)"/>
      <w:numFmt w:val="lowerLetter"/>
      <w:start w:val="1"/>
    </w:lvl>
  </w:abstractNum>
  <w:abstractNum w:abstractNumId="216">
    <w:nsid w:val="20CC134C"/>
    <w:multiLevelType w:val="hybridMultilevel"/>
    <w:lvl w:ilvl="0">
      <w:lvlJc w:val="left"/>
      <w:lvlText w:val="(%1)"/>
      <w:numFmt w:val="lowerLetter"/>
      <w:start w:val="1"/>
    </w:lvl>
  </w:abstractNum>
  <w:abstractNum w:abstractNumId="217">
    <w:nsid w:val="95FC93B"/>
    <w:multiLevelType w:val="hybridMultilevel"/>
    <w:lvl w:ilvl="0">
      <w:lvlJc w:val="left"/>
      <w:lvlText w:val="(%1)"/>
      <w:numFmt w:val="lowerLetter"/>
      <w:start w:val="3"/>
    </w:lvl>
  </w:abstractNum>
  <w:abstractNum w:abstractNumId="218">
    <w:nsid w:val="41D74679"/>
    <w:multiLevelType w:val="hybridMultilevel"/>
    <w:lvl w:ilvl="0">
      <w:lvlJc w:val="left"/>
      <w:lvlText w:val="(%1)"/>
      <w:numFmt w:val="lowerLetter"/>
      <w:start w:val="1"/>
    </w:lvl>
  </w:abstractNum>
  <w:abstractNum w:abstractNumId="219">
    <w:nsid w:val="71E5621E"/>
    <w:multiLevelType w:val="hybridMultilevel"/>
    <w:lvl w:ilvl="0">
      <w:lvlJc w:val="left"/>
      <w:lvlText w:val="(%1)"/>
      <w:numFmt w:val="lowerLetter"/>
      <w:start w:val="2"/>
    </w:lvl>
  </w:abstractNum>
  <w:abstractNum w:abstractNumId="220">
    <w:nsid w:val="4E42B6A8"/>
    <w:multiLevelType w:val="hybridMultilevel"/>
    <w:lvl w:ilvl="0">
      <w:lvlJc w:val="left"/>
      <w:lvlText w:val="(%1)"/>
      <w:numFmt w:val="lowerLetter"/>
      <w:start w:val="1"/>
    </w:lvl>
  </w:abstractNum>
  <w:abstractNum w:abstractNumId="221">
    <w:nsid w:val="43F8E1AC"/>
    <w:multiLevelType w:val="hybridMultilevel"/>
    <w:lvl w:ilvl="0">
      <w:lvlJc w:val="left"/>
      <w:lvlText w:val="%1."/>
      <w:numFmt w:val="decimal"/>
      <w:start w:val="20"/>
    </w:lvl>
  </w:abstractNum>
  <w:abstractNum w:abstractNumId="222">
    <w:nsid w:val="69215DFB"/>
    <w:multiLevelType w:val="hybridMultilevel"/>
    <w:lvl w:ilvl="0">
      <w:lvlJc w:val="left"/>
      <w:lvlText w:val="(%1)"/>
      <w:numFmt w:val="lowerLetter"/>
      <w:start w:val="1"/>
    </w:lvl>
  </w:abstractNum>
  <w:abstractNum w:abstractNumId="223">
    <w:nsid w:val="7ABF196A"/>
    <w:multiLevelType w:val="hybridMultilevel"/>
    <w:lvl w:ilvl="0">
      <w:lvlJc w:val="left"/>
      <w:lvlText w:val="(%1)"/>
      <w:numFmt w:val="lowerLetter"/>
      <w:start w:val="1"/>
    </w:lvl>
  </w:abstractNum>
  <w:abstractNum w:abstractNumId="224">
    <w:nsid w:val="5E4DB968"/>
    <w:multiLevelType w:val="hybridMultilevel"/>
    <w:lvl w:ilvl="0">
      <w:lvlJc w:val="left"/>
      <w:lvlText w:val="(%1)"/>
      <w:numFmt w:val="lowerLetter"/>
      <w:start w:val="1"/>
    </w:lvl>
  </w:abstractNum>
  <w:abstractNum w:abstractNumId="225">
    <w:nsid w:val="2C06DCF3"/>
    <w:multiLevelType w:val="hybridMultilevel"/>
    <w:lvl w:ilvl="0">
      <w:lvlJc w:val="left"/>
      <w:lvlText w:val="(%1)"/>
      <w:numFmt w:val="lowerLetter"/>
      <w:start w:val="1"/>
    </w:lvl>
  </w:abstractNum>
  <w:abstractNum w:abstractNumId="226">
    <w:nsid w:val="2E129658"/>
    <w:multiLevelType w:val="hybridMultilevel"/>
    <w:lvl w:ilvl="0">
      <w:lvlJc w:val="left"/>
      <w:lvlText w:val="(%1)"/>
      <w:numFmt w:val="lowerLetter"/>
      <w:start w:val="2"/>
    </w:lvl>
  </w:abstractNum>
  <w:abstractNum w:abstractNumId="227">
    <w:nsid w:val="59F0446"/>
    <w:multiLevelType w:val="hybridMultilevel"/>
    <w:lvl w:ilvl="0">
      <w:lvlJc w:val="left"/>
      <w:lvlText w:val="(%1)"/>
      <w:numFmt w:val="lowerLetter"/>
      <w:start w:val="1"/>
    </w:lvl>
    <w:lvl w:ilvl="1">
      <w:lvlJc w:val="left"/>
      <w:lvlText w:val="(%2)"/>
      <w:numFmt w:val="lowerRoman"/>
      <w:start w:val="1"/>
    </w:lvl>
  </w:abstractNum>
  <w:abstractNum w:abstractNumId="228">
    <w:nsid w:val="30DF306"/>
    <w:multiLevelType w:val="hybridMultilevel"/>
    <w:lvl w:ilvl="0">
      <w:lvlJc w:val="left"/>
      <w:lvlText w:val="(%1)"/>
      <w:numFmt w:val="lowerLetter"/>
      <w:start w:val="2"/>
    </w:lvl>
  </w:abstractNum>
  <w:abstractNum w:abstractNumId="229">
    <w:nsid w:val="A65647"/>
    <w:multiLevelType w:val="hybridMultilevel"/>
    <w:lvl w:ilvl="0">
      <w:lvlJc w:val="left"/>
      <w:lvlText w:val="(%1)"/>
      <w:numFmt w:val="lowerLetter"/>
      <w:start w:val="1"/>
    </w:lvl>
  </w:abstractNum>
  <w:abstractNum w:abstractNumId="230">
    <w:nsid w:val="3E5E582B"/>
    <w:multiLevelType w:val="hybridMultilevel"/>
    <w:lvl w:ilvl="0">
      <w:lvlJc w:val="left"/>
      <w:lvlText w:val="(%1)"/>
      <w:numFmt w:val="lowerLetter"/>
      <w:start w:val="1"/>
    </w:lvl>
  </w:abstractNum>
  <w:abstractNum w:abstractNumId="231">
    <w:nsid w:val="257D4626"/>
    <w:multiLevelType w:val="hybridMultilevel"/>
    <w:lvl w:ilvl="0">
      <w:lvlJc w:val="left"/>
      <w:lvlText w:val="(%1)"/>
      <w:numFmt w:val="lowerLetter"/>
      <w:start w:val="1"/>
    </w:lvl>
  </w:abstractNum>
  <w:abstractNum w:abstractNumId="232">
    <w:nsid w:val="5AA8580E"/>
    <w:multiLevelType w:val="hybridMultilevel"/>
    <w:lvl w:ilvl="0">
      <w:lvlJc w:val="left"/>
      <w:lvlText w:val="(%1)"/>
      <w:numFmt w:val="lowerRoman"/>
      <w:start w:val="1"/>
    </w:lvl>
  </w:abstractNum>
  <w:abstractNum w:abstractNumId="233">
    <w:nsid w:val="68FA8D0D"/>
    <w:multiLevelType w:val="hybridMultilevel"/>
    <w:lvl w:ilvl="0">
      <w:lvlJc w:val="left"/>
      <w:lvlText w:val="(%1)"/>
      <w:numFmt w:val="lowerLetter"/>
      <w:start w:val="2"/>
    </w:lvl>
  </w:abstractNum>
  <w:abstractNum w:abstractNumId="234">
    <w:nsid w:val="40F2CBD2"/>
    <w:multiLevelType w:val="hybridMultilevel"/>
    <w:lvl w:ilvl="0">
      <w:lvlJc w:val="left"/>
      <w:lvlText w:val="(%1)"/>
      <w:numFmt w:val="lowerLetter"/>
      <w:start w:val="1"/>
    </w:lvl>
  </w:abstractNum>
  <w:abstractNum w:abstractNumId="235">
    <w:nsid w:val="3BD615EB"/>
    <w:multiLevelType w:val="hybridMultilevel"/>
    <w:lvl w:ilvl="0">
      <w:lvlJc w:val="left"/>
      <w:lvlText w:val="(%1)"/>
      <w:numFmt w:val="lowerLetter"/>
      <w:start w:val="1"/>
    </w:lvl>
    <w:lvl w:ilvl="1">
      <w:lvlJc w:val="left"/>
      <w:lvlText w:val="(%2)"/>
      <w:numFmt w:val="lowerRoman"/>
      <w:start w:val="1"/>
    </w:lvl>
  </w:abstractNum>
  <w:abstractNum w:abstractNumId="236">
    <w:nsid w:val="A045AB2"/>
    <w:multiLevelType w:val="hybridMultilevel"/>
    <w:lvl w:ilvl="0">
      <w:lvlJc w:val="left"/>
      <w:lvlText w:val="%1"/>
      <w:numFmt w:val="lowerLetter"/>
      <w:start w:val="1"/>
    </w:lvl>
    <w:lvl w:ilvl="1">
      <w:lvlJc w:val="left"/>
      <w:lvlText w:val="(%2)"/>
      <w:numFmt w:val="lowerLetter"/>
      <w:start w:val="35"/>
    </w:lvl>
  </w:abstractNum>
  <w:abstractNum w:abstractNumId="237">
    <w:nsid w:val="1872261F"/>
    <w:multiLevelType w:val="hybridMultilevel"/>
    <w:lvl w:ilvl="0">
      <w:lvlJc w:val="left"/>
      <w:lvlText w:val="(%1)"/>
      <w:numFmt w:val="lowerLetter"/>
      <w:start w:val="4"/>
    </w:lvl>
    <w:lvl w:ilvl="1">
      <w:lvlJc w:val="left"/>
      <w:lvlText w:val="(%2)"/>
      <w:numFmt w:val="lowerLetter"/>
      <w:start w:val="9"/>
    </w:lvl>
  </w:abstractNum>
  <w:abstractNum w:abstractNumId="238">
    <w:nsid w:val="3DE8306C"/>
    <w:multiLevelType w:val="hybridMultilevel"/>
    <w:lvl w:ilvl="0">
      <w:lvlJc w:val="left"/>
      <w:lvlText w:val="(%1)"/>
      <w:numFmt w:val="lowerRoman"/>
      <w:start w:val="2"/>
    </w:lvl>
  </w:abstractNum>
  <w:abstractNum w:abstractNumId="239">
    <w:nsid w:val="7631573A"/>
    <w:multiLevelType w:val="hybridMultilevel"/>
    <w:lvl w:ilvl="0">
      <w:lvlJc w:val="left"/>
      <w:lvlText w:val="(%1)"/>
      <w:numFmt w:val="lowerLetter"/>
      <w:start w:val="1"/>
    </w:lvl>
  </w:abstractNum>
  <w:abstractNum w:abstractNumId="240">
    <w:nsid w:val="58DF53B"/>
    <w:multiLevelType w:val="hybridMultilevel"/>
    <w:lvl w:ilvl="0">
      <w:lvlJc w:val="left"/>
      <w:lvlText w:val="(%1)"/>
      <w:numFmt w:val="lowerLetter"/>
      <w:start w:val="1"/>
    </w:lvl>
  </w:abstractNum>
  <w:abstractNum w:abstractNumId="241">
    <w:nsid w:val="ACDFAC0"/>
    <w:multiLevelType w:val="hybridMultilevel"/>
    <w:lvl w:ilvl="0">
      <w:lvlJc w:val="left"/>
      <w:lvlText w:val="(%1)"/>
      <w:numFmt w:val="lowerLetter"/>
      <w:start w:val="1"/>
    </w:lvl>
  </w:abstractNum>
  <w:abstractNum w:abstractNumId="242">
    <w:nsid w:val="1F578454"/>
    <w:multiLevelType w:val="hybridMultilevel"/>
    <w:lvl w:ilvl="0">
      <w:lvlJc w:val="left"/>
      <w:lvlText w:val="(%1)"/>
      <w:numFmt w:val="lowerLetter"/>
      <w:start w:val="2"/>
    </w:lvl>
  </w:abstractNum>
  <w:abstractNum w:abstractNumId="243">
    <w:nsid w:val="5B0DAD2A"/>
    <w:multiLevelType w:val="hybridMultilevel"/>
    <w:lvl w:ilvl="0">
      <w:lvlJc w:val="left"/>
      <w:lvlText w:val="(%1)"/>
      <w:numFmt w:val="lowerLetter"/>
      <w:start w:val="1"/>
    </w:lvl>
  </w:abstractNum>
  <w:abstractNum w:abstractNumId="244">
    <w:nsid w:val="4E3D26AB"/>
    <w:multiLevelType w:val="hybridMultilevel"/>
    <w:lvl w:ilvl="0">
      <w:lvlJc w:val="left"/>
      <w:lvlText w:val="(%1)"/>
      <w:numFmt w:val="lowerLetter"/>
      <w:start w:val="1"/>
    </w:lvl>
  </w:abstractNum>
  <w:abstractNum w:abstractNumId="245">
    <w:nsid w:val="BE2C8BA"/>
    <w:multiLevelType w:val="hybridMultilevel"/>
    <w:lvl w:ilvl="0">
      <w:lvlJc w:val="left"/>
      <w:lvlText w:val="(%1)"/>
      <w:numFmt w:val="lowerLetter"/>
      <w:start w:val="1"/>
    </w:lvl>
    <w:lvl w:ilvl="1">
      <w:lvlJc w:val="left"/>
      <w:lvlText w:val="(%2)"/>
      <w:numFmt w:val="lowerRoman"/>
      <w:start w:val="1"/>
    </w:lvl>
  </w:abstractNum>
  <w:abstractNum w:abstractNumId="246">
    <w:nsid w:val="7B14914E"/>
    <w:multiLevelType w:val="hybridMultilevel"/>
    <w:lvl w:ilvl="0">
      <w:lvlJc w:val="left"/>
      <w:lvlText w:val="(%1)"/>
      <w:numFmt w:val="lowerLetter"/>
      <w:start w:val="1"/>
    </w:lvl>
  </w:abstractNum>
  <w:abstractNum w:abstractNumId="247">
    <w:nsid w:val="6F0939F8"/>
    <w:multiLevelType w:val="hybridMultilevel"/>
    <w:lvl w:ilvl="0">
      <w:lvlJc w:val="left"/>
      <w:lvlText w:val="(%1)"/>
      <w:numFmt w:val="lowerLetter"/>
      <w:start w:val="2"/>
    </w:lvl>
  </w:abstractNum>
  <w:abstractNum w:abstractNumId="248">
    <w:nsid w:val="154291F6"/>
    <w:multiLevelType w:val="hybridMultilevel"/>
    <w:lvl w:ilvl="0">
      <w:lvlJc w:val="left"/>
      <w:lvlText w:val="(%1)"/>
      <w:numFmt w:val="lowerLetter"/>
      <w:start w:val="1"/>
    </w:lvl>
  </w:abstractNum>
  <w:abstractNum w:abstractNumId="249">
    <w:nsid w:val="3CEBD7C7"/>
    <w:multiLevelType w:val="hybridMultilevel"/>
    <w:lvl w:ilvl="0">
      <w:lvlJc w:val="left"/>
      <w:lvlText w:val="(%1)"/>
      <w:numFmt w:val="lowerLetter"/>
      <w:start w:val="1"/>
    </w:lvl>
  </w:abstractNum>
  <w:abstractNum w:abstractNumId="250">
    <w:nsid w:val="60EE9C16"/>
    <w:multiLevelType w:val="hybridMultilevel"/>
    <w:lvl w:ilvl="0">
      <w:lvlJc w:val="left"/>
      <w:lvlText w:val="(%1)"/>
      <w:numFmt w:val="lowerLetter"/>
      <w:start w:val="1"/>
    </w:lvl>
    <w:lvl w:ilvl="1">
      <w:lvlJc w:val="left"/>
      <w:lvlText w:val="(%2)"/>
      <w:numFmt w:val="lowerRoman"/>
      <w:start w:val="1"/>
    </w:lvl>
  </w:abstractNum>
  <w:abstractNum w:abstractNumId="251">
    <w:nsid w:val="6385489E"/>
    <w:multiLevelType w:val="hybridMultilevel"/>
    <w:lvl w:ilvl="0">
      <w:lvlJc w:val="left"/>
      <w:lvlText w:val="%1."/>
      <w:numFmt w:val="decimal"/>
      <w:start w:val="21"/>
    </w:lvl>
  </w:abstractNum>
  <w:abstractNum w:abstractNumId="252">
    <w:nsid w:val="E4B973"/>
    <w:multiLevelType w:val="hybridMultilevel"/>
    <w:lvl w:ilvl="0">
      <w:lvlJc w:val="left"/>
      <w:lvlText w:val="(%1)"/>
      <w:numFmt w:val="lowerLetter"/>
      <w:start w:val="1"/>
    </w:lvl>
  </w:abstractNum>
  <w:abstractNum w:abstractNumId="253">
    <w:nsid w:val="4A0FFA11"/>
    <w:multiLevelType w:val="hybridMultilevel"/>
    <w:lvl w:ilvl="0">
      <w:lvlJc w:val="left"/>
      <w:lvlText w:val="(%1)"/>
      <w:numFmt w:val="lowerLetter"/>
      <w:start w:val="1"/>
    </w:lvl>
  </w:abstractNum>
  <w:abstractNum w:abstractNumId="254">
    <w:nsid w:val="5E446208"/>
    <w:multiLevelType w:val="hybridMultilevel"/>
    <w:lvl w:ilvl="0">
      <w:lvlJc w:val="left"/>
      <w:lvlText w:val="(%1)"/>
      <w:numFmt w:val="lowerLetter"/>
      <w:start w:val="1"/>
    </w:lvl>
    <w:lvl w:ilvl="1">
      <w:lvlJc w:val="left"/>
      <w:lvlText w:val="(%2)"/>
      <w:numFmt w:val="lowerRoman"/>
      <w:start w:val="1"/>
    </w:lvl>
  </w:abstractNum>
  <w:abstractNum w:abstractNumId="255">
    <w:nsid w:val="5F3272DB"/>
    <w:multiLevelType w:val="hybridMultilevel"/>
    <w:lvl w:ilvl="0">
      <w:lvlJc w:val="left"/>
      <w:lvlText w:val="(%1)"/>
      <w:numFmt w:val="lowerLetter"/>
      <w:start w:val="3"/>
    </w:lvl>
  </w:abstractNum>
  <w:abstractNum w:abstractNumId="256">
    <w:nsid w:val="7616D704"/>
    <w:multiLevelType w:val="hybridMultilevel"/>
    <w:lvl w:ilvl="0">
      <w:lvlJc w:val="left"/>
      <w:lvlText w:val="(%1)"/>
      <w:numFmt w:val="lowerLetter"/>
      <w:start w:val="1"/>
    </w:lvl>
  </w:abstractNum>
  <w:abstractNum w:abstractNumId="257">
    <w:nsid w:val="C56F860"/>
    <w:multiLevelType w:val="hybridMultilevel"/>
    <w:lvl w:ilvl="0">
      <w:lvlJc w:val="left"/>
      <w:lvlText w:val="(%1)"/>
      <w:numFmt w:val="lowerLetter"/>
      <w:start w:val="1"/>
    </w:lvl>
  </w:abstractNum>
  <w:abstractNum w:abstractNumId="258">
    <w:nsid w:val="64D17722"/>
    <w:multiLevelType w:val="hybridMultilevel"/>
    <w:lvl w:ilvl="0">
      <w:lvlJc w:val="left"/>
      <w:lvlText w:val="(%1)"/>
      <w:numFmt w:val="lowerLetter"/>
      <w:start w:val="2"/>
    </w:lvl>
  </w:abstractNum>
  <w:abstractNum w:abstractNumId="259">
    <w:nsid w:val="7924CA0A"/>
    <w:multiLevelType w:val="hybridMultilevel"/>
    <w:lvl w:ilvl="0">
      <w:lvlJc w:val="left"/>
      <w:lvlText w:val="(%1)"/>
      <w:numFmt w:val="lowerLetter"/>
      <w:start w:val="1"/>
    </w:lvl>
  </w:abstractNum>
  <w:abstractNum w:abstractNumId="260">
    <w:nsid w:val="CFD4EA7"/>
    <w:multiLevelType w:val="hybridMultilevel"/>
    <w:lvl w:ilvl="0">
      <w:lvlJc w:val="left"/>
      <w:lvlText w:val="(%1)"/>
      <w:numFmt w:val="lowerLetter"/>
      <w:start w:val="1"/>
    </w:lvl>
    <w:lvl w:ilvl="1">
      <w:lvlJc w:val="left"/>
      <w:lvlText w:val="(%2)"/>
      <w:numFmt w:val="lowerRoman"/>
      <w:start w:val="1"/>
    </w:lvl>
  </w:abstractNum>
  <w:abstractNum w:abstractNumId="261">
    <w:nsid w:val="232FCF4D"/>
    <w:multiLevelType w:val="hybridMultilevel"/>
    <w:lvl w:ilvl="0">
      <w:lvlJc w:val="left"/>
      <w:lvlText w:val="(%1)"/>
      <w:numFmt w:val="lowerLetter"/>
      <w:start w:val="2"/>
    </w:lvl>
  </w:abstractNum>
  <w:abstractNum w:abstractNumId="262">
    <w:nsid w:val="1EA21031"/>
    <w:multiLevelType w:val="hybridMultilevel"/>
    <w:lvl w:ilvl="0">
      <w:lvlJc w:val="left"/>
      <w:lvlText w:val="%1."/>
      <w:numFmt w:val="decimal"/>
      <w:start w:val="22"/>
    </w:lvl>
    <w:lvl w:ilvl="1">
      <w:lvlJc w:val="left"/>
      <w:lvlText w:val="(%2)"/>
      <w:numFmt w:val="lowerLetter"/>
      <w:start w:val="1"/>
    </w:lvl>
  </w:abstractNum>
  <w:abstractNum w:abstractNumId="263">
    <w:nsid w:val="67A5A6B5"/>
    <w:multiLevelType w:val="hybridMultilevel"/>
    <w:lvl w:ilvl="0">
      <w:lvlJc w:val="left"/>
      <w:lvlText w:val="(%1)"/>
      <w:numFmt w:val="lowerLetter"/>
      <w:start w:val="1"/>
    </w:lvl>
  </w:abstractNum>
  <w:abstractNum w:abstractNumId="264">
    <w:nsid w:val="C2A5C5B"/>
    <w:multiLevelType w:val="hybridMultilevel"/>
    <w:lvl w:ilvl="0">
      <w:lvlJc w:val="left"/>
      <w:lvlText w:val="(%1)"/>
      <w:numFmt w:val="lowerLetter"/>
      <w:start w:val="1"/>
    </w:lvl>
  </w:abstractNum>
  <w:abstractNum w:abstractNumId="265">
    <w:nsid w:val="5F94DC03"/>
    <w:multiLevelType w:val="hybridMultilevel"/>
    <w:lvl w:ilvl="0">
      <w:lvlJc w:val="left"/>
      <w:lvlText w:val="(%1)"/>
      <w:numFmt w:val="lowerLetter"/>
      <w:start w:val="1"/>
    </w:lvl>
    <w:lvl w:ilvl="1">
      <w:lvlJc w:val="left"/>
      <w:lvlText w:val="(%2)"/>
      <w:numFmt w:val="lowerRoman"/>
      <w:start w:val="1"/>
    </w:lvl>
  </w:abstractNum>
  <w:abstractNum w:abstractNumId="266">
    <w:nsid w:val="237BBCA0"/>
    <w:multiLevelType w:val="hybridMultilevel"/>
    <w:lvl w:ilvl="0">
      <w:lvlJc w:val="left"/>
      <w:lvlText w:val="%1"/>
      <w:numFmt w:val="lowerLetter"/>
      <w:start w:val="1"/>
    </w:lvl>
    <w:lvl w:ilvl="1">
      <w:lvlJc w:val="left"/>
      <w:lvlText w:val="(%2)"/>
      <w:numFmt w:val="lowerRoman"/>
      <w:start w:val="4"/>
    </w:lvl>
  </w:abstractNum>
  <w:abstractNum w:abstractNumId="267">
    <w:nsid w:val="162EB70D"/>
    <w:multiLevelType w:val="hybridMultilevel"/>
    <w:lvl w:ilvl="0">
      <w:lvlJc w:val="left"/>
      <w:lvlText w:val="(%1)"/>
      <w:numFmt w:val="lowerLetter"/>
      <w:start w:val="4"/>
    </w:lvl>
    <w:lvl w:ilvl="1">
      <w:lvlJc w:val="left"/>
      <w:lvlText w:val="(%2)"/>
      <w:numFmt w:val="lowerRoman"/>
      <w:start w:val="1"/>
    </w:lvl>
  </w:abstractNum>
  <w:abstractNum w:abstractNumId="268">
    <w:nsid w:val="78070222"/>
    <w:multiLevelType w:val="hybridMultilevel"/>
    <w:lvl w:ilvl="0">
      <w:lvlJc w:val="left"/>
      <w:lvlText w:val="(%1)"/>
      <w:numFmt w:val="lowerLetter"/>
      <w:start w:val="6"/>
    </w:lvl>
  </w:abstractNum>
  <w:abstractNum w:abstractNumId="269">
    <w:nsid w:val="6163ED0D"/>
    <w:multiLevelType w:val="hybridMultilevel"/>
    <w:lvl w:ilvl="0">
      <w:lvlJc w:val="left"/>
      <w:lvlText w:val="(%1)"/>
      <w:numFmt w:val="lowerLetter"/>
      <w:start w:val="1"/>
    </w:lvl>
  </w:abstractNum>
  <w:abstractNum w:abstractNumId="270">
    <w:nsid w:val="C600E47"/>
    <w:multiLevelType w:val="hybridMultilevel"/>
    <w:lvl w:ilvl="0">
      <w:lvlJc w:val="left"/>
      <w:lvlText w:val="(%1)"/>
      <w:numFmt w:val="lowerLetter"/>
      <w:start w:val="1"/>
    </w:lvl>
    <w:lvl w:ilvl="1">
      <w:lvlJc w:val="left"/>
      <w:lvlText w:val="(%2)"/>
      <w:numFmt w:val="lowerLetter"/>
      <w:start w:val="9"/>
    </w:lvl>
  </w:abstractNum>
  <w:abstractNum w:abstractNumId="271">
    <w:nsid w:val="7D94F75D"/>
    <w:multiLevelType w:val="hybridMultilevel"/>
    <w:lvl w:ilvl="0">
      <w:lvlJc w:val="left"/>
      <w:lvlText w:val="(%1)"/>
      <w:numFmt w:val="lowerRoman"/>
      <w:start w:val="2"/>
    </w:lvl>
  </w:abstractNum>
  <w:abstractNum w:abstractNumId="272">
    <w:nsid w:val="6C31E7CD"/>
    <w:multiLevelType w:val="hybridMultilevel"/>
    <w:lvl w:ilvl="0">
      <w:lvlJc w:val="left"/>
      <w:lvlText w:val="(%1)"/>
      <w:numFmt w:val="upperLetter"/>
      <w:start w:val="1"/>
    </w:lvl>
    <w:lvl w:ilvl="1">
      <w:lvlJc w:val="left"/>
      <w:lvlText w:val="(%2)"/>
      <w:numFmt w:val="upperLetter"/>
      <w:start w:val="1"/>
    </w:lvl>
  </w:abstractNum>
  <w:abstractNum w:abstractNumId="273">
    <w:nsid w:val="2BB7929B"/>
    <w:multiLevelType w:val="hybridMultilevel"/>
    <w:lvl w:ilvl="0">
      <w:lvlJc w:val="left"/>
      <w:lvlText w:val="(%1)"/>
      <w:numFmt w:val="lowerLetter"/>
      <w:start w:val="2"/>
    </w:lvl>
  </w:abstractNum>
  <w:abstractNum w:abstractNumId="274">
    <w:nsid w:val="58A2A487"/>
    <w:multiLevelType w:val="hybridMultilevel"/>
    <w:lvl w:ilvl="0">
      <w:lvlJc w:val="left"/>
      <w:lvlText w:val="(%1)"/>
      <w:numFmt w:val="lowerLetter"/>
      <w:start w:val="1"/>
    </w:lvl>
  </w:abstractNum>
  <w:abstractNum w:abstractNumId="275">
    <w:nsid w:val="3A6F0E78"/>
    <w:multiLevelType w:val="hybridMultilevel"/>
    <w:lvl w:ilvl="0">
      <w:lvlJc w:val="left"/>
      <w:lvlText w:val="(%1)"/>
      <w:numFmt w:val="lowerLetter"/>
      <w:start w:val="1"/>
    </w:lvl>
  </w:abstractNum>
  <w:abstractNum w:abstractNumId="276">
    <w:nsid w:val="379A5B56"/>
    <w:multiLevelType w:val="hybridMultilevel"/>
    <w:lvl w:ilvl="0">
      <w:lvlJc w:val="left"/>
      <w:lvlText w:val="%1."/>
      <w:numFmt w:val="decimal"/>
      <w:start w:val="23"/>
    </w:lvl>
  </w:abstractNum>
  <w:abstractNum w:abstractNumId="277">
    <w:nsid w:val="53B735D5"/>
    <w:multiLevelType w:val="hybridMultilevel"/>
    <w:lvl w:ilvl="0">
      <w:lvlJc w:val="left"/>
      <w:lvlText w:val="(%1)"/>
      <w:numFmt w:val="lowerLetter"/>
      <w:start w:val="1"/>
    </w:lvl>
    <w:lvl w:ilvl="1">
      <w:lvlJc w:val="left"/>
      <w:lvlText w:val="(%2)"/>
      <w:numFmt w:val="lowerRoman"/>
      <w:start w:val="1"/>
    </w:lvl>
  </w:abstractNum>
  <w:abstractNum w:abstractNumId="278">
    <w:nsid w:val="29784870"/>
    <w:multiLevelType w:val="hybridMultilevel"/>
    <w:lvl w:ilvl="0">
      <w:lvlJc w:val="left"/>
      <w:lvlText w:val="%1"/>
      <w:numFmt w:val="lowerLetter"/>
      <w:start w:val="1"/>
    </w:lvl>
    <w:lvl w:ilvl="1">
      <w:lvlJc w:val="left"/>
      <w:lvlText w:val="(%2)"/>
      <w:numFmt w:val="upperLetter"/>
      <w:start w:val="1"/>
    </w:lvl>
  </w:abstractNum>
  <w:abstractNum w:abstractNumId="279">
    <w:nsid w:val="4CDCED4C"/>
    <w:multiLevelType w:val="hybridMultilevel"/>
    <w:lvl w:ilvl="0">
      <w:lvlJc w:val="left"/>
      <w:lvlText w:val="(%1)"/>
      <w:numFmt w:val="lowerLetter"/>
      <w:start w:val="2"/>
    </w:lvl>
    <w:lvl w:ilvl="1">
      <w:lvlJc w:val="left"/>
      <w:lvlText w:val="%2"/>
      <w:numFmt w:val="upperLetter"/>
      <w:start w:val="1"/>
    </w:lvl>
  </w:abstractNum>
  <w:abstractNum w:abstractNumId="280">
    <w:nsid w:val="10A30D9C"/>
    <w:multiLevelType w:val="hybridMultilevel"/>
    <w:lvl w:ilvl="0">
      <w:lvlJc w:val="left"/>
      <w:lvlText w:val="(%1)"/>
      <w:numFmt w:val="lowerLetter"/>
      <w:start w:val="1"/>
    </w:lvl>
    <w:lvl w:ilvl="1">
      <w:lvlJc w:val="left"/>
      <w:lvlText w:val="(%2)"/>
      <w:numFmt w:val="lowerRoman"/>
      <w:start w:val="1"/>
    </w:lvl>
  </w:abstractNum>
  <w:abstractNum w:abstractNumId="281">
    <w:nsid w:val="A66E486"/>
    <w:multiLevelType w:val="hybridMultilevel"/>
    <w:lvl w:ilvl="0">
      <w:lvlJc w:val="left"/>
      <w:lvlText w:val="(%1)"/>
      <w:numFmt w:val="lowerRoman"/>
      <w:start w:val="5"/>
    </w:lvl>
  </w:abstractNum>
  <w:abstractNum w:abstractNumId="282">
    <w:nsid w:val="306235EA"/>
    <w:multiLevelType w:val="hybridMultilevel"/>
    <w:lvl w:ilvl="0">
      <w:lvlJc w:val="left"/>
      <w:lvlText w:val="(%1)"/>
      <w:numFmt w:val="lowerLetter"/>
      <w:start w:val="3"/>
    </w:lvl>
  </w:abstractNum>
  <w:abstractNum w:abstractNumId="283">
    <w:nsid w:val="1187C70F"/>
    <w:multiLevelType w:val="hybridMultilevel"/>
    <w:lvl w:ilvl="0">
      <w:lvlJc w:val="left"/>
      <w:lvlText w:val="(%1)"/>
      <w:numFmt w:val="lowerLetter"/>
      <w:start w:val="1"/>
    </w:lvl>
  </w:abstractNum>
  <w:abstractNum w:abstractNumId="284">
    <w:nsid w:val="5476DE98"/>
    <w:multiLevelType w:val="hybridMultilevel"/>
    <w:lvl w:ilvl="0">
      <w:lvlJc w:val="left"/>
      <w:lvlText w:val="(%1)"/>
      <w:numFmt w:val="lowerLetter"/>
      <w:start w:val="1"/>
    </w:lvl>
  </w:abstractNum>
  <w:abstractNum w:abstractNumId="285">
    <w:nsid w:val="EA697F2"/>
    <w:multiLevelType w:val="hybridMultilevel"/>
    <w:lvl w:ilvl="0">
      <w:lvlJc w:val="left"/>
      <w:lvlText w:val="(%1)"/>
      <w:numFmt w:val="lowerLetter"/>
      <w:start w:val="1"/>
    </w:lvl>
  </w:abstractNum>
  <w:abstractNum w:abstractNumId="286">
    <w:nsid w:val="70BA39EB"/>
    <w:multiLevelType w:val="hybridMultilevel"/>
    <w:lvl w:ilvl="0">
      <w:lvlJc w:val="left"/>
      <w:lvlText w:val="(%1)"/>
      <w:numFmt w:val="lowerLetter"/>
      <w:start w:val="1"/>
    </w:lvl>
    <w:lvl w:ilvl="1">
      <w:lvlJc w:val="left"/>
      <w:lvlText w:val="(%2)"/>
      <w:numFmt w:val="lowerRoman"/>
      <w:start w:val="1"/>
    </w:lvl>
  </w:abstractNum>
  <w:abstractNum w:abstractNumId="287">
    <w:nsid w:val="4A8DB59C"/>
    <w:multiLevelType w:val="hybridMultilevel"/>
    <w:lvl w:ilvl="0">
      <w:lvlJc w:val="left"/>
      <w:lvlText w:val="(%1)"/>
      <w:numFmt w:val="lowerRoman"/>
      <w:start w:val="3"/>
    </w:lvl>
  </w:abstractNum>
  <w:abstractNum w:abstractNumId="288">
    <w:nsid w:val="1AFD9053"/>
    <w:multiLevelType w:val="hybridMultilevel"/>
    <w:lvl w:ilvl="0">
      <w:lvlJc w:val="left"/>
      <w:lvlText w:val="(%1)"/>
      <w:numFmt w:val="lowerLetter"/>
      <w:start w:val="2"/>
    </w:lvl>
    <w:lvl w:ilvl="1">
      <w:lvlJc w:val="left"/>
      <w:lvlText w:val="(%2)"/>
      <w:numFmt w:val="lowerRoman"/>
      <w:start w:val="1"/>
    </w:lvl>
  </w:abstractNum>
  <w:abstractNum w:abstractNumId="289">
    <w:nsid w:val="558BB10D"/>
    <w:multiLevelType w:val="hybridMultilevel"/>
    <w:lvl w:ilvl="0">
      <w:lvlJc w:val="left"/>
      <w:lvlText w:val="(%1)"/>
      <w:numFmt w:val="lowerLetter"/>
      <w:start w:val="1"/>
    </w:lvl>
  </w:abstractNum>
  <w:abstractNum w:abstractNumId="290">
    <w:nsid w:val="43B27FA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1">
    <w:nsid w:val="27FADEFA"/>
    <w:multiLevelType w:val="hybridMultilevel"/>
    <w:lvl w:ilvl="0">
      <w:lvlJc w:val="left"/>
      <w:lvlText w:val="%1"/>
      <w:numFmt w:val="lowerRoman"/>
      <w:start w:val="1"/>
    </w:lvl>
    <w:lvl w:ilvl="1">
      <w:lvlJc w:val="left"/>
      <w:lvlText w:val="(%2)"/>
      <w:numFmt w:val="upperLetter"/>
      <w:start w:val="3"/>
    </w:lvl>
  </w:abstractNum>
  <w:abstractNum w:abstractNumId="292">
    <w:nsid w:val="78BB805A"/>
    <w:multiLevelType w:val="hybridMultilevel"/>
    <w:lvl w:ilvl="0">
      <w:lvlJc w:val="left"/>
      <w:lvlText w:val="(%1)"/>
      <w:numFmt w:val="lowerRoman"/>
      <w:start w:val="2"/>
    </w:lvl>
    <w:lvl w:ilvl="1">
      <w:lvlJc w:val="left"/>
      <w:lvlText w:val="%2"/>
      <w:numFmt w:val="upperLetter"/>
      <w:start w:val="1"/>
    </w:lvl>
  </w:abstractNum>
  <w:abstractNum w:abstractNumId="293">
    <w:nsid w:val="62548FD8"/>
    <w:multiLevelType w:val="hybridMultilevel"/>
    <w:lvl w:ilvl="0">
      <w:lvlJc w:val="left"/>
      <w:lvlText w:val="(%1)"/>
      <w:numFmt w:val="lowerLetter"/>
      <w:start w:val="1"/>
    </w:lvl>
  </w:abstractNum>
  <w:abstractNum w:abstractNumId="294">
    <w:nsid w:val="FA085B0"/>
    <w:multiLevelType w:val="hybridMultilevel"/>
    <w:lvl w:ilvl="0">
      <w:lvlJc w:val="left"/>
      <w:lvlText w:val="(%1)"/>
      <w:numFmt w:val="lowerLetter"/>
      <w:start w:val="1"/>
    </w:lvl>
    <w:lvl w:ilvl="1">
      <w:lvlJc w:val="left"/>
      <w:lvlText w:val="(%2)"/>
      <w:numFmt w:val="lowerRoman"/>
      <w:start w:val="1"/>
    </w:lvl>
  </w:abstractNum>
  <w:abstractNum w:abstractNumId="295">
    <w:nsid w:val="4E5DCB5"/>
    <w:multiLevelType w:val="hybridMultilevel"/>
    <w:lvl w:ilvl="0">
      <w:lvlJc w:val="left"/>
      <w:lvlText w:val="(%1)"/>
      <w:numFmt w:val="lowerLetter"/>
      <w:start w:val="1"/>
    </w:lvl>
  </w:abstractNum>
  <w:abstractNum w:abstractNumId="296">
    <w:nsid w:val="41E96BDB"/>
    <w:multiLevelType w:val="hybridMultilevel"/>
    <w:lvl w:ilvl="0">
      <w:lvlJc w:val="left"/>
      <w:lvlText w:val="(%1)"/>
      <w:numFmt w:val="lowerLetter"/>
      <w:start w:val="1"/>
    </w:lvl>
  </w:abstractNum>
  <w:abstractNum w:abstractNumId="297">
    <w:nsid w:val="331C4250"/>
    <w:multiLevelType w:val="hybridMultilevel"/>
    <w:lvl w:ilvl="0">
      <w:lvlJc w:val="left"/>
      <w:lvlText w:val="(%1)"/>
      <w:numFmt w:val="lowerLetter"/>
      <w:start w:val="1"/>
    </w:lvl>
    <w:lvl w:ilvl="1">
      <w:lvlJc w:val="left"/>
      <w:lvlText w:val="(%2)"/>
      <w:numFmt w:val="lowerRoman"/>
      <w:start w:val="1"/>
    </w:lvl>
  </w:abstractNum>
  <w:abstractNum w:abstractNumId="298">
    <w:nsid w:val="1B1493C2"/>
    <w:multiLevelType w:val="hybridMultilevel"/>
    <w:lvl w:ilvl="0">
      <w:lvlJc w:val="left"/>
      <w:lvlText w:val="(%1)"/>
      <w:numFmt w:val="lowerLetter"/>
      <w:start w:val="3"/>
    </w:lvl>
    <w:lvl w:ilvl="1">
      <w:lvlJc w:val="left"/>
      <w:lvlText w:val="(%2)"/>
      <w:numFmt w:val="lowerRoman"/>
      <w:start w:val="1"/>
    </w:lvl>
  </w:abstractNum>
  <w:abstractNum w:abstractNumId="299">
    <w:nsid w:val="39F06DFD"/>
    <w:multiLevelType w:val="hybridMultilevel"/>
    <w:lvl w:ilvl="0">
      <w:lvlJc w:val="left"/>
      <w:lvlText w:val="(%1)"/>
      <w:numFmt w:val="lowerLetter"/>
      <w:start w:val="1"/>
    </w:lvl>
    <w:lvl w:ilvl="1">
      <w:lvlJc w:val="left"/>
      <w:lvlText w:val="(%2)"/>
      <w:numFmt w:val="lowerRoman"/>
      <w:start w:val="1"/>
    </w:lvl>
  </w:abstractNum>
  <w:abstractNum w:abstractNumId="300">
    <w:nsid w:val="14802F5D"/>
    <w:multiLevelType w:val="hybridMultilevel"/>
    <w:lvl w:ilvl="0">
      <w:lvlJc w:val="left"/>
      <w:lvlText w:val="(%1)"/>
      <w:numFmt w:val="lowerLetter"/>
      <w:start w:val="1"/>
    </w:lvl>
    <w:lvl w:ilvl="1">
      <w:lvlJc w:val="left"/>
      <w:lvlText w:val="(%2)"/>
      <w:numFmt w:val="lowerRoman"/>
      <w:start w:val="1"/>
    </w:lvl>
  </w:abstractNum>
  <w:abstractNum w:abstractNumId="301">
    <w:nsid w:val="2774A209"/>
    <w:multiLevelType w:val="hybridMultilevel"/>
    <w:lvl w:ilvl="0">
      <w:lvlJc w:val="left"/>
      <w:lvlText w:val="(%1)"/>
      <w:numFmt w:val="lowerRoman"/>
      <w:start w:val="2"/>
    </w:lvl>
  </w:abstractNum>
  <w:abstractNum w:abstractNumId="302">
    <w:nsid w:val="3785655A"/>
    <w:multiLevelType w:val="hybridMultilevel"/>
    <w:lvl w:ilvl="0">
      <w:lvlJc w:val="left"/>
      <w:lvlText w:val="(%1)"/>
      <w:numFmt w:val="lowerLetter"/>
      <w:start w:val="2"/>
    </w:lvl>
  </w:abstractNum>
  <w:abstractNum w:abstractNumId="303">
    <w:nsid w:val="B2172A"/>
    <w:multiLevelType w:val="hybridMultilevel"/>
    <w:lvl w:ilvl="0">
      <w:lvlJc w:val="left"/>
      <w:lvlText w:val="(%1)"/>
      <w:numFmt w:val="lowerLetter"/>
      <w:start w:val="1"/>
    </w:lvl>
    <w:lvl w:ilvl="1">
      <w:lvlJc w:val="left"/>
      <w:lvlText w:val="(%2)"/>
      <w:numFmt w:val="lowerRoman"/>
      <w:start w:val="1"/>
    </w:lvl>
  </w:abstractNum>
  <w:abstractNum w:abstractNumId="304">
    <w:nsid w:val="532C34A5"/>
    <w:multiLevelType w:val="hybridMultilevel"/>
    <w:lvl w:ilvl="0">
      <w:lvlJc w:val="left"/>
      <w:lvlText w:val="(%1)"/>
      <w:numFmt w:val="lowerLetter"/>
      <w:start w:val="3"/>
    </w:lvl>
  </w:abstractNum>
  <w:abstractNum w:abstractNumId="305">
    <w:nsid w:val="102809E2"/>
    <w:multiLevelType w:val="hybridMultilevel"/>
    <w:lvl w:ilvl="0">
      <w:lvlJc w:val="left"/>
      <w:lvlText w:val="(%1)"/>
      <w:numFmt w:val="lowerLetter"/>
      <w:start w:val="1"/>
    </w:lvl>
    <w:lvl w:ilvl="1">
      <w:lvlJc w:val="left"/>
      <w:lvlText w:val="(%2)"/>
      <w:numFmt w:val="lowerLetter"/>
      <w:start w:val="9"/>
    </w:lvl>
  </w:abstractNum>
  <w:abstractNum w:abstractNumId="306">
    <w:nsid w:val="3B2125A3"/>
    <w:multiLevelType w:val="hybridMultilevel"/>
    <w:lvl w:ilvl="0">
      <w:lvlJc w:val="left"/>
      <w:lvlText w:val="%1"/>
      <w:numFmt w:val="lowerLetter"/>
      <w:start w:val="1"/>
    </w:lvl>
    <w:lvl w:ilvl="1">
      <w:lvlJc w:val="left"/>
      <w:lvlText w:val="(%2)"/>
      <w:numFmt w:val="lowerLetter"/>
      <w:start w:val="35"/>
    </w:lvl>
  </w:abstractNum>
  <w:abstractNum w:abstractNumId="307">
    <w:nsid w:val="AC68FFB"/>
    <w:multiLevelType w:val="hybridMultilevel"/>
    <w:lvl w:ilvl="0">
      <w:lvlJc w:val="left"/>
      <w:lvlText w:val="(%1)"/>
      <w:numFmt w:val="lowerLetter"/>
      <w:start w:val="3"/>
    </w:lvl>
    <w:lvl w:ilvl="1">
      <w:lvlJc w:val="left"/>
      <w:lvlText w:val="%2"/>
      <w:numFmt w:val="lowerLetter"/>
      <w:start w:val="1"/>
    </w:lvl>
  </w:abstractNum>
  <w:abstractNum w:abstractNumId="308">
    <w:nsid w:val="63DF3FB7"/>
    <w:multiLevelType w:val="hybridMultilevel"/>
    <w:lvl w:ilvl="0">
      <w:lvlJc w:val="left"/>
      <w:lvlText w:val="%1."/>
      <w:numFmt w:val="decimal"/>
      <w:start w:val="24"/>
    </w:lvl>
  </w:abstractNum>
  <w:abstractNum w:abstractNumId="309">
    <w:nsid w:val="64996E13"/>
    <w:multiLevelType w:val="hybridMultilevel"/>
    <w:lvl w:ilvl="0">
      <w:lvlJc w:val="left"/>
      <w:lvlText w:val="(%1)"/>
      <w:numFmt w:val="lowerLetter"/>
      <w:start w:val="1"/>
    </w:lvl>
    <w:lvl w:ilvl="1">
      <w:lvlJc w:val="left"/>
      <w:lvlText w:val="(%2)"/>
      <w:numFmt w:val="lowerRoman"/>
      <w:start w:val="1"/>
    </w:lvl>
  </w:abstractNum>
  <w:abstractNum w:abstractNumId="310">
    <w:nsid w:val="57A37D47"/>
    <w:multiLevelType w:val="hybridMultilevel"/>
    <w:lvl w:ilvl="0">
      <w:lvlJc w:val="left"/>
      <w:lvlText w:val="(%1)"/>
      <w:numFmt w:val="lowerLetter"/>
      <w:start w:val="1"/>
    </w:lvl>
  </w:abstractNum>
  <w:abstractNum w:abstractNumId="311">
    <w:nsid w:val="74824D54"/>
    <w:multiLevelType w:val="hybridMultilevel"/>
    <w:lvl w:ilvl="0">
      <w:lvlJc w:val="left"/>
      <w:lvlText w:val="(%1)"/>
      <w:numFmt w:val="lowerLetter"/>
      <w:start w:val="1"/>
    </w:lvl>
  </w:abstractNum>
  <w:abstractNum w:abstractNumId="312">
    <w:nsid w:val="6F00529A"/>
    <w:multiLevelType w:val="hybridMultilevel"/>
    <w:lvl w:ilvl="0">
      <w:lvlJc w:val="left"/>
      <w:lvlText w:val="(%1)"/>
      <w:numFmt w:val="lowerLetter"/>
      <w:start w:val="1"/>
    </w:lvl>
    <w:lvl w:ilvl="1">
      <w:lvlJc w:val="left"/>
      <w:lvlText w:val="(%2)"/>
      <w:numFmt w:val="lowerRoman"/>
      <w:start w:val="1"/>
    </w:lvl>
  </w:abstractNum>
  <w:abstractNum w:abstractNumId="313">
    <w:nsid w:val="805B331"/>
    <w:multiLevelType w:val="hybridMultilevel"/>
    <w:lvl w:ilvl="0">
      <w:lvlJc w:val="left"/>
      <w:lvlText w:val="(%1)"/>
      <w:numFmt w:val="lowerLetter"/>
      <w:start w:val="3"/>
    </w:lvl>
  </w:abstractNum>
  <w:abstractNum w:abstractNumId="314">
    <w:nsid w:val="60A1463"/>
    <w:multiLevelType w:val="hybridMultilevel"/>
    <w:lvl w:ilvl="0">
      <w:lvlJc w:val="left"/>
      <w:lvlText w:val="(%1)"/>
      <w:numFmt w:val="lowerLetter"/>
      <w:start w:val="4"/>
    </w:lvl>
    <w:lvl w:ilvl="1">
      <w:lvlJc w:val="left"/>
      <w:lvlText w:val="(%2)"/>
      <w:numFmt w:val="lowerRoman"/>
      <w:start w:val="1"/>
    </w:lvl>
  </w:abstractNum>
  <w:abstractNum w:abstractNumId="315">
    <w:nsid w:val="43773132"/>
    <w:multiLevelType w:val="hybridMultilevel"/>
    <w:lvl w:ilvl="0">
      <w:lvlJc w:val="left"/>
      <w:lvlText w:val="(%1)"/>
      <w:numFmt w:val="lowerLetter"/>
      <w:start w:val="1"/>
    </w:lvl>
    <w:lvl w:ilvl="1">
      <w:lvlJc w:val="left"/>
      <w:lvlText w:val="(%2)"/>
      <w:numFmt w:val="lowerRoman"/>
      <w:start w:val="1"/>
    </w:lvl>
  </w:abstractNum>
  <w:abstractNum w:abstractNumId="316">
    <w:nsid w:val="16AC4B23"/>
    <w:multiLevelType w:val="hybridMultilevel"/>
    <w:lvl w:ilvl="0">
      <w:lvlJc w:val="left"/>
      <w:lvlText w:val="(%1)"/>
      <w:numFmt w:val="lowerRoman"/>
      <w:start w:val="2"/>
    </w:lvl>
  </w:abstractNum>
  <w:abstractNum w:abstractNumId="317">
    <w:nsid w:val="76C44E4E"/>
    <w:multiLevelType w:val="hybridMultilevel"/>
    <w:lvl w:ilvl="0">
      <w:lvlJc w:val="left"/>
      <w:lvlText w:val="(%1)"/>
      <w:numFmt w:val="lowerLetter"/>
      <w:start w:val="3"/>
    </w:lvl>
  </w:abstractNum>
  <w:abstractNum w:abstractNumId="318">
    <w:nsid w:val="E04E6CE"/>
    <w:multiLevelType w:val="hybridMultilevel"/>
    <w:lvl w:ilvl="0">
      <w:lvlJc w:val="left"/>
      <w:lvlText w:val="(%1)"/>
      <w:numFmt w:val="lowerLetter"/>
      <w:start w:val="1"/>
    </w:lvl>
  </w:abstractNum>
  <w:abstractNum w:abstractNumId="319">
    <w:nsid w:val="31A9DB76"/>
    <w:multiLevelType w:val="hybridMultilevel"/>
    <w:lvl w:ilvl="0">
      <w:lvlJc w:val="left"/>
      <w:lvlText w:val="(%1)"/>
      <w:numFmt w:val="lowerLetter"/>
      <w:start w:val="1"/>
    </w:lvl>
  </w:abstractNum>
  <w:abstractNum w:abstractNumId="320">
    <w:nsid w:val="4C4FFF5B"/>
    <w:multiLevelType w:val="hybridMultilevel"/>
    <w:lvl w:ilvl="0">
      <w:lvlJc w:val="left"/>
      <w:lvlText w:val="(%1)"/>
      <w:numFmt w:val="lowerLetter"/>
      <w:start w:val="1"/>
    </w:lvl>
    <w:lvl w:ilvl="1">
      <w:lvlJc w:val="left"/>
      <w:lvlText w:val="(%2)"/>
      <w:numFmt w:val="lowerRoman"/>
      <w:start w:val="1"/>
    </w:lvl>
  </w:abstractNum>
  <w:abstractNum w:abstractNumId="321">
    <w:nsid w:val="51B76675"/>
    <w:multiLevelType w:val="hybridMultilevel"/>
    <w:lvl w:ilvl="0">
      <w:lvlJc w:val="left"/>
      <w:lvlText w:val="(%1)"/>
      <w:numFmt w:val="lowerLetter"/>
      <w:start w:val="1"/>
    </w:lvl>
  </w:abstractNum>
  <w:abstractNum w:abstractNumId="322">
    <w:nsid w:val="59A4BA71"/>
    <w:multiLevelType w:val="hybridMultilevel"/>
    <w:lvl w:ilvl="0">
      <w:lvlJc w:val="left"/>
      <w:lvlText w:val="(%1)"/>
      <w:numFmt w:val="lowerLetter"/>
      <w:start w:val="1"/>
    </w:lvl>
  </w:abstractNum>
  <w:abstractNum w:abstractNumId="323">
    <w:nsid w:val="450B7FB6"/>
    <w:multiLevelType w:val="hybridMultilevel"/>
    <w:lvl w:ilvl="0">
      <w:lvlJc w:val="left"/>
      <w:lvlText w:val="(%1)"/>
      <w:numFmt w:val="lowerLetter"/>
      <w:start w:val="1"/>
    </w:lvl>
  </w:abstractNum>
  <w:abstractNum w:abstractNumId="324">
    <w:nsid w:val="340BF64D"/>
    <w:multiLevelType w:val="hybridMultilevel"/>
    <w:lvl w:ilvl="0">
      <w:lvlJc w:val="left"/>
      <w:lvlText w:val="(%1)"/>
      <w:numFmt w:val="lowerLetter"/>
      <w:start w:val="1"/>
    </w:lvl>
    <w:lvl w:ilvl="1">
      <w:lvlJc w:val="left"/>
      <w:lvlText w:val="(%2)"/>
      <w:numFmt w:val="lowerRoman"/>
      <w:start w:val="1"/>
    </w:lvl>
  </w:abstractNum>
  <w:abstractNum w:abstractNumId="325">
    <w:nsid w:val="69454021"/>
    <w:multiLevelType w:val="hybridMultilevel"/>
    <w:lvl w:ilvl="0">
      <w:lvlJc w:val="left"/>
      <w:lvlText w:val="(%1)"/>
      <w:numFmt w:val="lowerLetter"/>
      <w:start w:val="1"/>
    </w:lvl>
  </w:abstractNum>
  <w:abstractNum w:abstractNumId="326">
    <w:nsid w:val="49F15C6B"/>
    <w:multiLevelType w:val="hybridMultilevel"/>
    <w:lvl w:ilvl="0">
      <w:lvlJc w:val="left"/>
      <w:lvlText w:val="(%1)"/>
      <w:numFmt w:val="lowerLetter"/>
      <w:start w:val="1"/>
    </w:lvl>
  </w:abstractNum>
  <w:abstractNum w:abstractNumId="327">
    <w:nsid w:val="75F56228"/>
    <w:multiLevelType w:val="hybridMultilevel"/>
    <w:lvl w:ilvl="0">
      <w:lvlJc w:val="left"/>
      <w:lvlText w:val="%1."/>
      <w:numFmt w:val="decimal"/>
      <w:start w:val="25"/>
    </w:lvl>
  </w:abstractNum>
  <w:abstractNum w:abstractNumId="328">
    <w:nsid w:val="1C618271"/>
    <w:multiLevelType w:val="hybridMultilevel"/>
    <w:lvl w:ilvl="0">
      <w:lvlJc w:val="left"/>
      <w:lvlText w:val="(%1)"/>
      <w:numFmt w:val="lowerLetter"/>
      <w:start w:val="1"/>
    </w:lvl>
  </w:abstractNum>
  <w:abstractNum w:abstractNumId="329">
    <w:nsid w:val="6505F02E"/>
    <w:multiLevelType w:val="hybridMultilevel"/>
    <w:lvl w:ilvl="0">
      <w:lvlJc w:val="left"/>
      <w:lvlText w:val="(%1)"/>
      <w:numFmt w:val="lowerLetter"/>
      <w:start w:val="1"/>
    </w:lvl>
    <w:lvl w:ilvl="1">
      <w:lvlJc w:val="left"/>
      <w:lvlText w:val="(%2)"/>
      <w:numFmt w:val="lowerRoman"/>
      <w:start w:val="1"/>
    </w:lvl>
  </w:abstractNum>
  <w:abstractNum w:abstractNumId="330">
    <w:nsid w:val="2FE5D025"/>
    <w:multiLevelType w:val="hybridMultilevel"/>
    <w:lvl w:ilvl="0">
      <w:lvlJc w:val="left"/>
      <w:lvlText w:val="(%1)"/>
      <w:numFmt w:val="lowerRoman"/>
      <w:start w:val="1"/>
    </w:lvl>
  </w:abstractNum>
  <w:abstractNum w:abstractNumId="331">
    <w:nsid w:val="30E1B1CF"/>
    <w:multiLevelType w:val="hybridMultilevel"/>
    <w:lvl w:ilvl="0">
      <w:lvlJc w:val="left"/>
      <w:lvlText w:val="(%1)"/>
      <w:numFmt w:val="lowerLetter"/>
      <w:start w:val="5"/>
    </w:lvl>
  </w:abstractNum>
  <w:abstractNum w:abstractNumId="332">
    <w:nsid w:val="C7A9237"/>
    <w:multiLevelType w:val="hybridMultilevel"/>
    <w:lvl w:ilvl="0">
      <w:lvlJc w:val="left"/>
      <w:lvlText w:val="(%1)"/>
      <w:numFmt w:val="lowerLetter"/>
      <w:start w:val="1"/>
    </w:lvl>
    <w:lvl w:ilvl="1">
      <w:lvlJc w:val="left"/>
      <w:lvlText w:val="(%2)"/>
      <w:numFmt w:val="lowerRoman"/>
      <w:start w:val="1"/>
    </w:lvl>
  </w:abstractNum>
  <w:abstractNum w:abstractNumId="333">
    <w:nsid w:val="676B3580"/>
    <w:multiLevelType w:val="hybridMultilevel"/>
    <w:lvl w:ilvl="0">
      <w:lvlJc w:val="left"/>
      <w:lvlText w:val="%1"/>
      <w:numFmt w:val="lowerLetter"/>
      <w:start w:val="1"/>
    </w:lvl>
    <w:lvl w:ilvl="1">
      <w:lvlJc w:val="left"/>
      <w:lvlText w:val="(%2)"/>
      <w:numFmt w:val="lowerLetter"/>
      <w:start w:val="35"/>
    </w:lvl>
  </w:abstractNum>
  <w:abstractNum w:abstractNumId="334">
    <w:nsid w:val="3193C8F9"/>
    <w:multiLevelType w:val="hybridMultilevel"/>
    <w:lvl w:ilvl="0">
      <w:lvlJc w:val="left"/>
      <w:lvlText w:val="(%1)"/>
      <w:numFmt w:val="lowerLetter"/>
      <w:start w:val="3"/>
    </w:lvl>
    <w:lvl w:ilvl="1">
      <w:lvlJc w:val="left"/>
      <w:lvlText w:val="(%2)"/>
      <w:numFmt w:val="lowerLetter"/>
      <w:start w:val="9"/>
    </w:lvl>
  </w:abstractNum>
  <w:abstractNum w:abstractNumId="335">
    <w:nsid w:val="5FA6C6DC"/>
    <w:multiLevelType w:val="hybridMultilevel"/>
    <w:lvl w:ilvl="0">
      <w:lvlJc w:val="left"/>
      <w:lvlText w:val="(%1)"/>
      <w:numFmt w:val="lowerRoman"/>
      <w:start w:val="2"/>
    </w:lvl>
  </w:abstractNum>
  <w:abstractNum w:abstractNumId="336">
    <w:nsid w:val="77933F62"/>
    <w:multiLevelType w:val="hybridMultilevel"/>
    <w:lvl w:ilvl="0">
      <w:lvlJc w:val="left"/>
      <w:lvlText w:val="(%1)"/>
      <w:numFmt w:val="lowerLetter"/>
      <w:start w:val="1"/>
    </w:lvl>
    <w:lvl w:ilvl="1">
      <w:lvlJc w:val="left"/>
      <w:lvlText w:val="(%2)"/>
      <w:numFmt w:val="lowerLetter"/>
      <w:start w:val="3"/>
    </w:lvl>
  </w:abstractNum>
  <w:abstractNum w:abstractNumId="337">
    <w:nsid w:val="6CB4EE9C"/>
    <w:multiLevelType w:val="hybridMultilevel"/>
    <w:lvl w:ilvl="0">
      <w:lvlJc w:val="left"/>
      <w:lvlText w:val="%1"/>
      <w:numFmt w:val="lowerLetter"/>
      <w:start w:val="1"/>
    </w:lvl>
    <w:lvl w:ilvl="1">
      <w:lvlJc w:val="left"/>
      <w:lvlText w:val="(%2)"/>
      <w:numFmt w:val="lowerLetter"/>
      <w:start w:val="9"/>
    </w:lvl>
  </w:abstractNum>
  <w:abstractNum w:abstractNumId="338">
    <w:nsid w:val="6A6D56D7"/>
    <w:multiLevelType w:val="hybridMultilevel"/>
    <w:lvl w:ilvl="0">
      <w:lvlJc w:val="left"/>
      <w:lvlText w:val="(%1)"/>
      <w:numFmt w:val="lowerRoman"/>
      <w:start w:val="2"/>
    </w:lvl>
  </w:abstractNum>
  <w:abstractNum w:abstractNumId="339">
    <w:nsid w:val="5B727F19"/>
    <w:multiLevelType w:val="hybridMultilevel"/>
    <w:lvl w:ilvl="0">
      <w:lvlJc w:val="left"/>
      <w:lvlText w:val="(%1)"/>
      <w:numFmt w:val="lowerRoman"/>
      <w:start w:val="4"/>
    </w:lvl>
  </w:abstractNum>
  <w:abstractNum w:abstractNumId="340">
    <w:nsid w:val="514E5CB0"/>
    <w:multiLevelType w:val="hybridMultilevel"/>
    <w:lvl w:ilvl="0">
      <w:lvlJc w:val="left"/>
      <w:lvlText w:val="(%1)"/>
      <w:numFmt w:val="lowerLetter"/>
      <w:start w:val="1"/>
    </w:lvl>
    <w:lvl w:ilvl="1">
      <w:lvlJc w:val="left"/>
      <w:lvlText w:val="(%2)"/>
      <w:numFmt w:val="lowerRoman"/>
      <w:start w:val="1"/>
    </w:lvl>
  </w:abstractNum>
  <w:abstractNum w:abstractNumId="341">
    <w:nsid w:val="4210D41E"/>
    <w:multiLevelType w:val="hybridMultilevel"/>
    <w:lvl w:ilvl="0">
      <w:lvlJc w:val="left"/>
      <w:lvlText w:val="(%1)"/>
      <w:numFmt w:val="lowerLetter"/>
      <w:start w:val="1"/>
    </w:lvl>
  </w:abstractNum>
  <w:abstractNum w:abstractNumId="342">
    <w:nsid w:val="4FF4CC6D"/>
    <w:multiLevelType w:val="hybridMultilevel"/>
    <w:lvl w:ilvl="0">
      <w:lvlJc w:val="left"/>
      <w:lvlText w:val="(%1)"/>
      <w:numFmt w:val="lowerLetter"/>
      <w:start w:val="2"/>
    </w:lvl>
  </w:abstractNum>
  <w:abstractNum w:abstractNumId="343">
    <w:nsid w:val="404EAF4A"/>
    <w:multiLevelType w:val="hybridMultilevel"/>
    <w:lvl w:ilvl="0">
      <w:lvlJc w:val="left"/>
      <w:lvlText w:val="(%1)"/>
      <w:numFmt w:val="lowerRoman"/>
      <w:start w:val="1"/>
    </w:lvl>
  </w:abstractNum>
  <w:abstractNum w:abstractNumId="344">
    <w:nsid w:val="4A16874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5">
    <w:nsid w:val="55FEE0D1"/>
    <w:multiLevelType w:val="hybridMultilevel"/>
    <w:lvl w:ilvl="0">
      <w:lvlJc w:val="left"/>
      <w:lvlText w:val="%1."/>
      <w:numFmt w:val="decimal"/>
      <w:start w:val="26"/>
    </w:lvl>
  </w:abstractNum>
  <w:abstractNum w:abstractNumId="346">
    <w:nsid w:val="3C5E07C"/>
    <w:multiLevelType w:val="hybridMultilevel"/>
    <w:lvl w:ilvl="0">
      <w:lvlJc w:val="left"/>
      <w:lvlText w:val="(%1)"/>
      <w:numFmt w:val="lowerLetter"/>
      <w:start w:val="1"/>
    </w:lvl>
    <w:lvl w:ilvl="1">
      <w:lvlJc w:val="left"/>
      <w:lvlText w:val="(%2)"/>
      <w:numFmt w:val="lowerRoman"/>
      <w:start w:val="1"/>
    </w:lvl>
  </w:abstractNum>
  <w:abstractNum w:abstractNumId="347">
    <w:nsid w:val="60C2D273"/>
    <w:multiLevelType w:val="hybridMultilevel"/>
    <w:lvl w:ilvl="0">
      <w:lvlJc w:val="left"/>
      <w:lvlText w:val="(%1)"/>
      <w:numFmt w:val="upperLetter"/>
      <w:start w:val="1"/>
    </w:lvl>
    <w:lvl w:ilvl="1">
      <w:lvlJc w:val="left"/>
      <w:lvlText w:val="(%2)"/>
      <w:numFmt w:val="decimal"/>
      <w:start w:val="1"/>
    </w:lvl>
  </w:abstractNum>
  <w:abstractNum w:abstractNumId="348">
    <w:nsid w:val="4CC32F1F"/>
    <w:multiLevelType w:val="hybridMultilevel"/>
    <w:lvl w:ilvl="0">
      <w:lvlJc w:val="left"/>
      <w:lvlText w:val="(%1)"/>
      <w:numFmt w:val="lowerLetter"/>
      <w:start w:val="2"/>
    </w:lvl>
    <w:lvl w:ilvl="1">
      <w:lvlJc w:val="left"/>
      <w:lvlText w:val="(%2)"/>
      <w:numFmt w:val="lowerRoman"/>
      <w:start w:val="1"/>
    </w:lvl>
  </w:abstractNum>
  <w:abstractNum w:abstractNumId="349">
    <w:nsid w:val="11CAC74A"/>
    <w:multiLevelType w:val="hybridMultilevel"/>
    <w:lvl w:ilvl="0">
      <w:lvlJc w:val="left"/>
      <w:lvlText w:val="(%1)"/>
      <w:numFmt w:val="lowerLetter"/>
      <w:start w:val="4"/>
    </w:lvl>
    <w:lvl w:ilvl="1">
      <w:lvlJc w:val="left"/>
      <w:lvlText w:val="(%2)"/>
      <w:numFmt w:val="lowerRoman"/>
      <w:start w:val="1"/>
    </w:lvl>
  </w:abstractNum>
  <w:abstractNum w:abstractNumId="350">
    <w:nsid w:val="126CADE9"/>
    <w:multiLevelType w:val="hybridMultilevel"/>
    <w:lvl w:ilvl="0">
      <w:lvlJc w:val="left"/>
      <w:lvlText w:val="%1."/>
      <w:numFmt w:val="decimal"/>
      <w:start w:val="27"/>
    </w:lvl>
  </w:abstractNum>
  <w:abstractNum w:abstractNumId="351">
    <w:nsid w:val="19132E7B"/>
    <w:multiLevelType w:val="hybridMultilevel"/>
    <w:lvl w:ilvl="0">
      <w:lvlJc w:val="left"/>
      <w:lvlText w:val="%1."/>
      <w:numFmt w:val="decimal"/>
      <w:start w:val="28"/>
    </w:lvl>
  </w:abstractNum>
  <w:abstractNum w:abstractNumId="352">
    <w:nsid w:val="63822DC0"/>
    <w:multiLevelType w:val="hybridMultilevel"/>
    <w:lvl w:ilvl="0">
      <w:lvlJc w:val="left"/>
      <w:lvlText w:val="(%1)"/>
      <w:numFmt w:val="lowerLetter"/>
      <w:start w:val="1"/>
    </w:lvl>
    <w:lvl w:ilvl="1">
      <w:lvlJc w:val="left"/>
      <w:lvlText w:val="(%2)"/>
      <w:numFmt w:val="lowerRoman"/>
      <w:start w:val="1"/>
    </w:lvl>
  </w:abstractNum>
  <w:abstractNum w:abstractNumId="353">
    <w:nsid w:val="6C11685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4">
    <w:nsid w:val="5E1EAE3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55">
    <w:nsid w:val="178E240D"/>
    <w:multiLevelType w:val="hybridMultilevel"/>
    <w:lvl w:ilvl="0">
      <w:lvlJc w:val="left"/>
      <w:lvlText w:val="(%1)"/>
      <w:numFmt w:val="lowerRoman"/>
      <w:start w:val="2"/>
    </w:lvl>
  </w:abstractNum>
  <w:abstractNum w:abstractNumId="356">
    <w:nsid w:val="5556A87B"/>
    <w:multiLevelType w:val="hybridMultilevel"/>
    <w:lvl w:ilvl="0">
      <w:lvlJc w:val="left"/>
      <w:lvlText w:val="(%1)"/>
      <w:numFmt w:val="lowerLetter"/>
      <w:start w:val="7"/>
    </w:lvl>
  </w:abstractNum>
  <w:abstractNum w:abstractNumId="357">
    <w:nsid w:val="28100A9C"/>
    <w:multiLevelType w:val="hybridMultilevel"/>
    <w:lvl w:ilvl="0">
      <w:lvlJc w:val="left"/>
      <w:lvlText w:val="(%1)"/>
      <w:numFmt w:val="lowerLetter"/>
      <w:start w:val="1"/>
    </w:lvl>
  </w:abstractNum>
  <w:abstractNum w:abstractNumId="358">
    <w:nsid w:val="D838636"/>
    <w:multiLevelType w:val="hybridMultilevel"/>
    <w:lvl w:ilvl="0">
      <w:lvlJc w:val="left"/>
      <w:lvlText w:val="(%1)"/>
      <w:numFmt w:val="lowerLetter"/>
      <w:start w:val="1"/>
    </w:lvl>
    <w:lvl w:ilvl="1">
      <w:lvlJc w:val="left"/>
      <w:lvlText w:val="(%2)"/>
      <w:numFmt w:val="lowerRoman"/>
      <w:start w:val="1"/>
    </w:lvl>
  </w:abstractNum>
  <w:abstractNum w:abstractNumId="359">
    <w:nsid w:val="71B82AE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0">
    <w:nsid w:val="D15FAC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61">
    <w:nsid w:val="3D69565B"/>
    <w:multiLevelType w:val="hybridMultilevel"/>
    <w:lvl w:ilvl="0">
      <w:lvlJc w:val="left"/>
      <w:lvlText w:val="(%1)"/>
      <w:numFmt w:val="lowerLetter"/>
      <w:start w:val="7"/>
    </w:lvl>
    <w:lvl w:ilvl="1">
      <w:lvlJc w:val="left"/>
      <w:lvlText w:val="(%2)"/>
      <w:numFmt w:val="lowerRoman"/>
      <w:start w:val="1"/>
    </w:lvl>
  </w:abstractNum>
  <w:abstractNum w:abstractNumId="362">
    <w:nsid w:val="2299DCBC"/>
    <w:multiLevelType w:val="hybridMultilevel"/>
    <w:lvl w:ilvl="0">
      <w:lvlJc w:val="left"/>
      <w:lvlText w:val="(%1)"/>
      <w:numFmt w:val="lowerLetter"/>
      <w:start w:val="9"/>
    </w:lvl>
  </w:abstractNum>
  <w:abstractNum w:abstractNumId="363">
    <w:nsid w:val="19908D02"/>
    <w:multiLevelType w:val="hybridMultilevel"/>
    <w:lvl w:ilvl="0">
      <w:lvlJc w:val="left"/>
      <w:lvlText w:val="(%1)"/>
      <w:numFmt w:val="lowerLetter"/>
      <w:start w:val="1"/>
    </w:lvl>
    <w:lvl w:ilvl="1">
      <w:lvlJc w:val="left"/>
      <w:lvlText w:val="(%2)"/>
      <w:numFmt w:val="lowerRoman"/>
      <w:start w:val="1"/>
    </w:lvl>
  </w:abstractNum>
  <w:abstractNum w:abstractNumId="364">
    <w:nsid w:val="24D48BDB"/>
    <w:multiLevelType w:val="hybridMultilevel"/>
    <w:lvl w:ilvl="0">
      <w:lvlJc w:val="left"/>
      <w:lvlText w:val="(%1)"/>
      <w:numFmt w:val="lowerLetter"/>
      <w:start w:val="1"/>
    </w:lvl>
  </w:abstractNum>
  <w:abstractNum w:abstractNumId="365">
    <w:nsid w:val="542DA5B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6">
    <w:nsid w:val="793753DE"/>
    <w:multiLevelType w:val="hybridMultilevel"/>
    <w:lvl w:ilvl="0">
      <w:lvlJc w:val="left"/>
      <w:lvlText w:val="(%1)"/>
      <w:numFmt w:val="lowerLetter"/>
      <w:start w:val="2"/>
    </w:lvl>
    <w:lvl w:ilvl="1">
      <w:lvlJc w:val="left"/>
      <w:lvlText w:val="(%2)"/>
      <w:numFmt w:val="lowerRoman"/>
      <w:start w:val="1"/>
    </w:lvl>
  </w:abstractNum>
  <w:abstractNum w:abstractNumId="367">
    <w:nsid w:val="1C67CB3D"/>
    <w:multiLevelType w:val="hybridMultilevel"/>
    <w:lvl w:ilvl="0">
      <w:lvlJc w:val="left"/>
      <w:lvlText w:val="(%1)"/>
      <w:numFmt w:val="lowerLetter"/>
      <w:start w:val="5"/>
    </w:lvl>
  </w:abstractNum>
  <w:abstractNum w:abstractNumId="368">
    <w:nsid w:val="40E29452"/>
    <w:multiLevelType w:val="hybridMultilevel"/>
    <w:lvl w:ilvl="0">
      <w:lvlJc w:val="left"/>
      <w:lvlText w:val="(%1)"/>
      <w:numFmt w:val="lowerLetter"/>
      <w:start w:val="6"/>
    </w:lvl>
  </w:abstractNum>
  <w:abstractNum w:abstractNumId="369">
    <w:nsid w:val="63A4AAB6"/>
    <w:multiLevelType w:val="hybridMultilevel"/>
    <w:lvl w:ilvl="0">
      <w:lvlJc w:val="left"/>
      <w:lvlText w:val="(%1)"/>
      <w:numFmt w:val="lowerLetter"/>
      <w:start w:val="1"/>
    </w:lvl>
  </w:abstractNum>
  <w:abstractNum w:abstractNumId="370">
    <w:nsid w:val="77DA4A57"/>
    <w:multiLevelType w:val="hybridMultilevel"/>
    <w:lvl w:ilvl="0">
      <w:lvlJc w:val="left"/>
      <w:lvlText w:val="(%1)"/>
      <w:numFmt w:val="lowerLetter"/>
      <w:start w:val="3"/>
    </w:lvl>
    <w:lvl w:ilvl="1">
      <w:lvlJc w:val="left"/>
      <w:lvlText w:val="(%2)"/>
      <w:numFmt w:val="lowerRoman"/>
      <w:start w:val="1"/>
    </w:lvl>
  </w:abstractNum>
  <w:abstractNum w:abstractNumId="371">
    <w:nsid w:val="1230F102"/>
    <w:multiLevelType w:val="hybridMultilevel"/>
    <w:lvl w:ilvl="0">
      <w:lvlJc w:val="left"/>
      <w:lvlText w:val="(%1)"/>
      <w:numFmt w:val="lowerRoman"/>
      <w:start w:val="1"/>
    </w:lvl>
  </w:abstractNum>
  <w:abstractNum w:abstractNumId="372">
    <w:nsid w:val="25B57ED4"/>
    <w:multiLevelType w:val="hybridMultilevel"/>
    <w:lvl w:ilvl="0">
      <w:lvlJc w:val="left"/>
      <w:lvlText w:val="(%1)"/>
      <w:numFmt w:val="lowerLetter"/>
      <w:start w:val="1"/>
    </w:lvl>
  </w:abstractNum>
  <w:abstractNum w:abstractNumId="373">
    <w:nsid w:val="47CF16C4"/>
    <w:multiLevelType w:val="hybridMultilevel"/>
    <w:lvl w:ilvl="0">
      <w:lvlJc w:val="left"/>
      <w:lvlText w:val="(%1)"/>
      <w:numFmt w:val="lowerLetter"/>
      <w:start w:val="1"/>
    </w:lvl>
  </w:abstractNum>
  <w:abstractNum w:abstractNumId="374">
    <w:nsid w:val="527FA04C"/>
    <w:multiLevelType w:val="hybridMultilevel"/>
    <w:lvl w:ilvl="0">
      <w:lvlJc w:val="left"/>
      <w:lvlText w:val="(%1)"/>
      <w:numFmt w:val="lowerLetter"/>
      <w:start w:val="1"/>
    </w:lvl>
    <w:lvl w:ilvl="1">
      <w:lvlJc w:val="left"/>
      <w:lvlText w:val="(%2)"/>
      <w:numFmt w:val="lowerRoman"/>
      <w:start w:val="1"/>
    </w:lvl>
  </w:abstractNum>
  <w:abstractNum w:abstractNumId="375">
    <w:nsid w:val="6FCC0624"/>
    <w:multiLevelType w:val="hybridMultilevel"/>
    <w:lvl w:ilvl="0">
      <w:lvlJc w:val="left"/>
      <w:lvlText w:val="(%1)"/>
      <w:numFmt w:val="lowerLetter"/>
      <w:start w:val="2"/>
    </w:lvl>
  </w:abstractNum>
  <w:abstractNum w:abstractNumId="376">
    <w:nsid w:val="1DCDF795"/>
    <w:multiLevelType w:val="hybridMultilevel"/>
    <w:lvl w:ilvl="0">
      <w:lvlJc w:val="left"/>
      <w:lvlText w:val="(%1)"/>
      <w:numFmt w:val="lowerLetter"/>
      <w:start w:val="1"/>
    </w:lvl>
  </w:abstractNum>
  <w:abstractNum w:abstractNumId="377">
    <w:nsid w:val="564580C8"/>
    <w:multiLevelType w:val="hybridMultilevel"/>
    <w:lvl w:ilvl="0">
      <w:lvlJc w:val="left"/>
      <w:lvlText w:val="(%1)"/>
      <w:numFmt w:val="lowerLetter"/>
      <w:start w:val="4"/>
    </w:lvl>
  </w:abstractNum>
  <w:abstractNum w:abstractNumId="378">
    <w:nsid w:val="508ED897"/>
    <w:multiLevelType w:val="hybridMultilevel"/>
    <w:lvl w:ilvl="0">
      <w:lvlJc w:val="left"/>
      <w:lvlText w:val="(%1)"/>
      <w:numFmt w:val="lowerLetter"/>
      <w:start w:val="1"/>
    </w:lvl>
    <w:lvl w:ilvl="1">
      <w:lvlJc w:val="left"/>
      <w:lvlText w:val="(%2)"/>
      <w:numFmt w:val="lowerRoman"/>
      <w:start w:val="1"/>
    </w:lvl>
  </w:abstractNum>
  <w:abstractNum w:abstractNumId="379">
    <w:nsid w:val="6A9126B5"/>
    <w:multiLevelType w:val="hybridMultilevel"/>
    <w:lvl w:ilvl="0">
      <w:lvlJc w:val="left"/>
      <w:lvlText w:val="%1"/>
      <w:numFmt w:val="lowerLetter"/>
      <w:start w:val="1"/>
    </w:lvl>
    <w:lvl w:ilvl="1">
      <w:lvlJc w:val="left"/>
      <w:lvlText w:val="(%2)"/>
      <w:numFmt w:val="lowerLetter"/>
      <w:start w:val="3"/>
    </w:lvl>
  </w:abstractNum>
  <w:abstractNum w:abstractNumId="380">
    <w:nsid w:val="68104812"/>
    <w:multiLevelType w:val="hybridMultilevel"/>
    <w:lvl w:ilvl="0">
      <w:lvlJc w:val="left"/>
      <w:lvlText w:val="(%1)"/>
      <w:numFmt w:val="lowerLetter"/>
      <w:start w:val="3"/>
    </w:lvl>
    <w:lvl w:ilvl="1">
      <w:lvlJc w:val="left"/>
      <w:lvlText w:val="(%2)"/>
      <w:numFmt w:val="lowerLetter"/>
      <w:start w:val="2"/>
    </w:lvl>
  </w:abstractNum>
  <w:abstractNum w:abstractNumId="381">
    <w:nsid w:val="62FB8680"/>
    <w:multiLevelType w:val="hybridMultilevel"/>
    <w:lvl w:ilvl="0">
      <w:lvlJc w:val="left"/>
      <w:lvlText w:val="(%1)"/>
      <w:numFmt w:val="lowerLetter"/>
      <w:start w:val="1"/>
    </w:lvl>
  </w:abstractNum>
  <w:abstractNum w:abstractNumId="382">
    <w:nsid w:val="3A45530"/>
    <w:multiLevelType w:val="hybridMultilevel"/>
    <w:lvl w:ilvl="0">
      <w:lvlJc w:val="left"/>
      <w:lvlText w:val="(%1)"/>
      <w:numFmt w:val="lowerLetter"/>
      <w:start w:val="1"/>
    </w:lvl>
  </w:abstractNum>
  <w:abstractNum w:abstractNumId="383">
    <w:nsid w:val="4B9275D2"/>
    <w:multiLevelType w:val="hybridMultilevel"/>
    <w:lvl w:ilvl="0">
      <w:lvlJc w:val="left"/>
      <w:lvlText w:val="(%1)"/>
      <w:numFmt w:val="lowerLetter"/>
      <w:start w:val="1"/>
    </w:lvl>
  </w:abstractNum>
  <w:abstractNum w:abstractNumId="384">
    <w:nsid w:val="4F0CEEDB"/>
    <w:multiLevelType w:val="hybridMultilevel"/>
    <w:lvl w:ilvl="0">
      <w:lvlJc w:val="left"/>
      <w:lvlText w:val="(%1)"/>
      <w:numFmt w:val="lowerLetter"/>
      <w:start w:val="1"/>
    </w:lvl>
    <w:lvl w:ilvl="1">
      <w:lvlJc w:val="left"/>
      <w:lvlText w:val="(%2)"/>
      <w:numFmt w:val="lowerRoman"/>
      <w:start w:val="1"/>
    </w:lvl>
  </w:abstractNum>
  <w:abstractNum w:abstractNumId="385">
    <w:nsid w:val="61C30361"/>
    <w:multiLevelType w:val="hybridMultilevel"/>
    <w:lvl w:ilvl="0">
      <w:lvlJc w:val="left"/>
      <w:lvlText w:val="(%1)"/>
      <w:numFmt w:val="lowerLetter"/>
      <w:start w:val="2"/>
    </w:lvl>
  </w:abstractNum>
  <w:abstractNum w:abstractNumId="386">
    <w:nsid w:val="632099E0"/>
    <w:multiLevelType w:val="hybridMultilevel"/>
    <w:lvl w:ilvl="0">
      <w:lvlJc w:val="left"/>
      <w:lvlText w:val="(%1)"/>
      <w:numFmt w:val="lowerLetter"/>
      <w:start w:val="1"/>
    </w:lvl>
  </w:abstractNum>
  <w:abstractNum w:abstractNumId="387">
    <w:nsid w:val="24639756"/>
    <w:multiLevelType w:val="hybridMultilevel"/>
    <w:lvl w:ilvl="0">
      <w:lvlJc w:val="left"/>
      <w:lvlText w:val="(%1)"/>
      <w:numFmt w:val="lowerRoman"/>
      <w:start w:val="1"/>
    </w:lvl>
  </w:abstractNum>
  <w:abstractNum w:abstractNumId="388">
    <w:nsid w:val="9D30DFD"/>
    <w:multiLevelType w:val="hybridMultilevel"/>
    <w:lvl w:ilvl="0">
      <w:lvlJc w:val="left"/>
      <w:lvlText w:val="(%1)"/>
      <w:numFmt w:val="lowerLetter"/>
      <w:start w:val="1"/>
    </w:lvl>
  </w:abstractNum>
  <w:abstractNum w:abstractNumId="389">
    <w:nsid w:val="70A42016"/>
    <w:multiLevelType w:val="hybridMultilevel"/>
    <w:lvl w:ilvl="0">
      <w:lvlJc w:val="left"/>
      <w:lvlText w:val="(%1)"/>
      <w:numFmt w:val="lowerLetter"/>
      <w:start w:val="3"/>
    </w:lvl>
  </w:abstractNum>
  <w:abstractNum w:abstractNumId="390">
    <w:nsid w:val="161BC243"/>
    <w:multiLevelType w:val="hybridMultilevel"/>
    <w:lvl w:ilvl="0">
      <w:lvlJc w:val="left"/>
      <w:lvlText w:val="%1."/>
      <w:numFmt w:val="decimal"/>
      <w:start w:val="29"/>
    </w:lvl>
  </w:abstractNum>
  <w:abstractNum w:abstractNumId="391">
    <w:nsid w:val="16E908C8"/>
    <w:multiLevelType w:val="hybridMultilevel"/>
    <w:lvl w:ilvl="0">
      <w:lvlJc w:val="left"/>
      <w:lvlText w:val="(%1)"/>
      <w:numFmt w:val="lowerLetter"/>
      <w:start w:val="1"/>
    </w:lvl>
  </w:abstractNum>
  <w:abstractNum w:abstractNumId="392">
    <w:nsid w:val="2E0D7671"/>
    <w:multiLevelType w:val="hybridMultilevel"/>
    <w:lvl w:ilvl="0">
      <w:lvlJc w:val="left"/>
      <w:lvlText w:val="(%1)"/>
      <w:numFmt w:val="lowerLetter"/>
      <w:start w:val="1"/>
    </w:lvl>
  </w:abstractNum>
  <w:abstractNum w:abstractNumId="393">
    <w:nsid w:val="38B59EFF"/>
    <w:multiLevelType w:val="hybridMultilevel"/>
    <w:lvl w:ilvl="0">
      <w:lvlJc w:val="left"/>
      <w:lvlText w:val="(%1)"/>
      <w:numFmt w:val="lowerLetter"/>
      <w:start w:val="1"/>
    </w:lvl>
  </w:abstractNum>
  <w:abstractNum w:abstractNumId="394">
    <w:nsid w:val="307995CA"/>
    <w:multiLevelType w:val="hybridMultilevel"/>
    <w:lvl w:ilvl="0">
      <w:lvlJc w:val="left"/>
      <w:lvlText w:val="(%1)"/>
      <w:numFmt w:val="lowerLetter"/>
      <w:start w:val="1"/>
    </w:lvl>
  </w:abstractNum>
  <w:abstractNum w:abstractNumId="395">
    <w:nsid w:val="52E2024D"/>
    <w:multiLevelType w:val="hybridMultilevel"/>
    <w:lvl w:ilvl="0">
      <w:lvlJc w:val="left"/>
      <w:lvlText w:val="(%1)"/>
      <w:numFmt w:val="lowerLetter"/>
      <w:start w:val="2"/>
    </w:lvl>
  </w:abstractNum>
  <w:abstractNum w:abstractNumId="396">
    <w:nsid w:val="CE344B5"/>
    <w:multiLevelType w:val="hybridMultilevel"/>
    <w:lvl w:ilvl="0">
      <w:lvlJc w:val="left"/>
      <w:lvlText w:val="(%1)"/>
      <w:numFmt w:val="lowerLetter"/>
      <w:start w:val="1"/>
    </w:lvl>
  </w:abstractNum>
  <w:abstractNum w:abstractNumId="397">
    <w:nsid w:val="29B0E9A8"/>
    <w:multiLevelType w:val="hybridMultilevel"/>
    <w:lvl w:ilvl="0">
      <w:lvlJc w:val="left"/>
      <w:lvlText w:val="%1."/>
      <w:numFmt w:val="decimal"/>
      <w:start w:val="30"/>
    </w:lvl>
    <w:lvl w:ilvl="1">
      <w:lvlJc w:val="left"/>
      <w:lvlText w:val="(%2)"/>
      <w:numFmt w:val="lowerLetter"/>
      <w:start w:val="1"/>
    </w:lvl>
  </w:abstractNum>
  <w:abstractNum w:abstractNumId="398">
    <w:nsid w:val="6F49CD8A"/>
    <w:multiLevelType w:val="hybridMultilevel"/>
    <w:lvl w:ilvl="0">
      <w:lvlJc w:val="left"/>
      <w:lvlText w:val="(%1)"/>
      <w:numFmt w:val="lowerLetter"/>
      <w:start w:val="1"/>
    </w:lvl>
  </w:abstractNum>
  <w:abstractNum w:abstractNumId="399">
    <w:nsid w:val="4DC5D907"/>
    <w:multiLevelType w:val="hybridMultilevel"/>
    <w:lvl w:ilvl="0">
      <w:lvlJc w:val="left"/>
      <w:lvlText w:val="(%1)"/>
      <w:numFmt w:val="lowerLetter"/>
      <w:start w:val="1"/>
    </w:lvl>
  </w:abstractNum>
  <w:abstractNum w:abstractNumId="400">
    <w:nsid w:val="D55945E"/>
    <w:multiLevelType w:val="hybridMultilevel"/>
    <w:lvl w:ilvl="0">
      <w:lvlJc w:val="left"/>
      <w:lvlText w:val="(%1)"/>
      <w:numFmt w:val="lowerLetter"/>
      <w:start w:val="1"/>
    </w:lvl>
    <w:lvl w:ilvl="1">
      <w:lvlJc w:val="left"/>
      <w:lvlText w:val="(%2)"/>
      <w:numFmt w:val="lowerRoman"/>
      <w:start w:val="1"/>
    </w:lvl>
  </w:abstractNum>
  <w:abstractNum w:abstractNumId="401">
    <w:nsid w:val="672417E1"/>
    <w:multiLevelType w:val="hybridMultilevel"/>
    <w:lvl w:ilvl="0">
      <w:lvlJc w:val="left"/>
      <w:lvlText w:val="%1."/>
      <w:numFmt w:val="decimal"/>
      <w:start w:val="32"/>
    </w:lvl>
  </w:abstractNum>
  <w:abstractNum w:abstractNumId="402">
    <w:nsid w:val="5FF6CA09"/>
    <w:multiLevelType w:val="hybridMultilevel"/>
    <w:lvl w:ilvl="0">
      <w:lvlJc w:val="left"/>
      <w:lvlText w:val="(%1)"/>
      <w:numFmt w:val="lowerLetter"/>
      <w:start w:val="1"/>
    </w:lvl>
  </w:abstractNum>
  <w:abstractNum w:abstractNumId="403">
    <w:nsid w:val="330B1333"/>
    <w:multiLevelType w:val="hybridMultilevel"/>
    <w:lvl w:ilvl="0">
      <w:lvlJc w:val="left"/>
      <w:lvlText w:val="(%1)"/>
      <w:numFmt w:val="lowerLetter"/>
      <w:start w:val="1"/>
    </w:lvl>
  </w:abstractNum>
  <w:abstractNum w:abstractNumId="404">
    <w:nsid w:val="2EF32EA6"/>
    <w:multiLevelType w:val="hybridMultilevel"/>
    <w:lvl w:ilvl="0">
      <w:lvlJc w:val="left"/>
      <w:lvlText w:val="(%1)"/>
      <w:numFmt w:val="lowerLetter"/>
      <w:start w:val="3"/>
    </w:lvl>
    <w:lvl w:ilvl="1">
      <w:lvlJc w:val="left"/>
      <w:lvlText w:val="(%2)"/>
      <w:numFmt w:val="lowerRoman"/>
      <w:start w:val="1"/>
    </w:lvl>
  </w:abstractNum>
  <w:abstractNum w:abstractNumId="405">
    <w:nsid w:val="32766A55"/>
    <w:multiLevelType w:val="hybridMultilevel"/>
    <w:lvl w:ilvl="0">
      <w:lvlJc w:val="left"/>
      <w:lvlText w:val="(%1)"/>
      <w:numFmt w:val="lowerLetter"/>
      <w:start w:val="1"/>
    </w:lvl>
    <w:lvl w:ilvl="1">
      <w:lvlJc w:val="left"/>
      <w:lvlText w:val="(%2)"/>
      <w:numFmt w:val="lowerRoman"/>
      <w:start w:val="1"/>
    </w:lvl>
  </w:abstractNum>
  <w:abstractNum w:abstractNumId="406">
    <w:nsid w:val="22D71957"/>
    <w:multiLevelType w:val="hybridMultilevel"/>
    <w:lvl w:ilvl="0">
      <w:lvlJc w:val="left"/>
      <w:lvlText w:val="(%1)"/>
      <w:numFmt w:val="lowerLetter"/>
      <w:start w:val="2"/>
    </w:lvl>
    <w:lvl w:ilvl="1">
      <w:lvlJc w:val="left"/>
      <w:lvlText w:val="(%2)"/>
      <w:numFmt w:val="lowerRoman"/>
      <w:start w:val="1"/>
    </w:lvl>
  </w:abstractNum>
  <w:abstractNum w:abstractNumId="407">
    <w:nsid w:val="4CC1263B"/>
    <w:multiLevelType w:val="hybridMultilevel"/>
    <w:lvl w:ilvl="0">
      <w:lvlJc w:val="left"/>
      <w:lvlText w:val="(%1)"/>
      <w:numFmt w:val="lowerLetter"/>
      <w:start w:val="1"/>
    </w:lvl>
    <w:lvl w:ilvl="1">
      <w:lvlJc w:val="left"/>
      <w:lvlText w:val="(%2)"/>
      <w:numFmt w:val="lowerRoman"/>
      <w:start w:val="1"/>
    </w:lvl>
  </w:abstractNum>
  <w:abstractNum w:abstractNumId="408">
    <w:nsid w:val="8BBEB1D"/>
    <w:multiLevelType w:val="hybridMultilevel"/>
    <w:lvl w:ilvl="0">
      <w:lvlJc w:val="left"/>
      <w:lvlText w:val="(%1)"/>
      <w:numFmt w:val="lowerLetter"/>
      <w:start w:val="1"/>
    </w:lvl>
  </w:abstractNum>
  <w:abstractNum w:abstractNumId="409">
    <w:nsid w:val="7365F1EE"/>
    <w:multiLevelType w:val="hybridMultilevel"/>
    <w:lvl w:ilvl="0">
      <w:lvlJc w:val="left"/>
      <w:lvlText w:val="(%1)"/>
      <w:numFmt w:val="lowerLetter"/>
      <w:start w:val="1"/>
    </w:lvl>
  </w:abstractNum>
  <w:abstractNum w:abstractNumId="410">
    <w:nsid w:val="37524CF0"/>
    <w:multiLevelType w:val="hybridMultilevel"/>
    <w:lvl w:ilvl="0">
      <w:lvlJc w:val="left"/>
      <w:lvlText w:val="(%1)"/>
      <w:numFmt w:val="lowerLetter"/>
      <w:start w:val="3"/>
    </w:lvl>
  </w:abstractNum>
  <w:abstractNum w:abstractNumId="411">
    <w:nsid w:val="70CC332F"/>
    <w:multiLevelType w:val="hybridMultilevel"/>
    <w:lvl w:ilvl="0">
      <w:lvlJc w:val="left"/>
      <w:lvlText w:val="(%1)"/>
      <w:numFmt w:val="lowerLetter"/>
      <w:start w:val="1"/>
    </w:lvl>
    <w:lvl w:ilvl="1">
      <w:lvlJc w:val="left"/>
      <w:lvlText w:val="(%2)"/>
      <w:numFmt w:val="lowerRoman"/>
      <w:start w:val="1"/>
    </w:lvl>
  </w:abstractNum>
  <w:abstractNum w:abstractNumId="412">
    <w:nsid w:val="5661786E"/>
    <w:multiLevelType w:val="hybridMultilevel"/>
    <w:lvl w:ilvl="0">
      <w:lvlJc w:val="left"/>
      <w:lvlText w:val="(%1)"/>
      <w:numFmt w:val="lowerLetter"/>
      <w:start w:val="1"/>
    </w:lvl>
  </w:abstractNum>
  <w:abstractNum w:abstractNumId="413">
    <w:nsid w:val="3AF6A220"/>
    <w:multiLevelType w:val="hybridMultilevel"/>
    <w:lvl w:ilvl="0">
      <w:lvlJc w:val="left"/>
      <w:lvlText w:val="(%1)"/>
      <w:numFmt w:val="lowerLetter"/>
      <w:start w:val="6"/>
    </w:lvl>
  </w:abstractNum>
  <w:abstractNum w:abstractNumId="414">
    <w:nsid w:val="3C5EA902"/>
    <w:multiLevelType w:val="hybridMultilevel"/>
    <w:lvl w:ilvl="0">
      <w:lvlJc w:val="left"/>
      <w:lvlText w:val="%1"/>
      <w:numFmt w:val="decimal"/>
      <w:start w:val="1"/>
    </w:lvl>
    <w:lvl w:ilvl="1">
      <w:lvlJc w:val="left"/>
      <w:lvlText w:val="(%2)"/>
      <w:numFmt w:val="lowerLetter"/>
      <w:start w:val="1"/>
    </w:lvl>
  </w:abstractNum>
  <w:abstractNum w:abstractNumId="415">
    <w:nsid w:val="256E6749"/>
    <w:multiLevelType w:val="hybridMultilevel"/>
    <w:lvl w:ilvl="0">
      <w:lvlJc w:val="left"/>
      <w:lvlText w:val="%1."/>
      <w:numFmt w:val="decimal"/>
      <w:start w:val="33"/>
    </w:lvl>
    <w:lvl w:ilvl="1">
      <w:lvlJc w:val="left"/>
      <w:lvlText w:val="%2"/>
      <w:numFmt w:val="lowerLetter"/>
      <w:start w:val="1"/>
    </w:lvl>
  </w:abstractNum>
  <w:abstractNum w:abstractNumId="416">
    <w:nsid w:val="1CB9A581"/>
    <w:multiLevelType w:val="hybridMultilevel"/>
    <w:lvl w:ilvl="0">
      <w:lvlJc w:val="left"/>
      <w:lvlText w:val="(%1)"/>
      <w:numFmt w:val="lowerLetter"/>
      <w:start w:val="1"/>
    </w:lvl>
  </w:abstractNum>
  <w:abstractNum w:abstractNumId="417">
    <w:nsid w:val="1F7F42E2"/>
    <w:multiLevelType w:val="hybridMultilevel"/>
    <w:lvl w:ilvl="0">
      <w:lvlJc w:val="left"/>
      <w:lvlText w:val="(%1)"/>
      <w:numFmt w:val="lowerLetter"/>
      <w:start w:val="1"/>
    </w:lvl>
    <w:lvl w:ilvl="1">
      <w:lvlJc w:val="left"/>
      <w:lvlText w:val="(%2)"/>
      <w:numFmt w:val="lowerRoman"/>
      <w:start w:val="1"/>
    </w:lvl>
  </w:abstractNum>
  <w:abstractNum w:abstractNumId="418">
    <w:nsid w:val="49D1FEA0"/>
    <w:multiLevelType w:val="hybridMultilevel"/>
    <w:lvl w:ilvl="0">
      <w:lvlJc w:val="left"/>
      <w:lvlText w:val="(%1)"/>
      <w:numFmt w:val="lowerLetter"/>
      <w:start w:val="2"/>
    </w:lvl>
  </w:abstractNum>
  <w:abstractNum w:abstractNumId="419">
    <w:nsid w:val="268CB37F"/>
    <w:multiLevelType w:val="hybridMultilevel"/>
    <w:lvl w:ilvl="0">
      <w:lvlJc w:val="left"/>
      <w:lvlText w:val="(%1)"/>
      <w:numFmt w:val="lowerLetter"/>
      <w:start w:val="1"/>
    </w:lvl>
    <w:lvl w:ilvl="1">
      <w:lvlJc w:val="left"/>
      <w:lvlText w:val="(%2)"/>
      <w:numFmt w:val="lowerRoman"/>
      <w:start w:val="1"/>
    </w:lvl>
  </w:abstractNum>
  <w:abstractNum w:abstractNumId="420">
    <w:nsid w:val="102362F8"/>
    <w:multiLevelType w:val="hybridMultilevel"/>
    <w:lvl w:ilvl="0">
      <w:lvlJc w:val="left"/>
      <w:lvlText w:val="(%1)"/>
      <w:numFmt w:val="lowerLetter"/>
      <w:start w:val="3"/>
    </w:lvl>
    <w:lvl w:ilvl="1">
      <w:lvlJc w:val="left"/>
      <w:lvlText w:val="(%2)"/>
      <w:numFmt w:val="lowerRoman"/>
      <w:start w:val="1"/>
    </w:lvl>
  </w:abstractNum>
  <w:abstractNum w:abstractNumId="421">
    <w:nsid w:val="5FEDC0E3"/>
    <w:multiLevelType w:val="hybridMultilevel"/>
    <w:lvl w:ilvl="0">
      <w:lvlJc w:val="left"/>
      <w:lvlText w:val="(%1)"/>
      <w:numFmt w:val="lowerLetter"/>
      <w:start w:val="1"/>
    </w:lvl>
    <w:lvl w:ilvl="1">
      <w:lvlJc w:val="left"/>
      <w:lvlText w:val="(%2)"/>
      <w:numFmt w:val="lowerRoman"/>
      <w:start w:val="1"/>
    </w:lvl>
  </w:abstractNum>
  <w:abstractNum w:abstractNumId="422">
    <w:nsid w:val="3D75BC47"/>
    <w:multiLevelType w:val="hybridMultilevel"/>
    <w:lvl w:ilvl="0">
      <w:lvlJc w:val="left"/>
      <w:lvlText w:val="%1."/>
      <w:numFmt w:val="decimal"/>
      <w:start w:val="35"/>
    </w:lvl>
  </w:abstractNum>
  <w:abstractNum w:abstractNumId="423">
    <w:nsid w:val="3E30D969"/>
    <w:multiLevelType w:val="hybridMultilevel"/>
    <w:lvl w:ilvl="0">
      <w:lvlJc w:val="left"/>
      <w:lvlText w:val="%1."/>
      <w:numFmt w:val="decimal"/>
      <w:start w:val="36"/>
    </w:lvl>
  </w:abstractNum>
  <w:abstractNum w:abstractNumId="424">
    <w:nsid w:val="18A35FE3"/>
    <w:multiLevelType w:val="hybridMultilevel"/>
    <w:lvl w:ilvl="0">
      <w:lvlJc w:val="left"/>
      <w:lvlText w:val="(%1)"/>
      <w:numFmt w:val="lowerLetter"/>
      <w:start w:val="1"/>
    </w:lvl>
  </w:abstractNum>
  <w:abstractNum w:abstractNumId="425">
    <w:nsid w:val="6DEF5211"/>
    <w:multiLevelType w:val="hybridMultilevel"/>
    <w:lvl w:ilvl="0">
      <w:lvlJc w:val="left"/>
      <w:lvlText w:val="(%1)"/>
      <w:numFmt w:val="lowerLetter"/>
      <w:start w:val="1"/>
    </w:lvl>
    <w:lvl w:ilvl="1">
      <w:lvlJc w:val="left"/>
      <w:lvlText w:val="(%2)"/>
      <w:numFmt w:val="lowerRoman"/>
      <w:start w:val="1"/>
    </w:lvl>
  </w:abstractNum>
  <w:abstractNum w:abstractNumId="426">
    <w:nsid w:val="1112DBB6"/>
    <w:multiLevelType w:val="hybridMultilevel"/>
    <w:lvl w:ilvl="0">
      <w:lvlJc w:val="left"/>
      <w:lvlText w:val="(%1)"/>
      <w:numFmt w:val="lowerLetter"/>
      <w:start w:val="1"/>
    </w:lvl>
    <w:lvl w:ilvl="1">
      <w:lvlJc w:val="left"/>
      <w:lvlText w:val="(%2)"/>
      <w:numFmt w:val="lowerLetter"/>
      <w:start w:val="9"/>
    </w:lvl>
  </w:abstractNum>
  <w:abstractNum w:abstractNumId="427">
    <w:nsid w:val="2586A498"/>
    <w:multiLevelType w:val="hybridMultilevel"/>
    <w:lvl w:ilvl="0">
      <w:lvlJc w:val="left"/>
      <w:lvlText w:val="(%1)"/>
      <w:numFmt w:val="upperLetter"/>
      <w:start w:val="1"/>
    </w:lvl>
  </w:abstractNum>
  <w:abstractNum w:abstractNumId="428">
    <w:nsid w:val="17A03BB9"/>
    <w:multiLevelType w:val="hybridMultilevel"/>
    <w:lvl w:ilvl="0">
      <w:lvlJc w:val="left"/>
      <w:lvlText w:val="(%1)"/>
      <w:numFmt w:val="lowerLetter"/>
      <w:start w:val="2"/>
    </w:lvl>
  </w:abstractNum>
  <w:abstractNum w:abstractNumId="429">
    <w:nsid w:val="5CA941"/>
    <w:multiLevelType w:val="hybridMultilevel"/>
    <w:lvl w:ilvl="0">
      <w:lvlJc w:val="left"/>
      <w:lvlText w:val="(%1)"/>
      <w:numFmt w:val="lowerRoman"/>
      <w:start w:val="1"/>
    </w:lvl>
    <w:lvl w:ilvl="1">
      <w:lvlJc w:val="left"/>
      <w:lvlText w:val="(%2)"/>
      <w:numFmt w:val="upperLetter"/>
      <w:start w:val="1"/>
    </w:lvl>
  </w:abstractNum>
  <w:abstractNum w:abstractNumId="430">
    <w:nsid w:val="734C7D9F"/>
    <w:multiLevelType w:val="hybridMultilevel"/>
    <w:lvl w:ilvl="0">
      <w:lvlJc w:val="left"/>
      <w:lvlText w:val="(%1)"/>
      <w:numFmt w:val="lowerRoman"/>
      <w:start w:val="2"/>
    </w:lvl>
  </w:abstractNum>
  <w:abstractNum w:abstractNumId="431">
    <w:nsid w:val="24F5D018"/>
    <w:multiLevelType w:val="hybridMultilevel"/>
    <w:lvl w:ilvl="0">
      <w:lvlJc w:val="left"/>
      <w:lvlText w:val="(%1)"/>
      <w:numFmt w:val="lowerRoman"/>
      <w:start w:val="1"/>
    </w:lvl>
  </w:abstractNum>
  <w:abstractNum w:abstractNumId="432">
    <w:nsid w:val="6780C122"/>
    <w:multiLevelType w:val="hybridMultilevel"/>
    <w:lvl w:ilvl="0">
      <w:lvlJc w:val="left"/>
      <w:lvlText w:val="(%1)"/>
      <w:numFmt w:val="decimal"/>
      <w:start w:val="1"/>
    </w:lvl>
  </w:abstractNum>
  <w:abstractNum w:abstractNumId="433">
    <w:nsid w:val="534347A8"/>
    <w:multiLevelType w:val="hybridMultilevel"/>
    <w:lvl w:ilvl="0">
      <w:lvlJc w:val="left"/>
      <w:lvlText w:val="%1"/>
      <w:numFmt w:val="lowerRoman"/>
      <w:start w:val="1"/>
    </w:lvl>
    <w:lvl w:ilvl="1">
      <w:lvlJc w:val="left"/>
      <w:lvlText w:val="(%2)"/>
      <w:numFmt w:val="upperLetter"/>
      <w:start w:val="2"/>
    </w:lvl>
  </w:abstractNum>
  <w:abstractNum w:abstractNumId="434">
    <w:nsid w:val="5800E34B"/>
    <w:multiLevelType w:val="hybridMultilevel"/>
    <w:lvl w:ilvl="0">
      <w:lvlJc w:val="left"/>
      <w:lvlText w:val="(%1)"/>
      <w:numFmt w:val="lowerRoman"/>
      <w:start w:val="3"/>
    </w:lvl>
    <w:lvl w:ilvl="1">
      <w:lvlJc w:val="left"/>
      <w:lvlText w:val="%2"/>
      <w:numFmt w:val="upperLetter"/>
      <w:start w:val="1"/>
    </w:lvl>
  </w:abstractNum>
  <w:abstractNum w:abstractNumId="435">
    <w:nsid w:val="1673EFC8"/>
    <w:multiLevelType w:val="hybridMultilevel"/>
    <w:lvl w:ilvl="0">
      <w:lvlJc w:val="left"/>
      <w:lvlText w:val="%1"/>
      <w:numFmt w:val="lowerRoman"/>
      <w:start w:val="1"/>
    </w:lvl>
    <w:lvl w:ilvl="1">
      <w:lvlJc w:val="left"/>
      <w:lvlText w:val="(%2)"/>
      <w:numFmt w:val="upperLetter"/>
      <w:start w:val="1"/>
    </w:lvl>
  </w:abstractNum>
  <w:abstractNum w:abstractNumId="436">
    <w:nsid w:val="5B9B1FD"/>
    <w:multiLevelType w:val="hybridMultilevel"/>
    <w:lvl w:ilvl="0">
      <w:lvlJc w:val="left"/>
      <w:lvlText w:val="(%1)"/>
      <w:numFmt w:val="lowerRoman"/>
      <w:start w:val="4"/>
    </w:lvl>
    <w:lvl w:ilvl="1">
      <w:lvlJc w:val="left"/>
      <w:lvlText w:val="%2"/>
      <w:numFmt w:val="upperLetter"/>
      <w:start w:val="1"/>
    </w:lvl>
  </w:abstractNum>
  <w:abstractNum w:abstractNumId="437">
    <w:nsid w:val="7AD7FCA2"/>
    <w:multiLevelType w:val="hybridMultilevel"/>
    <w:lvl w:ilvl="0">
      <w:lvlJc w:val="left"/>
      <w:lvlText w:val="(%1)"/>
      <w:numFmt w:val="lowerLetter"/>
      <w:start w:val="1"/>
    </w:lvl>
    <w:lvl w:ilvl="1">
      <w:lvlJc w:val="left"/>
      <w:lvlText w:val="(%2)"/>
      <w:numFmt w:val="lowerLetter"/>
      <w:start w:val="9"/>
    </w:lvl>
  </w:abstractNum>
  <w:abstractNum w:abstractNumId="438">
    <w:nsid w:val="63351604"/>
    <w:multiLevelType w:val="hybridMultilevel"/>
    <w:lvl w:ilvl="0">
      <w:lvlJc w:val="left"/>
      <w:lvlText w:val="(%1)"/>
      <w:numFmt w:val="upperLetter"/>
      <w:start w:val="1"/>
    </w:lvl>
  </w:abstractNum>
  <w:abstractNum w:abstractNumId="439">
    <w:nsid w:val="E759D1A"/>
    <w:multiLevelType w:val="hybridMultilevel"/>
    <w:lvl w:ilvl="0">
      <w:lvlJc w:val="left"/>
      <w:lvlText w:val="(%1)"/>
      <w:numFmt w:val="lowerLetter"/>
      <w:start w:val="2"/>
    </w:lvl>
    <w:lvl w:ilvl="1">
      <w:lvlJc w:val="left"/>
      <w:lvlText w:val="(%2)"/>
      <w:numFmt w:val="lowerLetter"/>
      <w:start w:val="9"/>
    </w:lvl>
  </w:abstractNum>
  <w:abstractNum w:abstractNumId="440">
    <w:nsid w:val="6E3DEE90"/>
    <w:multiLevelType w:val="hybridMultilevel"/>
    <w:lvl w:ilvl="0">
      <w:lvlJc w:val="left"/>
      <w:lvlText w:val="(%1)"/>
      <w:numFmt w:val="lowerRoman"/>
      <w:start w:val="2"/>
    </w:lvl>
  </w:abstractNum>
  <w:abstractNum w:abstractNumId="441">
    <w:nsid w:val="1A8762F4"/>
    <w:multiLevelType w:val="hybridMultilevel"/>
    <w:lvl w:ilvl="0">
      <w:lvlJc w:val="left"/>
      <w:lvlText w:val="%1."/>
      <w:numFmt w:val="upperLetter"/>
      <w:start w:val="1"/>
    </w:lvl>
  </w:abstractNum>
  <w:abstractNum w:abstractNumId="442">
    <w:nsid w:val="7F41D049"/>
    <w:multiLevelType w:val="hybridMultilevel"/>
    <w:lvl w:ilvl="0">
      <w:lvlJc w:val="left"/>
      <w:lvlText w:val="(%1)"/>
      <w:numFmt w:val="upperLetter"/>
      <w:start w:val="1"/>
    </w:lvl>
  </w:abstractNum>
  <w:abstractNum w:abstractNumId="443">
    <w:nsid w:val="449F66FE"/>
    <w:multiLevelType w:val="hybridMultilevel"/>
    <w:lvl w:ilvl="0">
      <w:lvlJc w:val="left"/>
      <w:lvlText w:val="%1"/>
      <w:numFmt w:val="lowerLetter"/>
      <w:start w:val="1"/>
    </w:lvl>
    <w:lvl w:ilvl="1">
      <w:lvlJc w:val="left"/>
      <w:lvlText w:val="(%2)"/>
      <w:numFmt w:val="lowerRoman"/>
      <w:start w:val="2"/>
    </w:lvl>
  </w:abstractNum>
  <w:abstractNum w:abstractNumId="444">
    <w:nsid w:val="557E0515"/>
    <w:multiLevelType w:val="hybridMultilevel"/>
    <w:lvl w:ilvl="0">
      <w:lvlJc w:val="left"/>
      <w:lvlText w:val="(%1)"/>
      <w:numFmt w:val="lowerLetter"/>
      <w:start w:val="4"/>
    </w:lvl>
    <w:lvl w:ilvl="1">
      <w:lvlJc w:val="left"/>
      <w:lvlText w:val="(%2)"/>
      <w:numFmt w:val="lowerRoman"/>
      <w:start w:val="1"/>
    </w:lvl>
  </w:abstractNum>
  <w:abstractNum w:abstractNumId="445">
    <w:nsid w:val="3BA0794B"/>
    <w:multiLevelType w:val="hybridMultilevel"/>
    <w:lvl w:ilvl="0">
      <w:lvlJc w:val="left"/>
      <w:lvlText w:val="(%1)"/>
      <w:numFmt w:val="lowerLetter"/>
      <w:start w:val="1"/>
    </w:lvl>
    <w:lvl w:ilvl="1">
      <w:lvlJc w:val="left"/>
      <w:lvlText w:val="(%2)"/>
      <w:numFmt w:val="lowerRoman"/>
      <w:start w:val="1"/>
    </w:lvl>
  </w:abstractNum>
  <w:abstractNum w:abstractNumId="446">
    <w:nsid w:val="6A0DCE48"/>
    <w:multiLevelType w:val="hybridMultilevel"/>
    <w:lvl w:ilvl="0">
      <w:lvlJc w:val="left"/>
      <w:lvlText w:val="(%1)"/>
      <w:numFmt w:val="lowerLetter"/>
      <w:start w:val="2"/>
    </w:lvl>
  </w:abstractNum>
  <w:abstractNum w:abstractNumId="447">
    <w:nsid w:val="7237AA96"/>
    <w:multiLevelType w:val="hybridMultilevel"/>
    <w:lvl w:ilvl="0">
      <w:lvlJc w:val="left"/>
      <w:lvlText w:val="(%1)"/>
      <w:numFmt w:val="lowerLetter"/>
      <w:start w:val="1"/>
    </w:lvl>
  </w:abstractNum>
  <w:abstractNum w:abstractNumId="448">
    <w:nsid w:val="5B1FBC2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9">
    <w:nsid w:val="33DFCCE8"/>
    <w:multiLevelType w:val="hybridMultilevel"/>
    <w:lvl w:ilvl="0">
      <w:lvlJc w:val="left"/>
      <w:lvlText w:val="(%1)"/>
      <w:numFmt w:val="lowerLetter"/>
      <w:start w:val="2"/>
    </w:lvl>
    <w:lvl w:ilvl="1">
      <w:lvlJc w:val="left"/>
      <w:lvlText w:val="(%2)"/>
      <w:numFmt w:val="lowerRoman"/>
      <w:start w:val="1"/>
    </w:lvl>
  </w:abstractNum>
  <w:abstractNum w:abstractNumId="450">
    <w:nsid w:val="18C45E15"/>
    <w:multiLevelType w:val="hybridMultilevel"/>
    <w:lvl w:ilvl="0">
      <w:lvlJc w:val="left"/>
      <w:lvlText w:val="(%1)"/>
      <w:numFmt w:val="lowerLetter"/>
      <w:start w:val="1"/>
    </w:lvl>
  </w:abstractNum>
  <w:abstractNum w:abstractNumId="451">
    <w:nsid w:val="6B431F25"/>
    <w:multiLevelType w:val="hybridMultilevel"/>
    <w:lvl w:ilvl="0">
      <w:lvlJc w:val="left"/>
      <w:lvlText w:val="(%1)"/>
      <w:numFmt w:val="lowerLetter"/>
      <w:start w:val="1"/>
    </w:lvl>
  </w:abstractNum>
  <w:abstractNum w:abstractNumId="452">
    <w:nsid w:val="13CD8DCB"/>
    <w:multiLevelType w:val="hybridMultilevel"/>
    <w:lvl w:ilvl="0">
      <w:lvlJc w:val="left"/>
      <w:lvlText w:val="%1"/>
      <w:numFmt w:val="lowerLetter"/>
      <w:start w:val="1"/>
    </w:lvl>
    <w:lvl w:ilvl="1">
      <w:lvlJc w:val="left"/>
      <w:lvlText w:val="(%2)"/>
      <w:numFmt w:val="lowerRoman"/>
      <w:start w:val="1"/>
    </w:lvl>
  </w:abstractNum>
  <w:abstractNum w:abstractNumId="453">
    <w:nsid w:val="563A1A5C"/>
    <w:multiLevelType w:val="hybridMultilevel"/>
    <w:lvl w:ilvl="0">
      <w:lvlJc w:val="left"/>
      <w:lvlText w:val="(%1)"/>
      <w:numFmt w:val="lowerLetter"/>
      <w:start w:val="2"/>
    </w:lvl>
    <w:lvl w:ilvl="1">
      <w:lvlJc w:val="left"/>
      <w:lvlText w:val="(%2)"/>
      <w:numFmt w:val="lowerRoman"/>
      <w:start w:val="1"/>
    </w:lvl>
  </w:abstractNum>
  <w:abstractNum w:abstractNumId="454">
    <w:nsid w:val="2973F88F"/>
    <w:multiLevelType w:val="hybridMultilevel"/>
    <w:lvl w:ilvl="0">
      <w:lvlJc w:val="left"/>
      <w:lvlText w:val="%1."/>
      <w:numFmt w:val="decimal"/>
      <w:start w:val="39"/>
    </w:lvl>
  </w:abstractNum>
  <w:abstractNum w:abstractNumId="455">
    <w:nsid w:val="2C70EDAE"/>
    <w:multiLevelType w:val="hybridMultilevel"/>
    <w:lvl w:ilvl="0">
      <w:lvlJc w:val="left"/>
      <w:lvlText w:val="(%1)"/>
      <w:numFmt w:val="lowerLetter"/>
      <w:start w:val="1"/>
    </w:lvl>
  </w:abstractNum>
  <w:abstractNum w:abstractNumId="456">
    <w:nsid w:val="44296C6D"/>
    <w:multiLevelType w:val="hybridMultilevel"/>
    <w:lvl w:ilvl="0">
      <w:lvlJc w:val="left"/>
      <w:lvlText w:val="(%1)"/>
      <w:numFmt w:val="lowerLetter"/>
      <w:start w:val="2"/>
    </w:lvl>
    <w:lvl w:ilvl="1">
      <w:lvlJc w:val="left"/>
      <w:lvlText w:val="(%2)"/>
      <w:numFmt w:val="lowerRoman"/>
      <w:start w:val="1"/>
    </w:lvl>
  </w:abstractNum>
  <w:abstractNum w:abstractNumId="457">
    <w:nsid w:val="3A86D445"/>
    <w:multiLevelType w:val="hybridMultilevel"/>
    <w:lvl w:ilvl="0">
      <w:lvlJc w:val="left"/>
      <w:lvlText w:val="%1"/>
      <w:numFmt w:val="lowerLetter"/>
      <w:start w:val="1"/>
    </w:lvl>
    <w:lvl w:ilvl="1">
      <w:lvlJc w:val="left"/>
      <w:lvlText w:val="(%2)"/>
      <w:numFmt w:val="upperLetter"/>
      <w:start w:val="1"/>
    </w:lvl>
  </w:abstractNum>
  <w:abstractNum w:abstractNumId="458">
    <w:nsid w:val="51F79246"/>
    <w:multiLevelType w:val="hybridMultilevel"/>
    <w:lvl w:ilvl="0">
      <w:lvlJc w:val="left"/>
      <w:lvlText w:val="(%1)"/>
      <w:numFmt w:val="lowerLetter"/>
      <w:start w:val="3"/>
    </w:lvl>
    <w:lvl w:ilvl="1">
      <w:lvlJc w:val="left"/>
      <w:lvlText w:val="%2"/>
      <w:numFmt w:val="upperLetter"/>
      <w:start w:val="1"/>
    </w:lvl>
  </w:abstractNum>
  <w:abstractNum w:abstractNumId="459">
    <w:nsid w:val="5BC9A827"/>
    <w:multiLevelType w:val="hybridMultilevel"/>
    <w:lvl w:ilvl="0">
      <w:lvlJc w:val="left"/>
      <w:lvlText w:val="(%1)"/>
      <w:numFmt w:val="lowerLetter"/>
      <w:start w:val="1"/>
    </w:lvl>
    <w:lvl w:ilvl="1">
      <w:lvlJc w:val="left"/>
      <w:lvlText w:val="(%2)"/>
      <w:numFmt w:val="lowerRoman"/>
      <w:start w:val="1"/>
    </w:lvl>
  </w:abstractNum>
  <w:abstractNum w:abstractNumId="460">
    <w:nsid w:val="3AE37D86"/>
    <w:multiLevelType w:val="hybridMultilevel"/>
    <w:lvl w:ilvl="0">
      <w:lvlJc w:val="left"/>
      <w:lvlText w:val="(%1)"/>
      <w:numFmt w:val="lowerRoman"/>
      <w:start w:val="5"/>
    </w:lvl>
  </w:abstractNum>
  <w:abstractNum w:abstractNumId="461">
    <w:nsid w:val="45440FE5"/>
    <w:multiLevelType w:val="hybridMultilevel"/>
    <w:lvl w:ilvl="0">
      <w:lvlJc w:val="left"/>
      <w:lvlText w:val="(%1)"/>
      <w:numFmt w:val="lowerLetter"/>
      <w:start w:val="2"/>
    </w:lvl>
  </w:abstractNum>
  <w:abstractNum w:abstractNumId="462">
    <w:nsid w:val="BF783F"/>
    <w:multiLevelType w:val="hybridMultilevel"/>
    <w:lvl w:ilvl="0">
      <w:lvlJc w:val="left"/>
      <w:lvlText w:val="(%1)"/>
      <w:numFmt w:val="lowerLetter"/>
      <w:start w:val="1"/>
    </w:lvl>
  </w:abstractNum>
  <w:abstractNum w:abstractNumId="463">
    <w:nsid w:val="22643EA9"/>
    <w:multiLevelType w:val="hybridMultilevel"/>
    <w:lvl w:ilvl="0">
      <w:lvlJc w:val="left"/>
      <w:lvlText w:val="%1"/>
      <w:numFmt w:val="decimal"/>
      <w:start w:val="1"/>
    </w:lvl>
    <w:lvl w:ilvl="1">
      <w:lvlJc w:val="left"/>
      <w:lvlText w:val="(%2)"/>
      <w:numFmt w:val="lowerLetter"/>
      <w:start w:val="1"/>
    </w:lvl>
  </w:abstractNum>
  <w:abstractNum w:abstractNumId="464">
    <w:nsid w:val="1887578D"/>
    <w:multiLevelType w:val="hybridMultilevel"/>
    <w:lvl w:ilvl="0">
      <w:lvlJc w:val="left"/>
      <w:lvlText w:val="%1."/>
      <w:numFmt w:val="decimal"/>
      <w:start w:val="40"/>
    </w:lvl>
    <w:lvl w:ilvl="1">
      <w:lvlJc w:val="left"/>
      <w:lvlText w:val="%2"/>
      <w:numFmt w:val="lowerLetter"/>
      <w:start w:val="1"/>
    </w:lvl>
  </w:abstractNum>
  <w:abstractNum w:abstractNumId="465">
    <w:nsid w:val="58C05B8A"/>
    <w:multiLevelType w:val="hybridMultilevel"/>
    <w:lvl w:ilvl="0">
      <w:lvlJc w:val="left"/>
      <w:lvlText w:val="(%1)"/>
      <w:numFmt w:val="lowerLetter"/>
      <w:start w:val="1"/>
    </w:lvl>
    <w:lvl w:ilvl="1">
      <w:lvlJc w:val="left"/>
      <w:lvlText w:val="(%2)"/>
      <w:numFmt w:val="lowerRoman"/>
      <w:start w:val="1"/>
    </w:lvl>
  </w:abstractNum>
  <w:abstractNum w:abstractNumId="466">
    <w:nsid w:val="38D82E71"/>
    <w:multiLevelType w:val="hybridMultilevel"/>
    <w:lvl w:ilvl="0">
      <w:lvlJc w:val="left"/>
      <w:lvlText w:val="(%1)"/>
      <w:numFmt w:val="lowerRoman"/>
      <w:start w:val="2"/>
    </w:lvl>
  </w:abstractNum>
  <w:abstractNum w:abstractNumId="467">
    <w:nsid w:val="1E41098A"/>
    <w:multiLevelType w:val="hybridMultilevel"/>
    <w:lvl w:ilvl="0">
      <w:lvlJc w:val="left"/>
      <w:lvlText w:val="(%1)"/>
      <w:numFmt w:val="lowerLetter"/>
      <w:start w:val="1"/>
    </w:lvl>
    <w:lvl w:ilvl="1">
      <w:lvlJc w:val="left"/>
      <w:lvlText w:val="(%2)"/>
      <w:numFmt w:val="lowerRoman"/>
      <w:start w:val="1"/>
    </w:lvl>
  </w:abstractNum>
  <w:abstractNum w:abstractNumId="468">
    <w:nsid w:val="5398582C"/>
    <w:multiLevelType w:val="hybridMultilevel"/>
    <w:lvl w:ilvl="0">
      <w:lvlJc w:val="left"/>
      <w:lvlText w:val="%1."/>
      <w:numFmt w:val="decimal"/>
      <w:start w:val="41"/>
    </w:lvl>
    <w:lvl w:ilvl="1">
      <w:lvlJc w:val="left"/>
      <w:lvlText w:val="(%2)"/>
      <w:numFmt w:val="lowerLetter"/>
      <w:start w:val="1"/>
    </w:lvl>
  </w:abstractNum>
  <w:abstractNum w:abstractNumId="469">
    <w:nsid w:val="1C0D4475"/>
    <w:multiLevelType w:val="hybridMultilevel"/>
    <w:lvl w:ilvl="0">
      <w:lvlJc w:val="left"/>
      <w:lvlText w:val="(%1)"/>
      <w:numFmt w:val="lowerLetter"/>
      <w:start w:val="2"/>
    </w:lvl>
    <w:lvl w:ilvl="1">
      <w:lvlJc w:val="left"/>
      <w:lvlText w:val="(%2)"/>
      <w:numFmt w:val="lowerRoman"/>
      <w:start w:val="1"/>
    </w:lvl>
  </w:abstractNum>
  <w:abstractNum w:abstractNumId="470">
    <w:nsid w:val="2CB6A6A4"/>
    <w:multiLevelType w:val="hybridMultilevel"/>
    <w:lvl w:ilvl="0">
      <w:lvlJc w:val="left"/>
      <w:lvlText w:val="%1."/>
      <w:numFmt w:val="decimal"/>
      <w:start w:val="42"/>
    </w:lvl>
  </w:abstractNum>
  <w:abstractNum w:abstractNumId="471">
    <w:nsid w:val="41D646BC"/>
    <w:multiLevelType w:val="hybridMultilevel"/>
    <w:lvl w:ilvl="0">
      <w:lvlJc w:val="left"/>
      <w:lvlText w:val="(%1)"/>
      <w:numFmt w:val="lowerLetter"/>
      <w:start w:val="1"/>
    </w:lvl>
    <w:lvl w:ilvl="1">
      <w:lvlJc w:val="left"/>
      <w:lvlText w:val="(%2)"/>
      <w:numFmt w:val="lowerRoman"/>
      <w:start w:val="1"/>
    </w:lvl>
  </w:abstractNum>
  <w:abstractNum w:abstractNumId="472">
    <w:nsid w:val="3694A76A"/>
    <w:multiLevelType w:val="hybridMultilevel"/>
    <w:lvl w:ilvl="0">
      <w:lvlJc w:val="left"/>
      <w:lvlText w:val="(%1)"/>
      <w:numFmt w:val="lowerLetter"/>
      <w:start w:val="1"/>
    </w:lvl>
  </w:abstractNum>
  <w:abstractNum w:abstractNumId="473">
    <w:nsid w:val="2BF876EE"/>
    <w:multiLevelType w:val="hybridMultilevel"/>
    <w:lvl w:ilvl="0">
      <w:lvlJc w:val="left"/>
      <w:lvlText w:val="(%1)"/>
      <w:numFmt w:val="lowerLetter"/>
      <w:start w:val="1"/>
    </w:lvl>
    <w:lvl w:ilvl="1">
      <w:lvlJc w:val="left"/>
      <w:lvlText w:val="(%2)"/>
      <w:numFmt w:val="lowerRoman"/>
      <w:start w:val="1"/>
    </w:lvl>
  </w:abstractNum>
  <w:abstractNum w:abstractNumId="474">
    <w:nsid w:val="675ADBA"/>
    <w:multiLevelType w:val="hybridMultilevel"/>
    <w:lvl w:ilvl="0">
      <w:lvlJc w:val="left"/>
      <w:lvlText w:val="%1"/>
      <w:numFmt w:val="decimal"/>
      <w:start w:val="1"/>
    </w:lvl>
    <w:lvl w:ilvl="1">
      <w:lvlJc w:val="left"/>
      <w:lvlText w:val="(%2)"/>
      <w:numFmt w:val="lowerRoman"/>
      <w:start w:val="2"/>
    </w:lvl>
  </w:abstractNum>
  <w:abstractNum w:abstractNumId="475">
    <w:nsid w:val="C12AC7F"/>
    <w:multiLevelType w:val="hybridMultilevel"/>
    <w:lvl w:ilvl="0">
      <w:lvlJc w:val="left"/>
      <w:lvlText w:val="%1."/>
      <w:numFmt w:val="decimal"/>
      <w:start w:val="43"/>
    </w:lvl>
    <w:lvl w:ilvl="1">
      <w:lvlJc w:val="left"/>
      <w:lvlText w:val="%2"/>
      <w:numFmt w:val="lowerRoman"/>
      <w:start w:val="1"/>
    </w:lvl>
  </w:abstractNum>
  <w:abstractNum w:abstractNumId="476">
    <w:nsid w:val="6798F039"/>
    <w:multiLevelType w:val="hybridMultilevel"/>
    <w:lvl w:ilvl="0">
      <w:lvlJc w:val="left"/>
      <w:lvlText w:val="(%1)"/>
      <w:numFmt w:val="lowerLetter"/>
      <w:start w:val="1"/>
    </w:lvl>
    <w:lvl w:ilvl="1">
      <w:lvlJc w:val="left"/>
      <w:lvlText w:val="(%2)"/>
      <w:numFmt w:val="lowerRoman"/>
      <w:start w:val="1"/>
    </w:lvl>
  </w:abstractNum>
  <w:abstractNum w:abstractNumId="477">
    <w:nsid w:val="70837C02"/>
    <w:multiLevelType w:val="hybridMultilevel"/>
    <w:lvl w:ilvl="0">
      <w:lvlJc w:val="left"/>
      <w:lvlText w:val="(%1)"/>
      <w:numFmt w:val="lowerLetter"/>
      <w:start w:val="1"/>
    </w:lvl>
  </w:abstractNum>
  <w:abstractNum w:abstractNumId="478">
    <w:nsid w:val="7E4A5715"/>
    <w:multiLevelType w:val="hybridMultilevel"/>
    <w:lvl w:ilvl="0">
      <w:lvlJc w:val="left"/>
      <w:lvlText w:val="(%1)"/>
      <w:numFmt w:val="lowerLetter"/>
      <w:start w:val="1"/>
    </w:lvl>
  </w:abstractNum>
  <w:abstractNum w:abstractNumId="479">
    <w:nsid w:val="42B8AC67"/>
    <w:multiLevelType w:val="hybridMultilevel"/>
    <w:lvl w:ilvl="0">
      <w:lvlJc w:val="left"/>
      <w:lvlText w:val="(%1)"/>
      <w:numFmt w:val="lowerLetter"/>
      <w:start w:val="5"/>
    </w:lvl>
    <w:lvl w:ilvl="1">
      <w:lvlJc w:val="left"/>
      <w:lvlText w:val="(%2)"/>
      <w:numFmt w:val="lowerRoman"/>
      <w:start w:val="1"/>
    </w:lvl>
  </w:abstractNum>
  <w:abstractNum w:abstractNumId="480">
    <w:nsid w:val="246348EA"/>
    <w:multiLevelType w:val="hybridMultilevel"/>
    <w:lvl w:ilvl="0">
      <w:lvlJc w:val="left"/>
      <w:lvlText w:val="(%1)"/>
      <w:numFmt w:val="lowerLetter"/>
      <w:start w:val="1"/>
    </w:lvl>
    <w:lvl w:ilvl="1">
      <w:lvlJc w:val="left"/>
      <w:lvlText w:val="(%2)"/>
      <w:numFmt w:val="lowerRoman"/>
      <w:start w:val="1"/>
    </w:lvl>
  </w:abstractNum>
  <w:abstractNum w:abstractNumId="481">
    <w:nsid w:val="170EB52B"/>
    <w:multiLevelType w:val="hybridMultilevel"/>
    <w:lvl w:ilvl="0">
      <w:lvlJc w:val="left"/>
      <w:lvlText w:val="(%1)"/>
      <w:numFmt w:val="lowerLetter"/>
      <w:start w:val="2"/>
    </w:lvl>
  </w:abstractNum>
  <w:abstractNum w:abstractNumId="482">
    <w:nsid w:val="2DFBCB8C"/>
    <w:multiLevelType w:val="hybridMultilevel"/>
    <w:lvl w:ilvl="0">
      <w:lvlJc w:val="left"/>
      <w:lvlText w:val="(%1)"/>
      <w:numFmt w:val="lowerLetter"/>
      <w:start w:val="1"/>
    </w:lvl>
    <w:lvl w:ilvl="1">
      <w:lvlJc w:val="left"/>
      <w:lvlText w:val="(%2)"/>
      <w:numFmt w:val="lowerRoman"/>
      <w:start w:val="1"/>
    </w:lvl>
  </w:abstractNum>
  <w:abstractNum w:abstractNumId="483">
    <w:nsid w:val="3830D6B6"/>
    <w:multiLevelType w:val="hybridMultilevel"/>
    <w:lvl w:ilvl="0">
      <w:lvlJc w:val="left"/>
      <w:lvlText w:val="(%1)"/>
      <w:numFmt w:val="lowerLetter"/>
      <w:start w:val="3"/>
    </w:lvl>
  </w:abstractNum>
  <w:abstractNum w:abstractNumId="484">
    <w:nsid w:val="6D48CF87"/>
    <w:multiLevelType w:val="hybridMultilevel"/>
    <w:lvl w:ilvl="0">
      <w:lvlJc w:val="left"/>
      <w:lvlText w:val="(%1)"/>
      <w:numFmt w:val="lowerLetter"/>
      <w:start w:val="1"/>
    </w:lvl>
    <w:lvl w:ilvl="1">
      <w:lvlJc w:val="left"/>
      <w:lvlText w:val="(%2)"/>
      <w:numFmt w:val="lowerRoman"/>
      <w:start w:val="1"/>
    </w:lvl>
  </w:abstractNum>
  <w:abstractNum w:abstractNumId="485">
    <w:nsid w:val="576FC41B"/>
    <w:multiLevelType w:val="hybridMultilevel"/>
    <w:lvl w:ilvl="0">
      <w:lvlJc w:val="left"/>
      <w:lvlText w:val="%1."/>
      <w:numFmt w:val="decimal"/>
      <w:start w:val="44"/>
    </w:lvl>
  </w:abstractNum>
  <w:abstractNum w:abstractNumId="486">
    <w:nsid w:val="64A1C464"/>
    <w:multiLevelType w:val="hybridMultilevel"/>
    <w:lvl w:ilvl="0">
      <w:lvlJc w:val="left"/>
      <w:lvlText w:val="(%1)"/>
      <w:numFmt w:val="lowerLetter"/>
      <w:start w:val="1"/>
    </w:lvl>
  </w:abstractNum>
  <w:abstractNum w:abstractNumId="487">
    <w:nsid w:val="31723BF5"/>
    <w:multiLevelType w:val="hybridMultilevel"/>
    <w:lvl w:ilvl="0">
      <w:lvlJc w:val="left"/>
      <w:lvlText w:val="(%1)"/>
      <w:numFmt w:val="lowerLetter"/>
      <w:start w:val="1"/>
    </w:lvl>
    <w:lvl w:ilvl="1">
      <w:lvlJc w:val="left"/>
      <w:lvlText w:val="(%2)"/>
      <w:numFmt w:val="lowerRoman"/>
      <w:start w:val="1"/>
    </w:lvl>
  </w:abstractNum>
  <w:abstractNum w:abstractNumId="488">
    <w:nsid w:val="11F69861"/>
    <w:multiLevelType w:val="hybridMultilevel"/>
    <w:lvl w:ilvl="0">
      <w:lvlJc w:val="left"/>
      <w:lvlText w:val="%1."/>
      <w:numFmt w:val="decimal"/>
      <w:start w:val="46"/>
    </w:lvl>
  </w:abstractNum>
  <w:abstractNum w:abstractNumId="489">
    <w:nsid w:val="369956AB"/>
    <w:multiLevelType w:val="hybridMultilevel"/>
    <w:lvl w:ilvl="0">
      <w:lvlJc w:val="left"/>
      <w:lvlText w:val="%1."/>
      <w:numFmt w:val="decimal"/>
      <w:start w:val="1"/>
    </w:lvl>
  </w:abstractNum>
  <w:abstractNum w:abstractNumId="490">
    <w:nsid w:val="D3BE41C"/>
    <w:multiLevelType w:val="hybridMultilevel"/>
    <w:lvl w:ilvl="0">
      <w:lvlJc w:val="left"/>
      <w:lvlText w:val="(%1)"/>
      <w:numFmt w:val="lowerLetter"/>
      <w:start w:val="1"/>
    </w:lvl>
    <w:lvl w:ilvl="1">
      <w:lvlJc w:val="left"/>
      <w:lvlText w:val="(%2)"/>
      <w:numFmt w:val="lowerRoman"/>
      <w:start w:val="1"/>
    </w:lvl>
  </w:abstractNum>
  <w:abstractNum w:abstractNumId="491">
    <w:nsid w:val="4CDA15E7"/>
    <w:multiLevelType w:val="hybridMultilevel"/>
    <w:lvl w:ilvl="0">
      <w:lvlJc w:val="left"/>
      <w:lvlText w:val="%1."/>
      <w:numFmt w:val="decimal"/>
      <w:start w:val="2"/>
    </w:lvl>
  </w:abstractNum>
  <w:abstractNum w:abstractNumId="492">
    <w:nsid w:val="7BDD6690"/>
    <w:multiLevelType w:val="hybridMultilevel"/>
    <w:lvl w:ilvl="0">
      <w:lvlJc w:val="left"/>
      <w:lvlText w:val="(%1)"/>
      <w:numFmt w:val="lowerLetter"/>
      <w:start w:val="1"/>
    </w:lvl>
  </w:abstractNum>
  <w:abstractNum w:abstractNumId="493">
    <w:nsid w:val="DFB5C5B"/>
    <w:multiLevelType w:val="hybridMultilevel"/>
    <w:lvl w:ilvl="0">
      <w:lvlJc w:val="left"/>
      <w:lvlText w:val="(%1)"/>
      <w:numFmt w:val="lowerLetter"/>
      <w:start w:val="2"/>
    </w:lvl>
    <w:lvl w:ilvl="1">
      <w:lvlJc w:val="left"/>
      <w:lvlText w:val="(%2)"/>
      <w:numFmt w:val="lowerRoman"/>
      <w:start w:val="1"/>
    </w:lvl>
  </w:abstractNum>
  <w:abstractNum w:abstractNumId="494">
    <w:nsid w:val="6F3E5490"/>
    <w:multiLevelType w:val="hybridMultilevel"/>
    <w:lvl w:ilvl="0">
      <w:lvlJc w:val="left"/>
      <w:lvlText w:val="%1."/>
      <w:numFmt w:val="decimal"/>
      <w:start w:val="3"/>
    </w:lvl>
  </w:abstractNum>
  <w:abstractNum w:abstractNumId="495">
    <w:nsid w:val="1464BE1E"/>
    <w:multiLevelType w:val="hybridMultilevel"/>
    <w:lvl w:ilvl="0">
      <w:lvlJc w:val="left"/>
      <w:lvlText w:val="(%1)"/>
      <w:numFmt w:val="lowerLetter"/>
      <w:start w:val="1"/>
    </w:lvl>
  </w:abstractNum>
  <w:abstractNum w:abstractNumId="496">
    <w:nsid w:val="66BBB7E5"/>
    <w:multiLevelType w:val="hybridMultilevel"/>
    <w:lvl w:ilvl="0">
      <w:lvlJc w:val="left"/>
      <w:lvlText w:val="%1."/>
      <w:numFmt w:val="decimal"/>
      <w:start w:val="4"/>
    </w:lvl>
  </w:abstractNum>
  <w:abstractNum w:abstractNumId="497">
    <w:nsid w:val="28168302"/>
    <w:multiLevelType w:val="hybridMultilevel"/>
    <w:lvl w:ilvl="0">
      <w:lvlJc w:val="left"/>
      <w:lvlText w:val="(%1)"/>
      <w:numFmt w:val="lowerLetter"/>
      <w:start w:val="1"/>
    </w:lvl>
  </w:abstractNum>
  <w:abstractNum w:abstractNumId="498">
    <w:nsid w:val="32A5C7A8"/>
    <w:multiLevelType w:val="hybridMultilevel"/>
    <w:lvl w:ilvl="0">
      <w:lvlJc w:val="left"/>
      <w:lvlText w:val="(%1)"/>
      <w:numFmt w:val="lowerLetter"/>
      <w:start w:val="4"/>
    </w:lvl>
  </w:abstractNum>
  <w:abstractNum w:abstractNumId="499">
    <w:nsid w:val="3A541011"/>
    <w:multiLevelType w:val="hybridMultilevel"/>
    <w:lvl w:ilvl="0">
      <w:lvlJc w:val="left"/>
      <w:lvlText w:val="%1."/>
      <w:numFmt w:val="decimal"/>
      <w:start w:val="5"/>
    </w:lvl>
  </w:abstractNum>
  <w:abstractNum w:abstractNumId="500">
    <w:nsid w:val="4423C777"/>
    <w:multiLevelType w:val="hybridMultilevel"/>
    <w:lvl w:ilvl="0">
      <w:lvlJc w:val="left"/>
      <w:lvlText w:val="(%1)"/>
      <w:numFmt w:val="lowerLetter"/>
      <w:start w:val="1"/>
    </w:lvl>
  </w:abstractNum>
  <w:abstractNum w:abstractNumId="501">
    <w:nsid w:val="5F5C6E4D"/>
    <w:multiLevelType w:val="hybridMultilevel"/>
    <w:lvl w:ilvl="0">
      <w:lvlJc w:val="left"/>
      <w:lvlText w:val="%1."/>
      <w:numFmt w:val="decimal"/>
      <w:start w:val="1"/>
    </w:lvl>
  </w:abstractNum>
  <w:abstractNum w:abstractNumId="502">
    <w:nsid w:val="7C2A56CD"/>
    <w:multiLevelType w:val="hybridMultilevel"/>
    <w:lvl w:ilvl="0">
      <w:lvlJc w:val="left"/>
      <w:lvlText w:val="%1."/>
      <w:numFmt w:val="decimal"/>
      <w:start w:val="3"/>
    </w:lvl>
  </w:abstractNum>
  <w:abstractNum w:abstractNumId="503">
    <w:nsid w:val="7AB86EE1"/>
    <w:multiLevelType w:val="hybridMultilevel"/>
    <w:lvl w:ilvl="0">
      <w:lvlJc w:val="left"/>
      <w:lvlText w:val="%1."/>
      <w:numFmt w:val="decimal"/>
      <w:start w:val="1"/>
    </w:lvl>
  </w:abstractNum>
  <w:abstractNum w:abstractNumId="504">
    <w:nsid w:val="B54E53B"/>
    <w:multiLevelType w:val="hybridMultilevel"/>
    <w:lvl w:ilvl="0">
      <w:lvlJc w:val="left"/>
      <w:lvlText w:val="%1."/>
      <w:numFmt w:val="decimal"/>
      <w:start w:val="4"/>
    </w:lvl>
  </w:abstractNum>
  <w:abstractNum w:abstractNumId="505">
    <w:nsid w:val="2A00487"/>
    <w:multiLevelType w:val="hybridMultilevel"/>
    <w:lvl w:ilvl="0">
      <w:lvlJc w:val="left"/>
      <w:lvlText w:val="1"/>
      <w:numFmt w:val="bullet"/>
      <w:start w:val="1"/>
    </w:lvl>
  </w:abstractNum>
  <w:abstractNum w:abstractNumId="506">
    <w:nsid w:val="6CB1B60"/>
    <w:multiLevelType w:val="hybridMultilevel"/>
    <w:lvl w:ilvl="0">
      <w:lvlJc w:val="left"/>
      <w:lvlText w:val="%1."/>
      <w:numFmt w:val="decimal"/>
      <w:start w:val="1"/>
    </w:lvl>
  </w:abstractNum>
  <w:abstractNum w:abstractNumId="507">
    <w:nsid w:val="72EDD574"/>
    <w:multiLevelType w:val="hybridMultilevel"/>
    <w:lvl w:ilvl="0">
      <w:lvlJc w:val="left"/>
      <w:lvlText w:val="(%1)"/>
      <w:numFmt w:val="lowerLetter"/>
      <w:start w:val="1"/>
    </w:lvl>
  </w:abstractNum>
  <w:abstractNum w:abstractNumId="508">
    <w:nsid w:val="7323808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09">
    <w:nsid w:val="5157276"/>
    <w:multiLevelType w:val="hybridMultilevel"/>
    <w:lvl w:ilvl="0">
      <w:lvlJc w:val="left"/>
      <w:lvlText w:val="2"/>
      <w:numFmt w:val="bullet"/>
      <w:start w:val="1"/>
    </w:lvl>
  </w:abstractNum>
  <w:abstractNum w:abstractNumId="510">
    <w:nsid w:val="35A681DB"/>
    <w:multiLevelType w:val="hybridMultilevel"/>
    <w:lvl w:ilvl="0">
      <w:lvlJc w:val="left"/>
      <w:lvlText w:val="%1"/>
      <w:numFmt w:val="decimal"/>
      <w:start w:val="1"/>
    </w:lvl>
    <w:lvl w:ilvl="1">
      <w:lvlJc w:val="left"/>
      <w:lvlText w:val="(%2)"/>
      <w:numFmt w:val="lowerLetter"/>
      <w:start w:val="3"/>
    </w:lvl>
  </w:abstractNum>
  <w:abstractNum w:abstractNumId="511">
    <w:nsid w:val="1786C974"/>
    <w:multiLevelType w:val="hybridMultilevel"/>
    <w:lvl w:ilvl="0">
      <w:lvlJc w:val="left"/>
      <w:lvlText w:val="%1."/>
      <w:numFmt w:val="decimal"/>
      <w:start w:val="6"/>
    </w:lvl>
    <w:lvl w:ilvl="1">
      <w:lvlJc w:val="left"/>
      <w:lvlText w:val="%2"/>
      <w:numFmt w:val="lowerLetter"/>
      <w:start w:val="1"/>
    </w:lvl>
  </w:abstractNum>
  <w:abstractNum w:abstractNumId="512">
    <w:nsid w:val="1C2427A1"/>
    <w:multiLevelType w:val="hybridMultilevel"/>
    <w:lvl w:ilvl="0">
      <w:lvlJc w:val="left"/>
      <w:lvlText w:val="%1."/>
      <w:numFmt w:val="decimal"/>
      <w:start w:val="8"/>
    </w:lvl>
  </w:abstractNum>
  <w:abstractNum w:abstractNumId="513">
    <w:nsid w:val="63A24D68"/>
    <w:multiLevelType w:val="hybridMultilevel"/>
    <w:lvl w:ilvl="0">
      <w:lvlJc w:val="left"/>
      <w:lvlText w:val="3"/>
      <w:numFmt w:val="bullet"/>
      <w:start w:val="1"/>
    </w:lvl>
  </w:abstractNum>
  <w:abstractNum w:abstractNumId="514">
    <w:nsid w:val="4FB7A02A"/>
    <w:multiLevelType w:val="hybridMultilevel"/>
    <w:lvl w:ilvl="0">
      <w:lvlJc w:val="left"/>
      <w:lvlText w:val="4"/>
      <w:numFmt w:val="bullet"/>
      <w:start w:val="1"/>
    </w:lvl>
  </w:abstractNum>
  <w:abstractNum w:abstractNumId="515">
    <w:nsid w:val="96CF728"/>
    <w:multiLevelType w:val="hybridMultilevel"/>
    <w:lvl w:ilvl="0">
      <w:lvlJc w:val="left"/>
      <w:lvlText w:val="5"/>
      <w:numFmt w:val="bullet"/>
      <w:start w:val="1"/>
    </w:lvl>
  </w:abstractNum>
  <w:abstractNum w:abstractNumId="516">
    <w:nsid w:val="3B121183"/>
    <w:multiLevelType w:val="hybridMultilevel"/>
    <w:lvl w:ilvl="0">
      <w:lvlJc w:val="left"/>
      <w:lvlText w:val="6"/>
      <w:numFmt w:val="bullet"/>
      <w:start w:val="1"/>
    </w:lvl>
  </w:abstractNum>
  <w:abstractNum w:abstractNumId="517">
    <w:nsid w:val="3459648F"/>
    <w:multiLevelType w:val="hybridMultilevel"/>
    <w:lvl w:ilvl="0">
      <w:lvlJc w:val="left"/>
      <w:lvlText w:val="7"/>
      <w:numFmt w:val="bullet"/>
      <w:start w:val="1"/>
    </w:lvl>
  </w:abstractNum>
  <w:abstractNum w:abstractNumId="518">
    <w:nsid w:val="3ADF331D"/>
    <w:multiLevelType w:val="hybridMultilevel"/>
    <w:lvl w:ilvl="0">
      <w:lvlJc w:val="left"/>
      <w:lvlText w:val="%1."/>
      <w:numFmt w:val="decimal"/>
      <w:start w:val="14"/>
    </w:lvl>
    <w:lvl w:ilvl="1">
      <w:lvlJc w:val="left"/>
      <w:lvlText w:val="(%2)"/>
      <w:numFmt w:val="lowerRoman"/>
      <w:start w:val="1"/>
    </w:lvl>
  </w:abstractNum>
  <w:abstractNum w:abstractNumId="519">
    <w:nsid w:val="4D08A9E4"/>
    <w:multiLevelType w:val="hybridMultilevel"/>
    <w:lvl w:ilvl="0">
      <w:lvlJc w:val="left"/>
      <w:lvlText w:val="%1."/>
      <w:numFmt w:val="decimal"/>
      <w:start w:val="16"/>
    </w:lvl>
  </w:abstractNum>
  <w:abstractNum w:abstractNumId="520">
    <w:nsid w:val="6AF2BB3A"/>
    <w:multiLevelType w:val="hybridMultilevel"/>
    <w:lvl w:ilvl="0">
      <w:lvlJc w:val="left"/>
      <w:lvlText w:val="8"/>
      <w:numFmt w:val="bullet"/>
      <w:start w:val="1"/>
    </w:lvl>
  </w:abstractNum>
  <w:abstractNum w:abstractNumId="521">
    <w:nsid w:val="481B1739"/>
    <w:multiLevelType w:val="hybridMultilevel"/>
    <w:lvl w:ilvl="0">
      <w:lvlJc w:val="left"/>
      <w:lvlText w:val="%1."/>
      <w:numFmt w:val="decimal"/>
      <w:start w:val="1"/>
    </w:lvl>
  </w:abstractNum>
  <w:abstractNum w:abstractNumId="522">
    <w:nsid w:val="19E2BFCC"/>
    <w:multiLevelType w:val="hybridMultilevel"/>
    <w:lvl w:ilvl="0">
      <w:lvlJc w:val="left"/>
      <w:lvlText w:val="(%1)"/>
      <w:numFmt w:val="lowerLetter"/>
      <w:start w:val="1"/>
    </w:lvl>
  </w:abstractNum>
  <w:abstractNum w:abstractNumId="523">
    <w:nsid w:val="66D021CA"/>
    <w:multiLevelType w:val="hybridMultilevel"/>
    <w:lvl w:ilvl="0">
      <w:lvlJc w:val="left"/>
      <w:lvlText w:val="%1."/>
      <w:numFmt w:val="decimal"/>
      <w:start w:val="4"/>
    </w:lvl>
    <w:lvl w:ilvl="1">
      <w:lvlJc w:val="left"/>
      <w:lvlText w:val="(%2)"/>
      <w:numFmt w:val="lowerLetter"/>
      <w:start w:val="1"/>
    </w:lvl>
  </w:abstractNum>
  <w:abstractNum w:abstractNumId="524">
    <w:nsid w:val="56167394"/>
    <w:multiLevelType w:val="hybridMultilevel"/>
    <w:lvl w:ilvl="0">
      <w:lvlJc w:val="left"/>
      <w:lvlText w:val="9"/>
      <w:numFmt w:val="bullet"/>
      <w:start w:val="1"/>
    </w:lvl>
  </w:abstractNum>
  <w:abstractNum w:abstractNumId="525">
    <w:nsid w:val="92114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26">
    <w:nsid w:val="7B34DFE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27">
    <w:nsid w:val="3CD22B79"/>
    <w:multiLevelType w:val="hybridMultilevel"/>
    <w:lvl w:ilvl="0">
      <w:lvlJc w:val="left"/>
      <w:lvlText w:val="%1."/>
      <w:numFmt w:val="decimal"/>
      <w:start w:val="10"/>
    </w:lvl>
  </w:abstractNum>
  <w:abstractNum w:abstractNumId="528">
    <w:nsid w:val="3137975E"/>
    <w:multiLevelType w:val="hybridMultilevel"/>
    <w:lvl w:ilvl="0">
      <w:lvlJc w:val="left"/>
      <w:lvlText w:val="%1"/>
      <w:numFmt w:val="decimal"/>
      <w:start w:val="10"/>
    </w:lvl>
  </w:abstractNum>
  <w:abstractNum w:abstractNumId="529">
    <w:nsid w:val="2DDAA791"/>
    <w:multiLevelType w:val="hybridMultilevel"/>
    <w:lvl w:ilvl="0">
      <w:lvlJc w:val="left"/>
      <w:lvlText w:val="%1."/>
      <w:numFmt w:val="decimal"/>
      <w:start w:val="17"/>
    </w:lvl>
    <w:lvl w:ilvl="1">
      <w:lvlJc w:val="left"/>
      <w:lvlText w:val="(%2)"/>
      <w:numFmt w:val="lowerRoman"/>
      <w:start w:val="1"/>
    </w:lvl>
  </w:abstractNum>
  <w:abstractNum w:abstractNumId="530">
    <w:nsid w:val="77263B8A"/>
    <w:multiLevelType w:val="hybridMultilevel"/>
    <w:lvl w:ilvl="0">
      <w:lvlJc w:val="left"/>
      <w:lvlText w:val="%1."/>
      <w:numFmt w:val="decimal"/>
      <w:start w:val="19"/>
    </w:lvl>
  </w:abstractNum>
  <w:abstractNum w:abstractNumId="531">
    <w:nsid w:val="755B5ED6"/>
    <w:multiLevelType w:val="hybridMultilevel"/>
    <w:lvl w:ilvl="0">
      <w:lvlJc w:val="left"/>
      <w:lvlText w:val="%1"/>
      <w:numFmt w:val="decimal"/>
      <w:start w:val="15"/>
    </w:lvl>
  </w:abstractNum>
  <w:abstractNum w:abstractNumId="532">
    <w:nsid w:val="D3715DE"/>
    <w:multiLevelType w:val="hybridMultilevel"/>
    <w:lvl w:ilvl="0">
      <w:lvlJc w:val="left"/>
      <w:lvlText w:val="%1."/>
      <w:numFmt w:val="decimal"/>
      <w:start w:val="1"/>
    </w:lvl>
  </w:abstractNum>
  <w:abstractNum w:abstractNumId="533">
    <w:nsid w:val="73509257"/>
    <w:multiLevelType w:val="hybridMultilevel"/>
    <w:lvl w:ilvl="0">
      <w:lvlJc w:val="left"/>
      <w:lvlText w:val="(%1)"/>
      <w:numFmt w:val="lowerLetter"/>
      <w:start w:val="1"/>
    </w:lvl>
  </w:abstractNum>
  <w:abstractNum w:abstractNumId="534">
    <w:nsid w:val="7013CDB7"/>
    <w:multiLevelType w:val="hybridMultilevel"/>
    <w:lvl w:ilvl="0">
      <w:lvlJc w:val="left"/>
      <w:lvlText w:val="%1."/>
      <w:numFmt w:val="decimal"/>
      <w:start w:val="2"/>
    </w:lvl>
  </w:abstractNum>
  <w:abstractNum w:abstractNumId="535">
    <w:nsid w:val="188BFB19"/>
    <w:multiLevelType w:val="hybridMultilevel"/>
    <w:lvl w:ilvl="0">
      <w:lvlJc w:val="left"/>
      <w:lvlText w:val="%1"/>
      <w:numFmt w:val="decimal"/>
      <w:start w:val="16"/>
    </w:lvl>
  </w:abstractNum>
  <w:abstractNum w:abstractNumId="536">
    <w:nsid w:val="75F096DF"/>
    <w:multiLevelType w:val="hybridMultilevel"/>
    <w:lvl w:ilvl="0">
      <w:lvlJc w:val="left"/>
      <w:lvlText w:val="%1."/>
      <w:numFmt w:val="decimal"/>
      <w:start w:val="1"/>
    </w:lvl>
  </w:abstractNum>
  <w:abstractNum w:abstractNumId="537">
    <w:nsid w:val="76DEE918"/>
    <w:multiLevelType w:val="hybridMultilevel"/>
    <w:lvl w:ilvl="0">
      <w:lvlJc w:val="left"/>
      <w:lvlText w:val="%1."/>
      <w:numFmt w:val="decimal"/>
      <w:start w:val="1"/>
    </w:lvl>
  </w:abstractNum>
  <w:abstractNum w:abstractNumId="538">
    <w:nsid w:val="B79D08D"/>
    <w:multiLevelType w:val="hybridMultilevel"/>
    <w:lvl w:ilvl="0">
      <w:lvlJc w:val="left"/>
      <w:lvlText w:val="%1"/>
      <w:numFmt w:val="decimal"/>
      <w:start w:val="23"/>
    </w:lvl>
  </w:abstractNum>
  <w:abstractNum w:abstractNumId="539">
    <w:nsid w:val="69141769"/>
    <w:multiLevelType w:val="hybridMultilevel"/>
    <w:lvl w:ilvl="0">
      <w:lvlJc w:val="left"/>
      <w:lvlText w:val="%1."/>
      <w:numFmt w:val="decimal"/>
      <w:start w:val="1"/>
    </w:lvl>
    <w:lvl w:ilvl="1">
      <w:lvlJc w:val="left"/>
      <w:lvlText w:val="(%2)"/>
      <w:numFmt w:val="lowerRoman"/>
      <w:start w:val="1"/>
    </w:lvl>
  </w:abstractNum>
  <w:abstractNum w:abstractNumId="540">
    <w:nsid w:val="7BF45B8E"/>
    <w:multiLevelType w:val="hybridMultilevel"/>
    <w:lvl w:ilvl="0">
      <w:lvlJc w:val="left"/>
      <w:lvlText w:val="%1."/>
      <w:numFmt w:val="decimal"/>
      <w:start w:val="3"/>
    </w:lvl>
  </w:abstractNum>
  <w:abstractNum w:abstractNumId="541">
    <w:nsid w:val="41205269"/>
    <w:multiLevelType w:val="hybridMultilevel"/>
    <w:lvl w:ilvl="0">
      <w:lvlJc w:val="left"/>
      <w:lvlText w:val="%1"/>
      <w:numFmt w:val="decimal"/>
      <w:start w:val="24"/>
    </w:lvl>
  </w:abstractNum>
  <w:abstractNum w:abstractNumId="542">
    <w:nsid w:val="9AE0D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2024-02-28T08:10:26Z</dcterms:created>
  <dcterms:modified xsi:type="dcterms:W3CDTF">2024-02-28T08:10:26Z</dcterms:modified>
</cp:coreProperties>
</file>