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c13da.htm"/>
      <w:bookmarkStart w:id="1" w:name="ksformsc13d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Polestar Automotive Holding UK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Class A 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Class A Ordinary Shares, par value $0.01 each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731105201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Geely Holding Group Company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1760 Jiangling Road, Binjiang District, Hangzhou, Zhejiang,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(571) 2809 8282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Rosmarie Söderbom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Avd 50090, HB3S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(0)766 210020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Daying Zhang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18th Floor, One Exchange Square | 8 Connaught Place, Central |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+852.2912.2500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to Receive Notices and Communications)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22,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Rule 13d-1(e), Rule 13d-1(f) or Rule 13d-1(g),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Rule 13d-7(b) for other parties to whom copies are to be 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Corporation</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8,346,771,004</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1,018,792,462</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1,018,792,462</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Investment Limited</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Roman;Times;Serif" w:hAnsi="Times NewRoman;Times;Serif"/>
                <w:b w:val="false"/>
                <w:i w:val="false"/>
                <w:caps w:val="false"/>
                <w:smallCaps w:val="false"/>
                <w:sz w:val="20"/>
              </w:rPr>
            </w:pPr>
            <w:r>
              <w:rPr>
                <w:rFonts w:ascii="Times NewRoman;Times;Serif" w:hAnsi="Times NewRoman;Times;Serif"/>
                <w:b w:val="false"/>
                <w:i w:val="false"/>
                <w:caps w:val="false"/>
                <w:smallCaps w:val="false"/>
                <w:sz w:val="20"/>
              </w:rPr>
              <w:t>Source of Funds (See Instructions)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jc w:val="left"/>
              <w:rPr>
                <w:rFonts w:ascii="Tmes New Roman;Times;Serif" w:hAnsi="Tmes New Roman;Times;Serif"/>
                <w:b w:val="false"/>
                <w:i w:val="false"/>
                <w:caps w:val="false"/>
                <w:smallCaps w:val="false"/>
                <w:sz w:val="20"/>
              </w:rPr>
            </w:pPr>
            <w:r>
              <w:rPr>
                <w:rFonts w:ascii="Tmes New Roman;Times;Serif" w:hAnsi="Tmes New Roman;Times;Serif"/>
                <w:b w:val="false"/>
                <w:i w:val="false"/>
                <w:caps w:val="false"/>
                <w:smallCaps w:val="false"/>
                <w:sz w:val="20"/>
              </w:rPr>
              <w:t>Names of Reporting Persons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Capital Limited</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(See Instructions)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Names of Reporting Persons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Snita Holding B.V.</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AF</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Netherlands</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8,346,771,004</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1,018,792,462</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1,018,792,462</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AB</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Citizenship or Place of Organization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8,346,771,004</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1,018,792,462</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1,018,792,462</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1,018,792,462</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Holdings AB</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8,363,117,075</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3"/>
        <w:gridCol w:w="706"/>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Geely Zhaoyuan International Investment Co., Ltd</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3"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6"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8,363,117,075</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jc w:val="left"/>
              <w:rPr>
                <w:rFonts w:ascii="Tmes New Roman;Times;Serif" w:hAnsi="Tmes New Roman;Times;Serif"/>
                <w:b w:val="false"/>
                <w:i w:val="false"/>
                <w:caps w:val="false"/>
                <w:smallCaps w:val="false"/>
                <w:sz w:val="20"/>
              </w:rPr>
            </w:pPr>
            <w:r>
              <w:rPr>
                <w:rFonts w:ascii="Tmes New Roman;Times;Serif" w:hAnsi="Tmes New Roman;Times;Serif"/>
                <w:b w:val="false"/>
                <w:i w:val="false"/>
                <w:caps w:val="false"/>
                <w:smallCaps w:val="false"/>
                <w:sz w:val="20"/>
              </w:rPr>
              <w:t>Names of Reporting Persons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Wanyuan International Investment Co., Ltd</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Citizenship or Place of Organization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8,363,117,075</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810" w:type="dxa"/>
        <w:jc w:val="left"/>
        <w:tblInd w:w="-10" w:type="dxa"/>
        <w:tblLayout w:type="fixed"/>
        <w:tblCellMar>
          <w:top w:w="28" w:type="dxa"/>
          <w:left w:w="28" w:type="dxa"/>
          <w:bottom w:w="28" w:type="dxa"/>
          <w:right w:w="2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Names of Reporting Persons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Kaisheng International Investment Co., Ltd</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man;Times;Serif" w:hAnsi="Times New Rman;Times;Serif"/>
                <w:b w:val="false"/>
                <w:i w:val="false"/>
                <w:caps w:val="false"/>
                <w:smallCaps w:val="false"/>
                <w:sz w:val="20"/>
              </w:rPr>
            </w:pPr>
            <w:r>
              <w:rPr>
                <w:rFonts w:ascii="Times New Rman;Times;Serif" w:hAnsi="Times New R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8,363,117,075</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915" w:type="dxa"/>
        <w:jc w:val="left"/>
        <w:tblInd w:w="-10" w:type="dxa"/>
        <w:tblLayout w:type="fixed"/>
        <w:tblCellMar>
          <w:top w:w="28" w:type="dxa"/>
          <w:left w:w="28" w:type="dxa"/>
          <w:bottom w:w="28" w:type="dxa"/>
          <w:right w:w="2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10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Names of Reporting Persons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Geely Holding Group Company Limited</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(See Instructions)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jc w:val="left"/>
              <w:rPr>
                <w:rFonts w:ascii="Times New Rman;Times;Serif" w:hAnsi="Times New Rman;Times;Serif"/>
                <w:b w:val="false"/>
                <w:i w:val="false"/>
                <w:caps w:val="false"/>
                <w:smallCaps w:val="false"/>
                <w:sz w:val="20"/>
              </w:rPr>
            </w:pPr>
            <w:r>
              <w:rPr>
                <w:rFonts w:ascii="Times New Rman;Times;Serif" w:hAnsi="Times New R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8,363,117,075</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1,035,138,533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915" w:type="dxa"/>
        <w:jc w:val="left"/>
        <w:tblInd w:w="-10" w:type="dxa"/>
        <w:tblLayout w:type="fixed"/>
        <w:tblCellMar>
          <w:top w:w="28" w:type="dxa"/>
          <w:left w:w="28" w:type="dxa"/>
          <w:bottom w:w="28" w:type="dxa"/>
          <w:right w:w="2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 of 15 pages</w:t>
            </w:r>
          </w:p>
        </w:tc>
      </w:tr>
    </w:tbl>
    <w:p>
      <w:pPr>
        <w:pStyle w:val="TextBody"/>
        <w:bidi w:val="0"/>
        <w:spacing w:before="0" w:after="0"/>
        <w:jc w:val="center"/>
        <w:rPr>
          <w:caps w:val="false"/>
          <w:smallCaps w:val="false"/>
        </w:rPr>
      </w:pPr>
      <w:r>
        <w:rPr>
          <w:caps w:val="false"/>
          <w:smallCaps w:val="false"/>
        </w:rPr>
        <w:t> </w:t>
      </w:r>
    </w:p>
    <w:tbl>
      <w:tblPr>
        <w:tblW w:w="6939" w:type="dxa"/>
        <w:jc w:val="left"/>
        <w:tblInd w:w="0" w:type="dxa"/>
        <w:tblLayout w:type="fixed"/>
        <w:tblCellMar>
          <w:top w:w="28" w:type="dxa"/>
          <w:left w:w="0" w:type="dxa"/>
          <w:bottom w:w="0" w:type="dxa"/>
          <w:right w:w="0" w:type="dxa"/>
        </w:tblCellMar>
      </w:tblPr>
      <w:tblGrid>
        <w:gridCol w:w="140"/>
        <w:gridCol w:w="6092"/>
        <w:gridCol w:w="707"/>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2"/>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Shufu Li</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92" w:type="dxa"/>
            <w:tcBorders>
              <w:top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0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2"/>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bl>
    <w:tbl>
      <w:tblPr>
        <w:tblW w:w="4035" w:type="dxa"/>
        <w:jc w:val="left"/>
        <w:tblInd w:w="0" w:type="dxa"/>
        <w:tblLayout w:type="fixed"/>
        <w:tblCellMar>
          <w:top w:w="0" w:type="dxa"/>
          <w:left w:w="0" w:type="dxa"/>
          <w:bottom w:w="28" w:type="dxa"/>
          <w:right w:w="0" w:type="dxa"/>
        </w:tblCellMar>
      </w:tblPr>
      <w:tblGrid>
        <w:gridCol w:w="1700"/>
        <w:gridCol w:w="230"/>
        <w:gridCol w:w="2105"/>
      </w:tblGrid>
      <w:tr>
        <w:trPr/>
        <w:tc>
          <w:tcPr>
            <w:tcW w:w="1700" w:type="dxa"/>
            <w:vMerge w:val="restart"/>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16,643,254,445</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1,863,152,270</w:t>
            </w:r>
          </w:p>
        </w:tc>
      </w:tr>
      <w:tr>
        <w:trPr/>
        <w:tc>
          <w:tcPr>
            <w:tcW w:w="1700" w:type="dxa"/>
            <w:vMerge w:val="continue"/>
            <w:tcBorders>
              <w:bottom w:val="single" w:sz="8" w:space="0" w:color="000000"/>
            </w:tcBorders>
            <w:vAlign w:val="center"/>
          </w:tcPr>
          <w:p>
            <w:pPr>
              <w:pStyle w:val="Normal"/>
              <w:bidi w:val="0"/>
              <w:jc w:val="left"/>
              <w:rPr/>
            </w:pPr>
            <w:r>
              <w:rPr/>
            </w:r>
          </w:p>
        </w:tc>
        <w:tc>
          <w:tcPr>
            <w:tcW w:w="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6100" w:type="dxa"/>
        <w:jc w:val="left"/>
        <w:tblInd w:w="0" w:type="dxa"/>
        <w:tblLayout w:type="fixed"/>
        <w:tblCellMar>
          <w:top w:w="0" w:type="dxa"/>
          <w:left w:w="0" w:type="dxa"/>
          <w:bottom w:w="28" w:type="dxa"/>
          <w:right w:w="0" w:type="dxa"/>
        </w:tblCellMar>
      </w:tblPr>
      <w:tblGrid>
        <w:gridCol w:w="245"/>
        <w:gridCol w:w="585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1,863,152,270</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58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915" w:type="dxa"/>
        <w:jc w:val="left"/>
        <w:tblInd w:w="-10" w:type="dxa"/>
        <w:tblLayout w:type="fixed"/>
        <w:tblCellMar>
          <w:top w:w="28" w:type="dxa"/>
          <w:left w:w="28" w:type="dxa"/>
          <w:bottom w:w="28" w:type="dxa"/>
          <w:right w:w="2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12 of 15 pages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3 to Schedule 13D (“</w:t>
      </w:r>
      <w:r>
        <w:rPr>
          <w:rFonts w:ascii="Times New Roman;Times;Serif" w:hAnsi="Times New Roman;Times;Serif"/>
          <w:b/>
          <w:i w:val="false"/>
          <w:caps w:val="false"/>
          <w:smallCaps w:val="false"/>
          <w:sz w:val="20"/>
        </w:rPr>
        <w:t>Amendment No. 3</w:t>
      </w:r>
      <w:r>
        <w:rPr>
          <w:rFonts w:ascii="Times New Roman;Times;Serif" w:hAnsi="Times New Roman;Times;Serif"/>
          <w:b w:val="false"/>
          <w:i w:val="false"/>
          <w:caps w:val="false"/>
          <w:smallCaps w:val="false"/>
          <w:sz w:val="20"/>
        </w:rPr>
        <w:t>”) amends and supplements the Statement on Schedule 13D filed with the United States Securities and Exchange Commission on July 7, 2022 (as amended to date, the “</w:t>
      </w:r>
      <w:r>
        <w:rPr>
          <w:rFonts w:ascii="Times New Roman;Times;Serif" w:hAnsi="Times New Roman;Times;Serif"/>
          <w:b/>
          <w:i w:val="false"/>
          <w:caps w:val="false"/>
          <w:smallCaps w:val="false"/>
          <w:sz w:val="20"/>
        </w:rPr>
        <w:t>Statement</w:t>
      </w:r>
      <w:r>
        <w:rPr>
          <w:rFonts w:ascii="Times New Roman;Times;Serif" w:hAnsi="Times New Roman;Times;Serif"/>
          <w:b w:val="false"/>
          <w:i w:val="false"/>
          <w:caps w:val="false"/>
          <w:smallCaps w:val="false"/>
          <w:sz w:val="20"/>
        </w:rPr>
        <w:t>”), relating to Class A ordinary shares, par value $0.01 per share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of Polestar Automotive Holding UK PLC, a limited company incorporated under the laws of England and Wales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Capitalized terms used herein without definition shall have the meaning set forth in the Statement.</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20"/>
        <w:gridCol w:w="206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 of the Statement is amended and supplemented by inserting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2023, PSD Investment Limited entered into a facility agreement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with, among others, Madison Pacific Trust Limited as security agent. As security for its obligations under the Loan Agreement, PSD Investment Limited pledged 828,013,737 Class B ADSs (the “</w:t>
      </w:r>
      <w:r>
        <w:rPr>
          <w:rFonts w:ascii="Times New Roman;Times;Serif" w:hAnsi="Times New Roman;Times;Serif"/>
          <w:b/>
          <w:i w:val="false"/>
          <w:caps w:val="false"/>
          <w:smallCaps w:val="false"/>
          <w:sz w:val="20"/>
        </w:rPr>
        <w:t>Pledged Shares</w:t>
      </w:r>
      <w:r>
        <w:rPr>
          <w:rFonts w:ascii="Times New Roman;Times;Serif" w:hAnsi="Times New Roman;Times;Serif"/>
          <w:b w:val="false"/>
          <w:i w:val="false"/>
          <w:caps w:val="false"/>
          <w:smallCaps w:val="false"/>
          <w:sz w:val="20"/>
        </w:rPr>
        <w:t>”) pursuant to a Security Agreement (the “</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by and between PSD Investment Limited and Madison Pacific Trust Limited as security agent, dated as of November 22, 2023. All voting rights and rights to receive dividends or distributions with respect to the Pledged Shares will remain with PSD Investment Limited unless an event of default under the Loan Agreement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2022 Term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2022, Snita Holding B.V. (“</w:t>
      </w:r>
      <w:r>
        <w:rPr>
          <w:rFonts w:ascii="Times New Roman;Times;Serif" w:hAnsi="Times New Roman;Times;Serif"/>
          <w:b/>
          <w:i w:val="false"/>
          <w:caps w:val="false"/>
          <w:smallCaps w:val="false"/>
          <w:sz w:val="20"/>
        </w:rPr>
        <w:t>Snita</w:t>
      </w:r>
      <w:r>
        <w:rPr>
          <w:rFonts w:ascii="Times New Roman;Times;Serif" w:hAnsi="Times New Roman;Times;Serif"/>
          <w:b w:val="false"/>
          <w:i w:val="false"/>
          <w:caps w:val="false"/>
          <w:smallCaps w:val="false"/>
          <w:sz w:val="20"/>
        </w:rPr>
        <w:t>”) entered into a Term Facility Agreement with the Issuer (as amended on November 8, 2023, the “</w:t>
      </w:r>
      <w:r>
        <w:rPr>
          <w:rFonts w:ascii="Times New Roman;Times;Serif" w:hAnsi="Times New Roman;Times;Serif"/>
          <w:b/>
          <w:i w:val="false"/>
          <w:caps w:val="false"/>
          <w:smallCaps w:val="false"/>
          <w:sz w:val="20"/>
        </w:rPr>
        <w:t>2022 Term Facility</w:t>
      </w:r>
      <w:r>
        <w:rPr>
          <w:rFonts w:ascii="Times New Roman;Times;Serif" w:hAnsi="Times New Roman;Times;Serif"/>
          <w:b w:val="false"/>
          <w:i w:val="false"/>
          <w:caps w:val="false"/>
          <w:smallCaps w:val="false"/>
          <w:sz w:val="20"/>
        </w:rPr>
        <w:t>”). The 2022 Term Facility terminates on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2022 Term Facility, Snita made available to the Issuer a dollar term loan facility in an aggregate amount of $1,000,000,000. The 2022 Term Facility provides, among other things, that if the Issuer undertakes an offering of any class of share capital of the Issuer in an amount equal to or greater than $350,000,000 (or such other amount as the Issuer and Snita may agree from time to time) to five or more (or such other amount as the Issuer and Snita may agree from time to time) institutional investors, then Snita shall have the right to convert the principal amount of any outstanding loans under the 2022 Term Facility into the relevant number of shares being offered pursuant to the terms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2022 Term Facility does not purport to be complete and is qualified in its entirety by reference to the full text of such agreement, which is filed as an exhibit to this Schedule 13D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28" w:type="dxa"/>
          <w:bottom w:w="28" w:type="dxa"/>
          <w:right w:w="2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13 of 15 pages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2023 Term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2023, Geely Sweden Automotive Investment AB (“</w:t>
      </w:r>
      <w:r>
        <w:rPr>
          <w:rFonts w:ascii="Times New Roman;Times;Serif" w:hAnsi="Times New Roman;Times;Serif"/>
          <w:b/>
          <w:i w:val="false"/>
          <w:caps w:val="false"/>
          <w:smallCaps w:val="false"/>
          <w:sz w:val="20"/>
        </w:rPr>
        <w:t>GSAI</w:t>
      </w:r>
      <w:r>
        <w:rPr>
          <w:rFonts w:ascii="Times New Roman;Times;Serif" w:hAnsi="Times New Roman;Times;Serif"/>
          <w:b w:val="false"/>
          <w:i w:val="false"/>
          <w:caps w:val="false"/>
          <w:smallCaps w:val="false"/>
          <w:sz w:val="20"/>
        </w:rPr>
        <w:t>”), a wholly owned subsidiary of Geely Sweden Holdings AB (“</w:t>
      </w:r>
      <w:r>
        <w:rPr>
          <w:rFonts w:ascii="Times New Roman;Times;Serif" w:hAnsi="Times New Roman;Times;Serif"/>
          <w:b/>
          <w:i w:val="false"/>
          <w:caps w:val="false"/>
          <w:smallCaps w:val="false"/>
          <w:sz w:val="20"/>
        </w:rPr>
        <w:t>Geely Sweden</w:t>
      </w:r>
      <w:r>
        <w:rPr>
          <w:rFonts w:ascii="Times New Roman;Times;Serif" w:hAnsi="Times New Roman;Times;Serif"/>
          <w:b w:val="false"/>
          <w:i w:val="false"/>
          <w:caps w:val="false"/>
          <w:smallCaps w:val="false"/>
          <w:sz w:val="20"/>
        </w:rPr>
        <w:t>”), entered into a Term Facility Agreement with the Issuer (the “</w:t>
      </w:r>
      <w:r>
        <w:rPr>
          <w:rFonts w:ascii="Times New Roman;Times;Serif" w:hAnsi="Times New Roman;Times;Serif"/>
          <w:b/>
          <w:i w:val="false"/>
          <w:caps w:val="false"/>
          <w:smallCaps w:val="false"/>
          <w:sz w:val="20"/>
        </w:rPr>
        <w:t>2023 Term Facility</w:t>
      </w:r>
      <w:r>
        <w:rPr>
          <w:rFonts w:ascii="Times New Roman;Times;Serif" w:hAnsi="Times New Roman;Times;Serif"/>
          <w:b w:val="false"/>
          <w:i w:val="false"/>
          <w:caps w:val="false"/>
          <w:smallCaps w:val="false"/>
          <w:sz w:val="20"/>
        </w:rPr>
        <w:t>”). The 2023 Term Facility terminates on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2023 Term Facility, GSAI made available to the Issuer a dollar term loan facility in an aggregate amount of $250,000,000. The 2023 Term Facility provides, among other things, that if the Issuer undertakes an offering of any class of share capital of the Issuer in an amount equal to or greater than $350,000,000 (or such other amount as the Issuer and GSAI may agree from time to time) to five or more (or such other amount as the Issuer and GSAI may agree from time to time) institutional investors, then GSAI shall have the right to convert the principal amount and accrued interest of any outstanding loans under the 2023 Term Facility into the relevant number of shares being offered pursuant to the terms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2023 Term Facility does not purport to be complete and is qualified in its entirety by reference to the full text of such agreement, which is filed as an exhibit to this Schedule 13D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20"/>
        <w:gridCol w:w="8210"/>
      </w:tblGrid>
      <w:tr>
        <w:trPr/>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8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Arrangements, Understandings or Relationships with Respect to Securities of the Issuer.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 of the Statement is amended and supplemented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 above summarizes certain provisions of the Loan Agreement, the Pledge Agreement, the 2022 Term Facility and the 2023 Term Facility and is incorporated herein by reference. A copy of each of the 2022 Term Facility and the 2023 Term Facility is filed as an exhibit to this Schedule 13D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pStyle w:val="TextBody"/>
        <w:bidi w:val="0"/>
        <w:spacing w:before="0" w:after="0"/>
        <w:ind w:left="0" w:right="0" w:firstLine="72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620"/>
        <w:gridCol w:w="281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2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Materials to be Filed as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Term Loan Facility, dated November 3, 2022, by and between Polestar Automotive Holding UK PLC, as borrower, and Snita Holding B.V., as original lender and agent (incorporated by reference to exhibit 10.1 to the Issuer’s Report of Foreign Private Issuer on Form 6-K, as filed with the SEC on November 3, 2022).</w:t>
              </w:r>
            </w:hyperlink>
          </w:p>
        </w:tc>
      </w:tr>
      <w:tr>
        <w:trPr/>
        <w:tc>
          <w:tcPr>
            <w:tcW w:w="7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Facility Agreement, dated November 8, 2023, by and between Polestar Automotive Holding UK PLC, as borrower, and Geely Sweden Automotive Investment AB, as original lender and agent (incorporated by reference to exhibit 10.1 to the Issuer’s Report of Foreign Private Issuer on Form 6-K, as filed with the SEC on November 8, 2023).</w:t>
              </w:r>
            </w:hyperlink>
          </w:p>
        </w:tc>
      </w:tr>
      <w:tr>
        <w:trPr/>
        <w:tc>
          <w:tcPr>
            <w:tcW w:w="7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Letter, dated November 8, 2023, by and between Polestar Automotive Holding UK PLC, as borrower, and Snita Holding B.V., as original lender and agent (incorporated by reference to exhibit 10.2 to the Issuer’s Report of Foreign Private Issuer on Form 6-K, as filed with the SEC on November 8, 2023).</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28" w:type="dxa"/>
          <w:bottom w:w="28" w:type="dxa"/>
          <w:right w:w="2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14 of 15 pages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November 29, 2023</w:t>
      </w:r>
    </w:p>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545"/>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Hanna Fager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Hanna Fager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Maria Hemberg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Hemberg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INVESTMENT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CAPITAL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SNITA HOLDING B.V.</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Lex Kerssemakers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Lex Kerssemakers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Per Ansgar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Ansgar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915" w:type="dxa"/>
        <w:jc w:val="left"/>
        <w:tblInd w:w="-10" w:type="dxa"/>
        <w:tblLayout w:type="fixed"/>
        <w:tblCellMar>
          <w:top w:w="28" w:type="dxa"/>
          <w:left w:w="28" w:type="dxa"/>
          <w:bottom w:w="28" w:type="dxa"/>
          <w:right w:w="2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15 of 15 pages</w:t>
            </w:r>
          </w:p>
        </w:tc>
      </w:tr>
    </w:tbl>
    <w:p>
      <w:pPr>
        <w:pStyle w:val="TextBody"/>
        <w:bidi w:val="0"/>
        <w:spacing w:before="0" w:after="0"/>
        <w:ind w:left="4320" w:right="0" w:hanging="0"/>
        <w:jc w:val="both"/>
        <w:rPr>
          <w:caps w:val="false"/>
          <w:smallCaps w:val="false"/>
        </w:rPr>
      </w:pPr>
      <w:r>
        <w:rPr>
          <w:caps w:val="false"/>
          <w:smallCaps w:val="false"/>
        </w:rPr>
        <w:t> </w:t>
      </w:r>
    </w:p>
    <w:tbl>
      <w:tblPr>
        <w:tblW w:w="6949" w:type="dxa"/>
        <w:jc w:val="left"/>
        <w:tblInd w:w="0" w:type="dxa"/>
        <w:tblLayout w:type="fixed"/>
        <w:tblCellMar>
          <w:top w:w="0" w:type="dxa"/>
          <w:left w:w="0" w:type="dxa"/>
          <w:bottom w:w="0" w:type="dxa"/>
          <w:right w:w="0" w:type="dxa"/>
        </w:tblCellMar>
      </w:tblPr>
      <w:tblGrid>
        <w:gridCol w:w="75"/>
        <w:gridCol w:w="1106"/>
        <w:gridCol w:w="57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AB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Hanna Fager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Hanna Fager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Maria Hemberg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Hemberg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HOLDINGS AB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GEELY ZHAOYUAN INTERNATIONAL INVESTMENT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WANYUAN INTERNATIONAL INVESTMENT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KAISHENG INTERNATIONAL INVESTMENT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ZHEJIANG GEELY HOLDING GROUP COMPANY LIMITED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&amp;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caps w:val="false"/>
                <w:smallCaps w:val="false"/>
              </w:rPr>
            </w:pPr>
            <w:r>
              <w:rPr>
                <w:caps w:val="false"/>
                <w:smallCaps w:val="false"/>
              </w:rPr>
              <w:t> </w:t>
            </w:r>
          </w:p>
        </w:tc>
        <w:tc>
          <w:tcPr>
            <w:tcW w:w="5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Roman">
    <w:altName w:val="Times"/>
    <w:charset w:val="01"/>
    <w:family w:val="auto"/>
    <w:pitch w:val="default"/>
  </w:font>
  <w:font w:name="Tmes New Roman">
    <w:altName w:val="Times"/>
    <w:charset w:val="01"/>
    <w:family w:val="auto"/>
    <w:pitch w:val="default"/>
  </w:font>
  <w:font w:name="Times New R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4082/000119312522276986/d377976dex101.htm" TargetMode="External"/><Relationship Id="rId3" Type="http://schemas.openxmlformats.org/officeDocument/2006/relationships/hyperlink" Target="https://www.sec.gov/Archives/edgar/data/1884082/000119312523273538/d556011dex101.htm" TargetMode="External"/><Relationship Id="rId4" Type="http://schemas.openxmlformats.org/officeDocument/2006/relationships/hyperlink" Target="https://www.sec.gov/Archives/edgar/data/1884082/000119312523273538/d556011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3066</Words>
  <Characters>15130</Characters>
  <CharactersWithSpaces>17943</CharactersWithSpaces>
  <Paragraphs>1175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