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14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12(G) OF THE SECURITIES EXCHANGE ACT OF 1934</w:t>
      </w:r>
    </w:p>
    <w:p>
      <w:pPr>
        <w:spacing w:after="0" w:line="7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46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fiscal year ended</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hanging="424"/>
        <w:spacing w:after="0" w:line="262" w:lineRule="auto"/>
        <w:tabs>
          <w:tab w:leader="none" w:pos="54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360" w:hanging="424"/>
        <w:spacing w:after="0" w:line="262" w:lineRule="auto"/>
        <w:tabs>
          <w:tab w:leader="none" w:pos="54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 June 23, 2022</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p>
      <w:pPr>
        <w:spacing w:after="0" w:line="39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p>
      <w:pPr>
        <w:spacing w:after="0" w:line="106" w:lineRule="exact"/>
        <w:rPr>
          <w:sz w:val="24"/>
          <w:szCs w:val="24"/>
          <w:color w:val="auto"/>
        </w:rPr>
      </w:pPr>
    </w:p>
    <w:p>
      <w:pPr>
        <w:sectPr>
          <w:pgSz w:w="11900" w:h="16838" w:orient="portrait"/>
          <w:cols w:equalWidth="0" w:num="2">
            <w:col w:w="5960" w:space="720"/>
            <w:col w:w="4420"/>
          </w:cols>
          <w:pgMar w:left="320" w:top="226"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777 MacArthur Blvd</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Tel: (949) 735-1834</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Thomas Ingenlath</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12(b) of the Securities Exchange Act of 1934, as amended (the “Exchange Act”):</w:t>
      </w:r>
    </w:p>
    <w:p>
      <w:pPr>
        <w:spacing w:after="0" w:line="140"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51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5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1"/>
        </w:trPr>
        <w:tc>
          <w:tcPr>
            <w:tcW w:w="51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Class A American Depositary Shares</w:t>
            </w:r>
          </w:p>
        </w:tc>
        <w:tc>
          <w:tcPr>
            <w:tcW w:w="30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PSNY</w:t>
            </w:r>
          </w:p>
        </w:tc>
        <w:tc>
          <w:tcPr>
            <w:tcW w:w="1520" w:type="dxa"/>
            <w:vAlign w:val="bottom"/>
          </w:tcPr>
          <w:p>
            <w:pPr>
              <w:spacing w:after="0"/>
              <w:rPr>
                <w:sz w:val="15"/>
                <w:szCs w:val="15"/>
                <w:color w:val="auto"/>
              </w:rPr>
            </w:pPr>
          </w:p>
        </w:tc>
        <w:tc>
          <w:tcPr>
            <w:tcW w:w="27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$0.01 each*</w:t>
            </w:r>
          </w:p>
        </w:tc>
        <w:tc>
          <w:tcPr>
            <w:tcW w:w="1440" w:type="dxa"/>
            <w:vAlign w:val="bottom"/>
            <w:gridSpan w:val="2"/>
          </w:tcPr>
          <w:p>
            <w:pPr>
              <w:jc w:val="center"/>
              <w:ind w:left="216"/>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C-1 American Depositary Shares</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PSNYW</w:t>
            </w:r>
          </w:p>
        </w:tc>
        <w:tc>
          <w:tcPr>
            <w:tcW w:w="15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C-1 Ordinary Shares, par value $0.10 each**</w:t>
            </w:r>
          </w:p>
        </w:tc>
        <w:tc>
          <w:tcPr>
            <w:tcW w:w="1440" w:type="dxa"/>
            <w:vAlign w:val="bottom"/>
            <w:gridSpan w:val="2"/>
          </w:tcPr>
          <w:p>
            <w:pPr>
              <w:jc w:val="center"/>
              <w:ind w:left="216"/>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ectPr>
          <w:pgSz w:w="11900" w:h="16838" w:orient="portrait"/>
          <w:cols w:equalWidth="0" w:num="1">
            <w:col w:w="11100"/>
          </w:cols>
          <w:pgMar w:left="320" w:top="22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Exchange Act: None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Exchange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shell company report: On June 23, 2022, the issuer had 466,801,222 Class A Shares (as defined in this Report) in the form of Class A ADSs (as defined in this Report) issued and outstanding, 1,642,233,575 Class B Shares (as defined in this Report) in the form of Class B ADSs (as defined in this Report) issued and outstanding, 15,999,965 Class C-1 Shares (as defined in this Report) in the form of Class C-1 ADSs (as defined in this Report) issued and outstanding and 9,000,000 Class C-2 Shares (as defined in this Report) in the form of Class C-2 ADSs (as defined in this Report) issued and outstanding.</w:t>
      </w:r>
    </w:p>
    <w:p>
      <w:pPr>
        <w:spacing w:after="0" w:line="51" w:lineRule="exact"/>
        <w:rPr>
          <w:sz w:val="20"/>
          <w:szCs w:val="20"/>
          <w:color w:val="auto"/>
        </w:rPr>
      </w:pPr>
    </w:p>
    <w:p>
      <w:pPr>
        <w:ind w:left="120"/>
        <w:spacing w:after="0" w:line="207" w:lineRule="exact"/>
        <w:tabs>
          <w:tab w:leader="none" w:pos="8720" w:val="left"/>
          <w:tab w:leader="none" w:pos="9400" w:val="left"/>
        </w:tabs>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0"/>
          <w:szCs w:val="20"/>
          <w:color w:val="auto"/>
        </w:rPr>
      </w:pPr>
    </w:p>
    <w:p>
      <w:pPr>
        <w:ind w:left="120"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0"/>
          <w:szCs w:val="20"/>
          <w:color w:val="auto"/>
        </w:rPr>
      </w:pPr>
    </w:p>
    <w:p>
      <w:pPr>
        <w:ind w:left="12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0"/>
          <w:szCs w:val="20"/>
          <w:color w:val="auto"/>
        </w:rPr>
      </w:pPr>
    </w:p>
    <w:p>
      <w:pPr>
        <w:ind w:left="12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definition of “large accelerated filer,” “accelerated filer,” and “emerging growth company” in Rule 12b-2 of the Exchange Act.</w:t>
      </w:r>
    </w:p>
    <w:p>
      <w:pPr>
        <w:sectPr>
          <w:pgSz w:w="11900" w:h="16838" w:orient="portrait"/>
          <w:cols w:equalWidth="0" w:num="1">
            <w:col w:w="11140"/>
          </w:cols>
          <w:pgMar w:left="320" w:top="455" w:right="439" w:bottom="1440" w:gutter="0" w:footer="0" w:header="0"/>
        </w:sectPr>
      </w:pP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6">
            <w:col w:w="2160" w:space="720"/>
            <w:col w:w="1500" w:space="720"/>
            <w:col w:w="1220" w:space="100"/>
            <w:col w:w="1040" w:space="720"/>
            <w:col w:w="2020" w:space="720"/>
            <w:col w:w="220"/>
          </w:cols>
          <w:pgMar w:left="320" w:top="455" w:right="439" w:bottom="1440" w:gutter="0" w:footer="0" w:header="0"/>
          <w:type w:val="continuous"/>
        </w:sectPr>
      </w:pPr>
    </w:p>
    <w:p>
      <w:pPr>
        <w:spacing w:after="0" w:line="2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3" w:lineRule="exact"/>
        <w:rPr>
          <w:sz w:val="20"/>
          <w:szCs w:val="20"/>
          <w:color w:val="auto"/>
        </w:rPr>
      </w:pPr>
    </w:p>
    <w:p>
      <w:pPr>
        <w:sectPr>
          <w:pgSz w:w="11900" w:h="16838" w:orient="portrait"/>
          <w:cols w:equalWidth="0" w:num="2">
            <w:col w:w="10200" w:space="720"/>
            <w:col w:w="220"/>
          </w:cols>
          <w:pgMar w:left="320" w:top="455" w:right="439" w:bottom="1440" w:gutter="0" w:footer="0" w:header="0"/>
          <w:type w:val="continuous"/>
        </w:sectPr>
      </w:pPr>
    </w:p>
    <w:p>
      <w:pPr>
        <w:ind w:left="120" w:right="2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4" w:lineRule="exact"/>
        <w:rPr>
          <w:sz w:val="20"/>
          <w:szCs w:val="20"/>
          <w:color w:val="auto"/>
        </w:rPr>
      </w:pPr>
    </w:p>
    <w:p>
      <w:pPr>
        <w:ind w:left="540" w:right="820" w:hanging="424"/>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54" w:lineRule="exact"/>
        <w:rPr>
          <w:sz w:val="20"/>
          <w:szCs w:val="20"/>
          <w:color w:val="auto"/>
        </w:rPr>
      </w:pPr>
    </w:p>
    <w:p>
      <w:pPr>
        <w:ind w:left="120"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140"/>
          </w:cols>
          <w:pgMar w:left="320" w:top="455" w:right="439" w:bottom="1440" w:gutter="0" w:footer="0" w:header="0"/>
          <w:type w:val="continuous"/>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US GAAP</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5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8" w:lineRule="exact"/>
        <w:rPr>
          <w:sz w:val="20"/>
          <w:szCs w:val="20"/>
          <w:color w:val="auto"/>
        </w:rPr>
      </w:pPr>
    </w:p>
    <w:p>
      <w:pPr>
        <w:sectPr>
          <w:pgSz w:w="11900" w:h="16838" w:orient="portrait"/>
          <w:cols w:equalWidth="0" w:num="6">
            <w:col w:w="880" w:space="80"/>
            <w:col w:w="1560" w:space="720"/>
            <w:col w:w="5100" w:space="720"/>
            <w:col w:w="700" w:space="720"/>
            <w:col w:w="400" w:space="100"/>
            <w:col w:w="160"/>
          </w:cols>
          <w:pgMar w:left="320" w:top="455" w:right="439" w:bottom="1440" w:gutter="0" w:footer="0" w:header="0"/>
          <w:type w:val="continuous"/>
        </w:sectPr>
      </w:pPr>
    </w:p>
    <w:p>
      <w:pPr>
        <w:ind w:left="120" w:right="360"/>
        <w:spacing w:after="0" w:line="235"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71" w:lineRule="exact"/>
        <w:rPr>
          <w:sz w:val="20"/>
          <w:szCs w:val="20"/>
          <w:color w:val="auto"/>
        </w:rPr>
      </w:pPr>
    </w:p>
    <w:p>
      <w:pPr>
        <w:ind w:left="120" w:right="1380"/>
        <w:spacing w:after="0" w:line="235"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6" w:lineRule="exact"/>
        <w:rPr>
          <w:sz w:val="20"/>
          <w:szCs w:val="20"/>
          <w:color w:val="auto"/>
        </w:rPr>
      </w:pPr>
    </w:p>
    <w:p>
      <w:pPr>
        <w:ind w:left="120" w:right="280" w:hanging="4"/>
        <w:spacing w:after="0" w:line="26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Class A American Depositary Shares on The Nasdaq Stock Market LLC. The Class A American Depositary Shares each represent one Class A Ordinary Share and are registered under the Securities Act of 1933 pursuant to a separate Registration Statement on Form F-6. Accordingly, the Class A American Depositary Shares are exempt from the operation of Section 12(a) of the Exchange Act pursuant to Rule 12a-8 thereunder.</w:t>
      </w:r>
    </w:p>
    <w:p>
      <w:pPr>
        <w:spacing w:after="0" w:line="7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**Not for trading, but only in connection with the listing of the Class C-1 American Depositary Shares on The Nasdaq Stock Market LLC. The Class C-1 American Depositary Shares each represent one Class C Ordinary Share and are registered under the Securities Act pursuant to a separate Registration Statement on Form F-6. Accordingly, the Class C-1 American Depositary Shares are exempt from the operation of Section 12(a) of the Exchange Act pursuant to Rule 12a-8 thereunder.</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57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60" w:type="dxa"/>
            <w:vAlign w:val="bottom"/>
            <w:gridSpan w:val="7"/>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FREQUENTLY USED TERMS</w:t>
            </w:r>
          </w:p>
        </w:tc>
        <w:tc>
          <w:tcPr>
            <w:tcW w:w="832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8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EXPLANATORY NOTE</w:t>
            </w:r>
          </w:p>
        </w:tc>
        <w:tc>
          <w:tcPr>
            <w:tcW w:w="882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34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KEY INFORMATION</w:t>
            </w:r>
          </w:p>
        </w:tc>
        <w:tc>
          <w:tcPr>
            <w:tcW w:w="2360" w:type="dxa"/>
            <w:vAlign w:val="bottom"/>
            <w:tcBorders>
              <w:top w:val="single" w:sz="8" w:color="0000EE"/>
            </w:tcBorders>
            <w:gridSpan w:val="8"/>
          </w:tcPr>
          <w:p>
            <w:pPr>
              <w:spacing w:after="0"/>
              <w:rPr>
                <w:sz w:val="17"/>
                <w:szCs w:val="17"/>
                <w:color w:val="auto"/>
              </w:rPr>
            </w:pPr>
          </w:p>
        </w:tc>
        <w:tc>
          <w:tcPr>
            <w:tcW w:w="51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INFORMATION ON THE COMPANY</w:t>
            </w:r>
          </w:p>
        </w:tc>
        <w:tc>
          <w:tcPr>
            <w:tcW w:w="62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4A. UNRESOLVED STAFF COMMENTS</w:t>
            </w:r>
          </w:p>
        </w:tc>
        <w:tc>
          <w:tcPr>
            <w:tcW w:w="616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4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7. MAJOR SHAREHOLDERS AND RELATED PARTY TRANSACTIONS</w:t>
            </w:r>
          </w:p>
        </w:tc>
        <w:tc>
          <w:tcPr>
            <w:tcW w:w="37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INFORMATION</w:t>
            </w:r>
          </w:p>
        </w:tc>
        <w:tc>
          <w:tcPr>
            <w:tcW w:w="68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THE OFFER AND LISTING</w:t>
            </w:r>
          </w:p>
        </w:tc>
        <w:tc>
          <w:tcPr>
            <w:tcW w:w="69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10. ADDITIONAL INFORMATION</w:t>
            </w:r>
          </w:p>
        </w:tc>
        <w:tc>
          <w:tcPr>
            <w:tcW w:w="66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DESCRIPTION OF SECURITIES OTHER THAN EQUITY SECURITIES</w:t>
            </w:r>
          </w:p>
        </w:tc>
        <w:tc>
          <w:tcPr>
            <w:tcW w:w="640" w:type="dxa"/>
            <w:vAlign w:val="bottom"/>
            <w:tcBorders>
              <w:top w:val="single" w:sz="8" w:color="0000EE"/>
            </w:tcBorders>
            <w:gridSpan w:val="2"/>
          </w:tcPr>
          <w:p>
            <w:pPr>
              <w:spacing w:after="0"/>
              <w:rPr>
                <w:sz w:val="17"/>
                <w:szCs w:val="17"/>
                <w:color w:val="auto"/>
              </w:rPr>
            </w:pPr>
          </w:p>
        </w:tc>
        <w:tc>
          <w:tcPr>
            <w:tcW w:w="29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r>
      <w:tr>
        <w:trPr>
          <w:trHeight w:val="304"/>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10040" w:type="dxa"/>
            <w:vAlign w:val="bottom"/>
            <w:gridSpan w:val="2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304"/>
        </w:trPr>
        <w:tc>
          <w:tcPr>
            <w:tcW w:w="106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III</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304"/>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ITEM 17. FINANCIAL STATEMENTS</w:t>
            </w:r>
          </w:p>
        </w:tc>
        <w:tc>
          <w:tcPr>
            <w:tcW w:w="686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19. EXHIBITS</w:t>
            </w:r>
          </w:p>
        </w:tc>
        <w:tc>
          <w:tcPr>
            <w:tcW w:w="1320" w:type="dxa"/>
            <w:vAlign w:val="bottom"/>
            <w:tcBorders>
              <w:top w:val="single" w:sz="8" w:color="0000EE"/>
            </w:tcBorders>
            <w:gridSpan w:val="3"/>
          </w:tcPr>
          <w:p>
            <w:pPr>
              <w:spacing w:after="0"/>
              <w:rPr>
                <w:sz w:val="17"/>
                <w:szCs w:val="17"/>
                <w:color w:val="auto"/>
              </w:rPr>
            </w:pPr>
          </w:p>
        </w:tc>
        <w:tc>
          <w:tcPr>
            <w:tcW w:w="68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Report on Form 20-F (including information incorporated by reference herein, this “Report”) includes statements that express Polestar’s opinions, expectations, beliefs, plans, objectives, assumptions or projections regarding future events or future results and therefore are, or may be deemed to be, “forward-looking statements” as defined in Section 27A of the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Business Combination;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GGI or Polestar in connection with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meet stock exchange listing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any projected financial information of Polestar, including underlying assumptions regarding expected development and launch timeliness for Polestar’s five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design, manufacture, launch and financing of Polestar’s vehicles and Polestar’s reliance on a limited number of vehicle models to generate revenues;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 to manufacture vehicles at a high volume, some of which have limited experience in producing electric vehicles, and on the allocation of sufficient production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capacity to Polestar by its partners in order for Polestar to be able to increase its vehicle production volumes;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Polestar’s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Polestar’s distribution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Polestar’s future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rapidly innovate;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and recruit and retain key employees, including its chief executive officer and executive team;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partnerships with vehicle charging networks to provide charging solutions for its vehicles and its strategic partners for servicing its vehicles and their integrated software;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establish its brand and capture additional market share, and the risks associated with negative press or reputational harm;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 logistical constraints on Polestar’s business, projected results of operations, financial performance or other financial metrics or on any of the foregoing risks; and</w:t>
      </w:r>
    </w:p>
    <w:p>
      <w:pPr>
        <w:spacing w:after="0" w:line="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in this Report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3.D.</w:t>
      </w:r>
    </w:p>
    <w:p>
      <w:pPr>
        <w:spacing w:after="0" w:line="22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3.D.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stated in this Report on Form 20-F or the context otherwise requires, references to:</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 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means Class A ADSs and Class C ADSs.</w:t>
      </w:r>
    </w:p>
    <w:p>
      <w:pPr>
        <w:spacing w:after="0" w:line="225"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A ADSs</w:t>
      </w:r>
      <w:r>
        <w:rPr>
          <w:rFonts w:ascii="Times New Roman" w:cs="Times New Roman" w:eastAsia="Times New Roman" w:hAnsi="Times New Roman"/>
          <w:sz w:val="18"/>
          <w:szCs w:val="18"/>
          <w:color w:val="auto"/>
        </w:rPr>
        <w:t>” means the ADS Deposit Agreement, by and among the Company, Citibank, N.A., as depositary, and all holders and beneficial owners from time to time of American depositary shares issued thereunder and representing deposited Class A Shares, a form of which is filed as an exhibit to this Report.</w:t>
      </w:r>
    </w:p>
    <w:p>
      <w:pPr>
        <w:spacing w:after="0" w:line="173"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C-1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this Report.</w:t>
      </w:r>
    </w:p>
    <w:p>
      <w:pPr>
        <w:spacing w:after="0" w:line="173"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C-2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this Report.</w:t>
      </w:r>
    </w:p>
    <w:p>
      <w:pPr>
        <w:spacing w:after="0" w:line="173"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1 to the Business Combination Agreement</w:t>
      </w:r>
      <w:r>
        <w:rPr>
          <w:rFonts w:ascii="Times New Roman" w:cs="Times New Roman" w:eastAsia="Times New Roman" w:hAnsi="Times New Roman"/>
          <w:sz w:val="18"/>
          <w:szCs w:val="18"/>
          <w:color w:val="auto"/>
        </w:rPr>
        <w:t>” means that certain amendment to the Business Combination Agreement, dated as of December 17, 2021, a copy of which is filed as an exhibit to this Report.</w:t>
      </w:r>
    </w:p>
    <w:p>
      <w:pPr>
        <w:spacing w:after="0" w:line="158"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2 to the Business Combination Agreement</w:t>
      </w:r>
      <w:r>
        <w:rPr>
          <w:rFonts w:ascii="Times New Roman" w:cs="Times New Roman" w:eastAsia="Times New Roman" w:hAnsi="Times New Roman"/>
          <w:sz w:val="18"/>
          <w:szCs w:val="18"/>
          <w:color w:val="auto"/>
        </w:rPr>
        <w:t>” means that certain amendment to the Business Combination Agreement, dated as of March 24, 2022, a copy of which is filed as an exhibit to this Report.</w:t>
      </w:r>
    </w:p>
    <w:p>
      <w:pPr>
        <w:spacing w:after="0" w:line="158"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the Business Combination Agreement</w:t>
      </w:r>
      <w:r>
        <w:rPr>
          <w:rFonts w:ascii="Times New Roman" w:cs="Times New Roman" w:eastAsia="Times New Roman" w:hAnsi="Times New Roman"/>
          <w:sz w:val="18"/>
          <w:szCs w:val="18"/>
          <w:color w:val="auto"/>
        </w:rPr>
        <w:t>” means that certain amendment to the Business Combination Agreement, dated as of April 21, 2022, a copy of which is filed as an exhibit to this Report.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 and the other transactions contemplated by the other transaction documents contemplated by the Business Combination Agreement.</w:t>
      </w:r>
    </w:p>
    <w:p>
      <w:pPr>
        <w:spacing w:after="0" w:line="15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Parent, Polestar Singapore, Polestar Sweden and Merger Sub, a copy of which is filed as an exhibit to this Report.</w:t>
      </w:r>
    </w:p>
    <w:p>
      <w:pPr>
        <w:spacing w:after="0" w:line="180"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A Share.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Shares</w:t>
      </w:r>
      <w:r>
        <w:rPr>
          <w:rFonts w:ascii="Times New Roman" w:cs="Times New Roman" w:eastAsia="Times New Roman" w:hAnsi="Times New Roman"/>
          <w:sz w:val="18"/>
          <w:szCs w:val="18"/>
          <w:color w:val="auto"/>
        </w:rPr>
        <w:t>” means Class A ordinary shares of the Company, entitling the holder thereof to one vote per share.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Shares</w:t>
      </w:r>
      <w:r>
        <w:rPr>
          <w:rFonts w:ascii="Times New Roman" w:cs="Times New Roman" w:eastAsia="Times New Roman" w:hAnsi="Times New Roman"/>
          <w:sz w:val="18"/>
          <w:szCs w:val="18"/>
          <w:color w:val="auto"/>
        </w:rPr>
        <w:t>” means Class B ordinary shares of the Company, entitling the holder thereof to 10 votes per share.</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ADSs</w:t>
      </w:r>
      <w:r>
        <w:rPr>
          <w:rFonts w:ascii="Times New Roman" w:cs="Times New Roman" w:eastAsia="Times New Roman" w:hAnsi="Times New Roman"/>
          <w:sz w:val="18"/>
          <w:szCs w:val="18"/>
          <w:color w:val="auto"/>
        </w:rPr>
        <w:t>” means Class C-1 ADSs and Class C-2 ADSs.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means Class C-1 Shares and Class C-2 Shares.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Warrant Amendment</w:t>
      </w:r>
      <w:r>
        <w:rPr>
          <w:rFonts w:ascii="Times New Roman" w:cs="Times New Roman" w:eastAsia="Times New Roman" w:hAnsi="Times New Roman"/>
          <w:sz w:val="18"/>
          <w:szCs w:val="18"/>
          <w:color w:val="auto"/>
        </w:rPr>
        <w: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this Report.</w:t>
      </w:r>
    </w:p>
    <w:p>
      <w:pPr>
        <w:spacing w:after="0" w:line="180"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ADS</w:t>
      </w:r>
      <w:r>
        <w:rPr>
          <w:rFonts w:ascii="Times New Roman" w:cs="Times New Roman" w:eastAsia="Times New Roman" w:hAnsi="Times New Roman"/>
          <w:sz w:val="18"/>
          <w:szCs w:val="18"/>
          <w:color w:val="auto"/>
        </w:rPr>
        <w:t>”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7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Share</w:t>
      </w:r>
      <w:r>
        <w:rPr>
          <w:rFonts w:ascii="Times New Roman" w:cs="Times New Roman" w:eastAsia="Times New Roman" w:hAnsi="Times New Roman"/>
          <w:sz w:val="18"/>
          <w:szCs w:val="18"/>
          <w:color w:val="auto"/>
        </w:rPr>
        <w:t>” means a class C-1 preferred share in the share capital of the Company, each of which underlies a Class C-1 ADS and is exercisable for one Class A Share.</w:t>
      </w:r>
    </w:p>
    <w:p>
      <w:pPr>
        <w:spacing w:after="0" w:line="158"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ADS</w:t>
      </w:r>
      <w:r>
        <w:rPr>
          <w:rFonts w:ascii="Times New Roman" w:cs="Times New Roman" w:eastAsia="Times New Roman" w:hAnsi="Times New Roman"/>
          <w:sz w:val="18"/>
          <w:szCs w:val="18"/>
          <w:color w:val="auto"/>
        </w:rPr>
        <w:t>”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7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Share</w:t>
      </w:r>
      <w:r>
        <w:rPr>
          <w:rFonts w:ascii="Times New Roman" w:cs="Times New Roman" w:eastAsia="Times New Roman" w:hAnsi="Times New Roman"/>
          <w:sz w:val="18"/>
          <w:szCs w:val="18"/>
          <w:color w:val="auto"/>
        </w:rPr>
        <w:t>” means a class C-2 preferred share in the share capital of the Company, each of which underlies a Class C-2 ADS and is exercisable for one Class A Share.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or June 23,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jc w:val="both"/>
        <w:ind w:left="120"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securities</w:t>
      </w:r>
      <w:r>
        <w:rPr>
          <w:rFonts w:ascii="Times New Roman" w:cs="Times New Roman" w:eastAsia="Times New Roman" w:hAnsi="Times New Roman"/>
          <w:sz w:val="18"/>
          <w:szCs w:val="18"/>
          <w:color w:val="auto"/>
        </w:rPr>
        <w:t>” means the Shares and Class C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Court of Chancery</w:t>
      </w:r>
      <w:r>
        <w:rPr>
          <w:rFonts w:ascii="Times New Roman" w:cs="Times New Roman" w:eastAsia="Times New Roman" w:hAnsi="Times New Roman"/>
          <w:sz w:val="18"/>
          <w:szCs w:val="18"/>
          <w:color w:val="auto"/>
        </w:rPr>
        <w:t>” means the Court of Chancery in the State of Delaware.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GGI Certificate</w:t>
      </w:r>
      <w:r>
        <w:rPr>
          <w:rFonts w:ascii="Times New Roman" w:cs="Times New Roman" w:eastAsia="Times New Roman" w:hAnsi="Times New Roman"/>
          <w:sz w:val="18"/>
          <w:szCs w:val="18"/>
          <w:color w:val="auto"/>
        </w:rPr>
        <w:t>” means the Amended and Restated Certificate of Incorporation of GGI, dated March 22,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Investment</w:t>
      </w:r>
      <w:r>
        <w:rPr>
          <w:rFonts w:ascii="Times New Roman" w:cs="Times New Roman" w:eastAsia="Times New Roman" w:hAnsi="Times New Roman"/>
          <w:sz w:val="18"/>
          <w:szCs w:val="18"/>
          <w:color w:val="auto"/>
        </w:rPr>
        <w:t>” means the purchase of December PIPE Shares pursuant to the December PIPE Subscription Agreements.</w:t>
      </w:r>
    </w:p>
    <w:p>
      <w:pPr>
        <w:spacing w:after="0" w:line="225"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Investors</w:t>
      </w:r>
      <w:r>
        <w:rPr>
          <w:rFonts w:ascii="Times New Roman" w:cs="Times New Roman" w:eastAsia="Times New Roman" w:hAnsi="Times New Roman"/>
          <w:sz w:val="18"/>
          <w:szCs w:val="18"/>
          <w:color w:val="auto"/>
        </w:rPr>
        <w:t>” means the purchasers of December PIPE Shares in the December PIPE Investment, which include certain affiliates and employees of the GGI Sponsor.</w:t>
      </w:r>
    </w:p>
    <w:p>
      <w:pPr>
        <w:spacing w:after="0" w:line="158"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Shares</w:t>
      </w:r>
      <w:r>
        <w:rPr>
          <w:rFonts w:ascii="Times New Roman" w:cs="Times New Roman" w:eastAsia="Times New Roman" w:hAnsi="Times New Roman"/>
          <w:sz w:val="18"/>
          <w:szCs w:val="18"/>
          <w:color w:val="auto"/>
        </w:rPr>
        <w:t>” means the Class A Shares in the form of Class A ADSs purchased by December PIPE Investors in the December PIPE Investment.</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Subscription Agreements</w:t>
      </w:r>
      <w:r>
        <w:rPr>
          <w:rFonts w:ascii="Times New Roman" w:cs="Times New Roman" w:eastAsia="Times New Roman" w:hAnsi="Times New Roman"/>
          <w:sz w:val="18"/>
          <w:szCs w:val="18"/>
          <w:color w:val="auto"/>
        </w:rPr>
        <w:t>” means the share subscription agreements, dated December 17, 2021, by and among the Company, GGI and the December PIPE Investors pursuant to which the December PIPE Investors purchased in the aggregate, 14.3 million December PIPE Shares for an average purchase price of $9.54 per share, or an aggregate purchase price equal to approximately $136.0 million.</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Deloitte</w:t>
      </w:r>
      <w:r>
        <w:rPr>
          <w:rFonts w:ascii="Times New Roman" w:cs="Times New Roman" w:eastAsia="Times New Roman" w:hAnsi="Times New Roman"/>
          <w:sz w:val="18"/>
          <w:szCs w:val="18"/>
          <w:color w:val="auto"/>
        </w:rPr>
        <w:t>” means Deloitte AB, an independent registered public accounting firm.</w:t>
      </w:r>
    </w:p>
    <w:p>
      <w:pPr>
        <w:spacing w:after="0" w:line="225" w:lineRule="exact"/>
        <w:rPr>
          <w:sz w:val="20"/>
          <w:szCs w:val="20"/>
          <w:color w:val="auto"/>
        </w:rPr>
      </w:pPr>
    </w:p>
    <w:p>
      <w:pPr>
        <w:ind w:left="120" w:right="10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 Agreements</w:t>
      </w:r>
      <w:r>
        <w:rPr>
          <w:rFonts w:ascii="Times New Roman" w:cs="Times New Roman" w:eastAsia="Times New Roman" w:hAnsi="Times New Roman"/>
          <w:sz w:val="18"/>
          <w:szCs w:val="18"/>
          <w:color w:val="auto"/>
        </w:rPr>
        <w:t>” means the ADS Deposit Agreement—Class A ADSs, the ADS Deposit Agreement—Class C-1 ADSs and the ADS Deposit Agreement—Class C-2 ADSs.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Citibank, N.A., acting as depositary under the Deposit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120" w:right="6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Shares</w:t>
      </w:r>
      <w:r>
        <w:rPr>
          <w:rFonts w:ascii="Times New Roman" w:cs="Times New Roman" w:eastAsia="Times New Roman" w:hAnsi="Times New Roman"/>
          <w:sz w:val="18"/>
          <w:szCs w:val="18"/>
          <w:color w:val="auto"/>
        </w:rPr>
        <w:t>” means earn out shares from the Company issuable in Class A ADSs and Class B ADSs up to an aggregate number equal to approximately (a) 0.075 multiplied by (b) the number of issued and outstanding Shares as of immediately after the Closing.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the effective time of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together with the rules and regulations promulgated thereunder.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Geely</w:t>
      </w:r>
      <w:r>
        <w:rPr>
          <w:rFonts w:ascii="Times New Roman" w:cs="Times New Roman" w:eastAsia="Times New Roman" w:hAnsi="Times New Roman"/>
          <w:sz w:val="18"/>
          <w:szCs w:val="18"/>
          <w:color w:val="auto"/>
        </w:rPr>
        <w:t>” means Zhejiang Geely Holding Group Co., Ltd.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w:t>
      </w:r>
      <w:r>
        <w:rPr>
          <w:rFonts w:ascii="Times New Roman" w:cs="Times New Roman" w:eastAsia="Times New Roman" w:hAnsi="Times New Roman"/>
          <w:sz w:val="18"/>
          <w:szCs w:val="18"/>
          <w:color w:val="auto"/>
        </w:rPr>
        <w:t>” means Gores Guggenheim,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A Common Stock</w:t>
      </w:r>
      <w:r>
        <w:rPr>
          <w:rFonts w:ascii="Times New Roman" w:cs="Times New Roman" w:eastAsia="Times New Roman" w:hAnsi="Times New Roman"/>
          <w:sz w:val="18"/>
          <w:szCs w:val="18"/>
          <w:color w:val="auto"/>
        </w:rPr>
        <w:t>” means the shares of Class A common stock, par value $0.0001 per share, of GGI.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F Common Stock</w:t>
      </w:r>
      <w:r>
        <w:rPr>
          <w:rFonts w:ascii="Times New Roman" w:cs="Times New Roman" w:eastAsia="Times New Roman" w:hAnsi="Times New Roman"/>
          <w:sz w:val="18"/>
          <w:szCs w:val="18"/>
          <w:color w:val="auto"/>
        </w:rPr>
        <w:t>” means the shares of Class F common stock, par value $0.0001 per share, of GGI.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Common Stock</w:t>
      </w:r>
      <w:r>
        <w:rPr>
          <w:rFonts w:ascii="Times New Roman" w:cs="Times New Roman" w:eastAsia="Times New Roman" w:hAnsi="Times New Roman"/>
          <w:sz w:val="18"/>
          <w:szCs w:val="18"/>
          <w:color w:val="auto"/>
        </w:rPr>
        <w:t>” means the GGI Class A Common Stock and the GGI Class F 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Initial Stockholders</w:t>
      </w:r>
      <w:r>
        <w:rPr>
          <w:rFonts w:ascii="Times New Roman" w:cs="Times New Roman" w:eastAsia="Times New Roman" w:hAnsi="Times New Roman"/>
          <w:sz w:val="18"/>
          <w:szCs w:val="18"/>
          <w:color w:val="auto"/>
        </w:rPr>
        <w:t>” means the GGI Sponsor and Randall Bort, Elizabeth Marcellino and Nancy Tellem, GGI’s independent directors.</w:t>
      </w:r>
    </w:p>
    <w:p>
      <w:pPr>
        <w:spacing w:after="0" w:line="225"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Public Warrants</w:t>
      </w:r>
      <w:r>
        <w:rPr>
          <w:rFonts w:ascii="Times New Roman" w:cs="Times New Roman" w:eastAsia="Times New Roman" w:hAnsi="Times New Roman"/>
          <w:sz w:val="18"/>
          <w:szCs w:val="18"/>
          <w:color w:val="auto"/>
        </w:rPr>
        <w:t>” means the warrants included in the GGI public units (consisting of one share of GGI Class A Common Stock and one-fifth of one GGI Public Warrant) issued in the GGI initial public offering, consummated on March 25, 2021.</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Sponsor</w:t>
      </w:r>
      <w:r>
        <w:rPr>
          <w:rFonts w:ascii="Times New Roman" w:cs="Times New Roman" w:eastAsia="Times New Roman" w:hAnsi="Times New Roman"/>
          <w:sz w:val="18"/>
          <w:szCs w:val="18"/>
          <w:color w:val="auto"/>
        </w:rPr>
        <w:t>” means Gores Guggenheim Sponsor LLC, a Delaware limited liability company and an affiliate of The Gores Group, LLC.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Warrants</w:t>
      </w:r>
      <w:r>
        <w:rPr>
          <w:rFonts w:ascii="Times New Roman" w:cs="Times New Roman" w:eastAsia="Times New Roman" w:hAnsi="Times New Roman"/>
          <w:sz w:val="18"/>
          <w:szCs w:val="18"/>
          <w:color w:val="auto"/>
        </w:rPr>
        <w:t>” means, collectively, the GGI Private Placement Warrants and the GGI Public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Investment</w:t>
      </w:r>
      <w:r>
        <w:rPr>
          <w:rFonts w:ascii="Times New Roman" w:cs="Times New Roman" w:eastAsia="Times New Roman" w:hAnsi="Times New Roman"/>
          <w:sz w:val="18"/>
          <w:szCs w:val="18"/>
          <w:color w:val="auto"/>
        </w:rPr>
        <w:t>” means the purchase of Initial PIPE Shares pursuant to the Initial PIPE Subscription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Investors</w:t>
      </w:r>
      <w:r>
        <w:rPr>
          <w:rFonts w:ascii="Times New Roman" w:cs="Times New Roman" w:eastAsia="Times New Roman" w:hAnsi="Times New Roman"/>
          <w:sz w:val="18"/>
          <w:szCs w:val="18"/>
          <w:color w:val="auto"/>
        </w:rPr>
        <w:t>” means the purchasers of Initial PIPE Shares in the Initial PIPE Investment.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Shares</w:t>
      </w:r>
      <w:r>
        <w:rPr>
          <w:rFonts w:ascii="Times New Roman" w:cs="Times New Roman" w:eastAsia="Times New Roman" w:hAnsi="Times New Roman"/>
          <w:sz w:val="18"/>
          <w:szCs w:val="18"/>
          <w:color w:val="auto"/>
        </w:rPr>
        <w:t>” means the Class A Shares in the form of Class A ADSs purchased by Initial PIPE Investors in the Initial PIPE Investment.</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Subscription Agreements</w:t>
      </w:r>
      <w:r>
        <w:rPr>
          <w:rFonts w:ascii="Times New Roman" w:cs="Times New Roman" w:eastAsia="Times New Roman" w:hAnsi="Times New Roman"/>
          <w:sz w:val="18"/>
          <w:szCs w:val="18"/>
          <w:color w:val="auto"/>
        </w:rPr>
        <w:t>” means the share subscription agreements, dated September 27, 2021, by and among the Company, GGI and the Initial PIPE Investors pursuant to which the Initial PIPE Investors purchased, in the aggregate, approximately 7.43 million Initial PIPE Shares for a purchase price of $9.09 per share, or an aggregate purchase price equal to approximately $67.5 million.</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K&amp;E</w:t>
      </w:r>
      <w:r>
        <w:rPr>
          <w:rFonts w:ascii="Times New Roman" w:cs="Times New Roman" w:eastAsia="Times New Roman" w:hAnsi="Times New Roman"/>
          <w:sz w:val="18"/>
          <w:szCs w:val="18"/>
          <w:color w:val="auto"/>
        </w:rPr>
        <w:t>” means Kirkland &amp; Ellis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KPMG</w:t>
      </w:r>
      <w:r>
        <w:rPr>
          <w:rFonts w:ascii="Times New Roman" w:cs="Times New Roman" w:eastAsia="Times New Roman" w:hAnsi="Times New Roman"/>
          <w:sz w:val="18"/>
          <w:szCs w:val="18"/>
          <w:color w:val="auto"/>
        </w:rPr>
        <w:t>” means KPMG LLP, an independent registered public accounting firm.</w:t>
      </w:r>
    </w:p>
    <w:p>
      <w:pPr>
        <w:spacing w:after="0" w:line="225"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Investors</w:t>
      </w:r>
      <w:r>
        <w:rPr>
          <w:rFonts w:ascii="Times New Roman" w:cs="Times New Roman" w:eastAsia="Times New Roman" w:hAnsi="Times New Roman"/>
          <w:sz w:val="18"/>
          <w:szCs w:val="18"/>
          <w:color w:val="auto"/>
        </w:rPr>
        <w:t>” means the purchasers of March PIPE Shares in the March PIPE Investment, which include certain affiliates and employees of the GGI Sponsor.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Shares</w:t>
      </w:r>
      <w:r>
        <w:rPr>
          <w:rFonts w:ascii="Times New Roman" w:cs="Times New Roman" w:eastAsia="Times New Roman" w:hAnsi="Times New Roman"/>
          <w:sz w:val="18"/>
          <w:szCs w:val="18"/>
          <w:color w:val="auto"/>
        </w:rPr>
        <w:t>” means the Class A Shares in the form of Class A ADSs purchased by March PIPE Investors in the March PIPE Investment.</w:t>
      </w:r>
    </w:p>
    <w:p>
      <w:pPr>
        <w:spacing w:after="0" w:line="225"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Subscription Agreements</w:t>
      </w:r>
      <w:r>
        <w:rPr>
          <w:rFonts w:ascii="Times New Roman" w:cs="Times New Roman" w:eastAsia="Times New Roman" w:hAnsi="Times New Roman"/>
          <w:sz w:val="18"/>
          <w:szCs w:val="18"/>
          <w:color w:val="auto"/>
        </w:rPr>
        <w:t>” means the shares subscription agreements, dated March 24, 2022, by and among the Company, GGI and the March PIPE Investors pursuant to which the March PIPE Investors purchased, in the aggregate, 2.8 million March PIPE Shares for an average purchase price of $9.57 per share, or an aggregate purchase price equal to approximately $27.2 million.</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Sponsor Investment</w:t>
      </w:r>
      <w:r>
        <w:rPr>
          <w:rFonts w:ascii="Times New Roman" w:cs="Times New Roman" w:eastAsia="Times New Roman" w:hAnsi="Times New Roman"/>
          <w:sz w:val="18"/>
          <w:szCs w:val="18"/>
          <w:color w:val="auto"/>
        </w:rPr>
        <w:t>” means the purchase of March PIPE Shares pursuant to the March PIPE Subscription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means the merger between Merger Sub and GGI, with GGI surviving as a direct wholly owned subsidiary of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means PAH UK Merger Sub Inc., a Delaware corporation and a direct wholly owned subsidiary of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National Association of Securities Dealers Automated Quotations Global Market.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Polestar Automotive Holding Limited, a Hong Kong incorporated company.</w:t>
      </w:r>
    </w:p>
    <w:p>
      <w:pPr>
        <w:spacing w:after="0" w:line="225"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Lock-Up Agreement</w:t>
      </w:r>
      <w:r>
        <w:rPr>
          <w:rFonts w:ascii="Times New Roman" w:cs="Times New Roman" w:eastAsia="Times New Roman" w:hAnsi="Times New Roman"/>
          <w:sz w:val="18"/>
          <w:szCs w:val="18"/>
          <w:color w:val="auto"/>
        </w:rPr>
        <w:t>” means the lock-up agreement, dated September 27, 2021, by and among Parent, the Company and the other Parent Shareholders, a form of which is filed as an exhibit to this Report.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Shareholders</w:t>
      </w:r>
      <w:r>
        <w:rPr>
          <w:rFonts w:ascii="Times New Roman" w:cs="Times New Roman" w:eastAsia="Times New Roman" w:hAnsi="Times New Roman"/>
          <w:sz w:val="18"/>
          <w:szCs w:val="18"/>
          <w:color w:val="auto"/>
        </w:rPr>
        <w:t>” means Snita, Polestar Investment AB, PSD Investment Limited, GLY New Mobility 1. LP, Northpole GLY 1 LP, Chongqing</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Liangjiang </w:t>
      </w:r>
      <w:r>
        <w:rPr>
          <w:sz w:val="1"/>
          <w:szCs w:val="1"/>
          <w:color w:val="auto"/>
        </w:rPr>
        <w:drawing>
          <wp:inline distT="0" distB="0" distL="0" distR="0">
            <wp:extent cx="1628775" cy="1111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8775"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Zibo Financial Holding Group Co., Ltd. and Zibo High-Tech Industrial Investment Co., Ltd.</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means the purchase of PIPE Shares pursuant to the PIPE Subscription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purchasers of PIPE Shares in the PIPE Investment.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 means the Class A Shares in the form of Class A ADSs purchased by PIPE Investors in the PIPE Investment.</w:t>
      </w:r>
    </w:p>
    <w:p>
      <w:pPr>
        <w:spacing w:after="0" w:line="225"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Subscription Agreements</w:t>
      </w:r>
      <w:r>
        <w:rPr>
          <w:rFonts w:ascii="Times New Roman" w:cs="Times New Roman" w:eastAsia="Times New Roman" w:hAnsi="Times New Roman"/>
          <w:sz w:val="18"/>
          <w:szCs w:val="18"/>
          <w:color w:val="auto"/>
        </w:rPr>
        <w:t>” means the Initial PIPE Subscription Agreements, the December PIPE Subscription Agreements and the March PIPE Subscription Agreements.</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Polestar</w:t>
      </w:r>
      <w:r>
        <w:rPr>
          <w:rFonts w:ascii="Times New Roman" w:cs="Times New Roman" w:eastAsia="Times New Roman" w:hAnsi="Times New Roman"/>
          <w:sz w:val="17"/>
          <w:szCs w:val="17"/>
          <w:color w:val="auto"/>
        </w:rPr>
        <w:t>” means, as the context requires, (a) in general the Polestar Group, (b) in the context of the Business Combination, the Pre-Closing Reorganization and the Pre-Closing Sweden/Singapore Share Transfer, Polestar Sweden, or, both Polestar Singapore and Polestar Sweden if at any time</w:t>
      </w:r>
    </w:p>
    <w:p>
      <w:pPr>
        <w:spacing w:after="0" w:line="1" w:lineRule="exact"/>
        <w:rPr>
          <w:sz w:val="20"/>
          <w:szCs w:val="20"/>
          <w:color w:val="auto"/>
        </w:rPr>
      </w:pPr>
    </w:p>
    <w:p>
      <w:pPr>
        <w:ind w:left="120" w:right="400" w:hanging="4"/>
        <w:spacing w:after="0" w:line="260" w:lineRule="auto"/>
        <w:tabs>
          <w:tab w:leader="none" w:pos="3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Sweden is not a wholly-owned subsidiary of Polestar Singapore or (y) Polestar Singapore is not a wholly-owned subsidiary of Polestar Sweden, or (c) the Company after the Closing.</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Articles</w:t>
      </w:r>
      <w:r>
        <w:rPr>
          <w:rFonts w:ascii="Times New Roman" w:cs="Times New Roman" w:eastAsia="Times New Roman" w:hAnsi="Times New Roman"/>
          <w:sz w:val="18"/>
          <w:szCs w:val="18"/>
          <w:color w:val="auto"/>
        </w:rPr>
        <w:t>” means the Articles of Association of Polestar, a copy of which is filed as an exhibit to this Report.</w:t>
      </w:r>
    </w:p>
    <w:p>
      <w:pPr>
        <w:spacing w:after="0" w:line="225" w:lineRule="exact"/>
        <w:rPr>
          <w:sz w:val="20"/>
          <w:szCs w:val="20"/>
          <w:color w:val="auto"/>
        </w:rPr>
      </w:pPr>
    </w:p>
    <w:p>
      <w:pPr>
        <w:ind w:left="120" w:right="7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Destinations</w:t>
      </w:r>
      <w:r>
        <w:rPr>
          <w:rFonts w:ascii="Times New Roman" w:cs="Times New Roman" w:eastAsia="Times New Roman" w:hAnsi="Times New Roman"/>
          <w:sz w:val="18"/>
          <w:szCs w:val="18"/>
          <w:color w:val="auto"/>
        </w:rPr>
        <w:t>” means permanent or pop up/temporary Polestar showrooms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Financial Statements</w:t>
      </w:r>
      <w:r>
        <w:rPr>
          <w:rFonts w:ascii="Times New Roman" w:cs="Times New Roman" w:eastAsia="Times New Roman" w:hAnsi="Times New Roman"/>
          <w:sz w:val="18"/>
          <w:szCs w:val="18"/>
          <w:color w:val="auto"/>
        </w:rPr>
        <w:t>” means Polestar Automotive Holding Limited’s audited financial statements and related notes as of December 31, 2021 and 2020 and for each of the three years in the period ended December 31, 2021, 2020 and 2019.</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Group</w:t>
      </w:r>
      <w:r>
        <w:rPr>
          <w:rFonts w:ascii="Times New Roman" w:cs="Times New Roman" w:eastAsia="Times New Roman" w:hAnsi="Times New Roman"/>
          <w:sz w:val="18"/>
          <w:szCs w:val="18"/>
          <w:color w:val="auto"/>
        </w:rPr>
        <w:t>” means Parent, together with its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Locations</w:t>
      </w:r>
      <w:r>
        <w:rPr>
          <w:rFonts w:ascii="Times New Roman" w:cs="Times New Roman" w:eastAsia="Times New Roman" w:hAnsi="Times New Roman"/>
          <w:sz w:val="18"/>
          <w:szCs w:val="18"/>
          <w:color w:val="auto"/>
        </w:rPr>
        <w:t>” means Polestar Spaces, Polestar Destinations and Polestar Test Drive Center.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Singapore</w:t>
      </w:r>
      <w:r>
        <w:rPr>
          <w:rFonts w:ascii="Times New Roman" w:cs="Times New Roman" w:eastAsia="Times New Roman" w:hAnsi="Times New Roman"/>
          <w:sz w:val="18"/>
          <w:szCs w:val="18"/>
          <w:color w:val="auto"/>
        </w:rPr>
        <w:t>” means Polestar Automotive (Singapore) Pte. Ltd., a private company limited by shares in Singapore.</w:t>
      </w:r>
    </w:p>
    <w:p>
      <w:pPr>
        <w:spacing w:after="0" w:line="225"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Spaces</w:t>
      </w:r>
      <w:r>
        <w:rPr>
          <w:rFonts w:ascii="Times New Roman" w:cs="Times New Roman" w:eastAsia="Times New Roman" w:hAnsi="Times New Roman"/>
          <w:sz w:val="18"/>
          <w:szCs w:val="18"/>
          <w:color w:val="auto"/>
        </w:rPr>
        <w:t>” means permanent or pop up/temporary Polestar showrooms located in urban areas where potential customers can experience Polestar vehicles and engage with Polestar specialists.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Sweden</w:t>
      </w:r>
      <w:r>
        <w:rPr>
          <w:rFonts w:ascii="Times New Roman" w:cs="Times New Roman" w:eastAsia="Times New Roman" w:hAnsi="Times New Roman"/>
          <w:sz w:val="18"/>
          <w:szCs w:val="18"/>
          <w:color w:val="auto"/>
        </w:rPr>
        <w:t>” means Polestar Holding AB, a private limited liability company incorporated under the laws of Sweden.</w:t>
      </w:r>
    </w:p>
    <w:p>
      <w:pPr>
        <w:spacing w:after="0" w:line="225"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Test Drive Centers</w:t>
      </w:r>
      <w:r>
        <w:rPr>
          <w:rFonts w:ascii="Times New Roman" w:cs="Times New Roman" w:eastAsia="Times New Roman" w:hAnsi="Times New Roman"/>
          <w:sz w:val="18"/>
          <w:szCs w:val="18"/>
          <w:color w:val="auto"/>
        </w:rPr>
        <w:t>” means those Polestar facilities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Reorganization</w:t>
      </w:r>
      <w:r>
        <w:rPr>
          <w:rFonts w:ascii="Times New Roman" w:cs="Times New Roman" w:eastAsia="Times New Roman" w:hAnsi="Times New Roman"/>
          <w:sz w:val="18"/>
          <w:szCs w:val="18"/>
          <w:color w:val="auto"/>
        </w:rPr>
        <w:t>” means the reorganization effectuated by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Sweden/Singapore Share Transfer</w:t>
      </w:r>
      <w:r>
        <w:rPr>
          <w:rFonts w:ascii="Times New Roman" w:cs="Times New Roman" w:eastAsia="Times New Roman" w:hAnsi="Times New Roman"/>
          <w:sz w:val="18"/>
          <w:szCs w:val="18"/>
          <w:color w:val="auto"/>
        </w:rPr>
        <w:t>” means, collectively, the following transactions contemplated under the Business Combination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 the transfer by Polestar Singapore to Parent of all of the issued and outstanding equity securities of Polestar Sweden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 Share Transfer</w:t>
      </w:r>
      <w:r>
        <w:rPr>
          <w:rFonts w:ascii="Times New Roman" w:cs="Times New Roman" w:eastAsia="Times New Roman" w:hAnsi="Times New Roman"/>
          <w:sz w:val="18"/>
          <w:szCs w:val="18"/>
          <w:color w:val="auto"/>
        </w:rPr>
        <w:t>”) and (ii) after the Pre-Closing Sweden Share Transfer, the contribution by Parent to Polestar Sweden of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and outstanding equity securities of Polestar Singapore.</w:t>
      </w:r>
    </w:p>
    <w:p>
      <w:pPr>
        <w:spacing w:after="0" w:line="205"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registration rights agreement, dated September 27, 2021, by and among the Company, Parent, the Parent Shareholders, the GGI Sponsor and the independent directors of GGI (such persons, together with the GGI Sponsor and the Parent Shareholders, the “</w:t>
      </w:r>
      <w:r>
        <w:rPr>
          <w:rFonts w:ascii="Times New Roman" w:cs="Times New Roman" w:eastAsia="Times New Roman" w:hAnsi="Times New Roman"/>
          <w:sz w:val="18"/>
          <w:szCs w:val="18"/>
          <w:i w:val="1"/>
          <w:iCs w:val="1"/>
          <w:color w:val="auto"/>
        </w:rPr>
        <w:t>Registration Rights Holders</w:t>
      </w:r>
      <w:r>
        <w:rPr>
          <w:rFonts w:ascii="Times New Roman" w:cs="Times New Roman" w:eastAsia="Times New Roman" w:hAnsi="Times New Roman"/>
          <w:sz w:val="18"/>
          <w:szCs w:val="18"/>
          <w:color w:val="auto"/>
        </w:rPr>
        <w:t>”), as amended by the Registration Rights Agreement Amendment No. 1 and the Registration Rights Agreement Amendment No. 2. A copy of the Registration Rights Agreement is filed as an exhibit to this Report.</w:t>
      </w:r>
    </w:p>
    <w:p>
      <w:pPr>
        <w:spacing w:after="0" w:line="180"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1</w:t>
      </w:r>
      <w:r>
        <w:rPr>
          <w:rFonts w:ascii="Times New Roman" w:cs="Times New Roman" w:eastAsia="Times New Roman" w:hAnsi="Times New Roman"/>
          <w:sz w:val="18"/>
          <w:szCs w:val="18"/>
          <w:color w:val="auto"/>
        </w:rPr>
        <w:t>” means that certain amendment to the Registration Rights Agreement, dated December 17, 2021, a copy of which is filed as an exhibit to this Report.</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2</w:t>
      </w:r>
      <w:r>
        <w:rPr>
          <w:rFonts w:ascii="Times New Roman" w:cs="Times New Roman" w:eastAsia="Times New Roman" w:hAnsi="Times New Roman"/>
          <w:sz w:val="18"/>
          <w:szCs w:val="18"/>
          <w:color w:val="auto"/>
        </w:rPr>
        <w:t>” means that certain amendment to the Registration Rights Agreement, dated March 24, 2022, a copy of which is filed as an exhibit to this Report.</w:t>
      </w:r>
    </w:p>
    <w:p>
      <w:pPr>
        <w:spacing w:after="0" w:line="158"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Agreements</w:t>
      </w:r>
      <w:r>
        <w:rPr>
          <w:rFonts w:ascii="Times New Roman" w:cs="Times New Roman" w:eastAsia="Times New Roman" w:hAnsi="Times New Roman"/>
          <w:sz w:val="18"/>
          <w:szCs w:val="18"/>
          <w:color w:val="auto"/>
        </w:rPr>
        <w:t>” means the Registration Rights Agreement, the Subscription Agreements, the Volvo Cars Preference Subscription Agreement, the Parent Lock-Up Agreement, the Sponsor and Supporting Sponsor Stockholder Lock-Up Agreement, the Class C Warrant Amendment, the Shareholder Acknowledgement Agreement and the other agreements or documents contemplated under the Business Combination Agreement.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 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203</w:t>
      </w:r>
      <w:r>
        <w:rPr>
          <w:rFonts w:ascii="Times New Roman" w:cs="Times New Roman" w:eastAsia="Times New Roman" w:hAnsi="Times New Roman"/>
          <w:sz w:val="18"/>
          <w:szCs w:val="18"/>
          <w:color w:val="auto"/>
        </w:rPr>
        <w:t>” means Section 203 of the DGCL.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w:t>
      </w:r>
      <w:r>
        <w:rPr>
          <w:rFonts w:ascii="Times New Roman" w:cs="Times New Roman" w:eastAsia="Times New Roman" w:hAnsi="Times New Roman"/>
          <w:sz w:val="18"/>
          <w:szCs w:val="18"/>
          <w:color w:val="auto"/>
        </w:rPr>
        <w:t>” means the shareholder acknowledgement, dated September 27, 2021, by and among Parent, the Parent Shareholders, Volvo Car Corporation and the Company, as amended by the Shareholder Acknowledgement Agreement Amendment, a copy of which is filed as an exhibit to this Report.</w:t>
      </w:r>
    </w:p>
    <w:p>
      <w:pPr>
        <w:spacing w:after="0" w:line="173"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 Amendment</w:t>
      </w:r>
      <w:r>
        <w:rPr>
          <w:rFonts w:ascii="Times New Roman" w:cs="Times New Roman" w:eastAsia="Times New Roman" w:hAnsi="Times New Roman"/>
          <w:sz w:val="18"/>
          <w:szCs w:val="18"/>
          <w:color w:val="auto"/>
        </w:rPr>
        <w:t>” means that certain amendment to the Shareholder Acknowledgement Agreement, dated March 24, 2022, a copy of which is filed as an exhibit to this Report.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means the Class A Shares and the Class B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Snita</w:t>
      </w:r>
      <w:r>
        <w:rPr>
          <w:rFonts w:ascii="Times New Roman" w:cs="Times New Roman" w:eastAsia="Times New Roman" w:hAnsi="Times New Roman"/>
          <w:sz w:val="18"/>
          <w:szCs w:val="18"/>
          <w:color w:val="auto"/>
        </w:rPr>
        <w:t>” means Snita Holding B.V., a corporation organized under the laws of the Netherlands and a wholly owned indirect subsidiary of Volvo Cars.</w:t>
      </w:r>
    </w:p>
    <w:p>
      <w:pPr>
        <w:spacing w:after="0" w:line="225"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 Warrant Agreement</w:t>
      </w:r>
      <w:r>
        <w:rPr>
          <w:rFonts w:ascii="Times New Roman" w:cs="Times New Roman" w:eastAsia="Times New Roman" w:hAnsi="Times New Roman"/>
          <w:sz w:val="18"/>
          <w:szCs w:val="18"/>
          <w:color w:val="auto"/>
        </w:rPr>
        <w: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this Report.</w:t>
      </w:r>
    </w:p>
    <w:p>
      <w:pPr>
        <w:spacing w:after="0" w:line="173"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 Warrant Agreement Amendment</w:t>
      </w:r>
      <w:r>
        <w:rPr>
          <w:rFonts w:ascii="Times New Roman" w:cs="Times New Roman" w:eastAsia="Times New Roman" w:hAnsi="Times New Roman"/>
          <w:sz w:val="18"/>
          <w:szCs w:val="18"/>
          <w:color w:val="auto"/>
        </w:rPr>
        <w:t>” means that certain Amendment to the SPAC Warrant Agreement, by and between GGI and Computershare Trust Company, N.A., as warrant agent, dated as of April 7, 2022, a copy of which is filed as an exhibit to this Report.</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w:t>
      </w:r>
      <w:r>
        <w:rPr>
          <w:rFonts w:ascii="Times New Roman" w:cs="Times New Roman" w:eastAsia="Times New Roman" w:hAnsi="Times New Roman"/>
          <w:sz w:val="18"/>
          <w:szCs w:val="18"/>
          <w:color w:val="auto"/>
        </w:rPr>
        <w:t>” means the lock-up agreement, dated September 27, 2021, by and among GGI, Parent, the Company and the GGI Initial Stockholders, as amended by the Sponsor and Supporting Sponsor Stockholder Lock-Up Agreement Amendment No. 1 and the Sponsor and Supporting Sponsor Stockholder Lock-Up Agreement Amendment No. 2. A copy of the Sponsor and Supporting Sponsor Stockholder Lock-Up Agreement is filed as an exhibit to this Report.</w:t>
      </w:r>
    </w:p>
    <w:p>
      <w:pPr>
        <w:spacing w:after="0" w:line="180"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1</w:t>
      </w:r>
      <w:r>
        <w:rPr>
          <w:rFonts w:ascii="Times New Roman" w:cs="Times New Roman" w:eastAsia="Times New Roman" w:hAnsi="Times New Roman"/>
          <w:sz w:val="18"/>
          <w:szCs w:val="18"/>
          <w:color w:val="auto"/>
        </w:rPr>
        <w:t>” means that certain amendment to the Sponsor and Supporting Sponsor Stockholder Lock-Up Agreement, dated December 17, 2021, a copy of which is filed as an exhibit to this Report.</w:t>
      </w:r>
    </w:p>
    <w:p>
      <w:pPr>
        <w:spacing w:after="0" w:line="158"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2</w:t>
      </w:r>
      <w:r>
        <w:rPr>
          <w:rFonts w:ascii="Times New Roman" w:cs="Times New Roman" w:eastAsia="Times New Roman" w:hAnsi="Times New Roman"/>
          <w:sz w:val="18"/>
          <w:szCs w:val="18"/>
          <w:color w:val="auto"/>
        </w:rPr>
        <w:t>” means that certain amendment to the Sponsor and Supporting Sponsor Stockholder Lock-Up Agreement, dated March 24, 2022, a copy of which is filed as an exhibit to this Report.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the GGI Sponsor, pursuant to which the GGI Sponsor purchased approximately 891,000 Sponsor Subscription Shares for a purchase price of $9.09 per share on the date of Closing.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Investment</w:t>
      </w:r>
      <w:r>
        <w:rPr>
          <w:rFonts w:ascii="Times New Roman" w:cs="Times New Roman" w:eastAsia="Times New Roman" w:hAnsi="Times New Roman"/>
          <w:sz w:val="18"/>
          <w:szCs w:val="18"/>
          <w:color w:val="auto"/>
        </w:rPr>
        <w:t>” means the purchase of the Sponsor Subscription Shares pursuant to the Sponsor Subscription Agreement.</w:t>
      </w:r>
    </w:p>
    <w:p>
      <w:pPr>
        <w:spacing w:after="0" w:line="225" w:lineRule="exact"/>
        <w:rPr>
          <w:sz w:val="20"/>
          <w:szCs w:val="20"/>
          <w:color w:val="auto"/>
        </w:rPr>
      </w:pPr>
    </w:p>
    <w:p>
      <w:pPr>
        <w:ind w:left="120" w:right="4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Shares</w:t>
      </w:r>
      <w:r>
        <w:rPr>
          <w:rFonts w:ascii="Times New Roman" w:cs="Times New Roman" w:eastAsia="Times New Roman" w:hAnsi="Times New Roman"/>
          <w:sz w:val="18"/>
          <w:szCs w:val="18"/>
          <w:color w:val="auto"/>
        </w:rPr>
        <w:t>” means the Class A Shares in the form of Class A ADSs purchased by the GGI Sponsor in the Sponsor Subscription Investment.</w:t>
      </w:r>
    </w:p>
    <w:p>
      <w:pPr>
        <w:spacing w:after="0" w:line="158" w:lineRule="exact"/>
        <w:rPr>
          <w:sz w:val="20"/>
          <w:szCs w:val="20"/>
          <w:color w:val="auto"/>
        </w:rPr>
      </w:pPr>
    </w:p>
    <w:p>
      <w:pPr>
        <w:ind w:left="120" w:right="4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means the PIPE Subscription Agreements, the Sponsor Subscription Agreement and the Volvo Cars PIPE Subscription Agreement.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Investments</w:t>
      </w:r>
      <w:r>
        <w:rPr>
          <w:rFonts w:ascii="Times New Roman" w:cs="Times New Roman" w:eastAsia="Times New Roman" w:hAnsi="Times New Roman"/>
          <w:sz w:val="18"/>
          <w:szCs w:val="18"/>
          <w:color w:val="auto"/>
        </w:rPr>
        <w:t>” means the purchase of the Subscription Shares pursuant to the Subscription Agreements.</w:t>
      </w:r>
    </w:p>
    <w:p>
      <w:pPr>
        <w:spacing w:after="0" w:line="225"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Shares</w:t>
      </w:r>
      <w:r>
        <w:rPr>
          <w:rFonts w:ascii="Times New Roman" w:cs="Times New Roman" w:eastAsia="Times New Roman" w:hAnsi="Times New Roman"/>
          <w:sz w:val="18"/>
          <w:szCs w:val="18"/>
          <w:color w:val="auto"/>
        </w:rPr>
        <w:t>”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Gores Group</w:t>
      </w:r>
      <w:r>
        <w:rPr>
          <w:rFonts w:ascii="Times New Roman" w:cs="Times New Roman" w:eastAsia="Times New Roman" w:hAnsi="Times New Roman"/>
          <w:sz w:val="18"/>
          <w:szCs w:val="18"/>
          <w:color w:val="auto"/>
        </w:rPr>
        <w:t>” means The Gores Group, LLC, an affiliate of the GGI Sponsor.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United States dollars, the legal currency of the United States.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w:t>
      </w:r>
      <w:r>
        <w:rPr>
          <w:rFonts w:ascii="Times New Roman" w:cs="Times New Roman" w:eastAsia="Times New Roman" w:hAnsi="Times New Roman"/>
          <w:sz w:val="18"/>
          <w:szCs w:val="18"/>
          <w:color w:val="auto"/>
        </w:rPr>
        <w:t>” means Volvo Car AB (publ) and its subsidiaries.</w:t>
      </w:r>
    </w:p>
    <w:p>
      <w:pPr>
        <w:spacing w:after="0" w:line="225"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Volvo Cars, pursuant to which Snita purchased approximately 1.1 million Volvo Cars PIPE Subscription Shares for a purchase price of $10.00 per share.</w:t>
      </w:r>
    </w:p>
    <w:p>
      <w:pPr>
        <w:spacing w:after="0" w:line="173"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Investment</w:t>
      </w:r>
      <w:r>
        <w:rPr>
          <w:rFonts w:ascii="Times New Roman" w:cs="Times New Roman" w:eastAsia="Times New Roman" w:hAnsi="Times New Roman"/>
          <w:sz w:val="18"/>
          <w:szCs w:val="18"/>
          <w:color w:val="auto"/>
        </w:rPr>
        <w:t>” means the purchase of Volvo Cars PIPE Subscription Shares pursuant to the Volvo Cars PIPE Subscription Agreement.</w:t>
      </w:r>
    </w:p>
    <w:p>
      <w:pPr>
        <w:spacing w:after="0" w:line="158"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Shares</w:t>
      </w:r>
      <w:r>
        <w:rPr>
          <w:rFonts w:ascii="Times New Roman" w:cs="Times New Roman" w:eastAsia="Times New Roman" w:hAnsi="Times New Roman"/>
          <w:sz w:val="18"/>
          <w:szCs w:val="18"/>
          <w:color w:val="auto"/>
        </w:rPr>
        <w:t>” means the Class A Shares in the form of Class A ADSs purchased by Snita in the Volvo Cars PIPE Subscription Investment.</w:t>
      </w:r>
    </w:p>
    <w:p>
      <w:pPr>
        <w:spacing w:after="0" w:line="158"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Agreement</w:t>
      </w:r>
      <w:r>
        <w:rPr>
          <w:rFonts w:ascii="Times New Roman" w:cs="Times New Roman" w:eastAsia="Times New Roman" w:hAnsi="Times New Roman"/>
          <w:sz w:val="18"/>
          <w:szCs w:val="18"/>
          <w:color w:val="auto"/>
        </w:rPr>
        <w:t>” means the subscription agreement, dated September 27, 2021, by and between the Company and Snita as amended on March 24, 2022, pursuant to which Snita purchased, at Closing, mandatory convertible preference shares of the Company for an aggregate subscription price of $10.00 per share, for an aggregate investment amount equal to $588,826,100.</w:t>
      </w:r>
    </w:p>
    <w:p>
      <w:pPr>
        <w:spacing w:after="0" w:line="173"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Investment</w:t>
      </w:r>
      <w:r>
        <w:rPr>
          <w:rFonts w:ascii="Times New Roman" w:cs="Times New Roman" w:eastAsia="Times New Roman" w:hAnsi="Times New Roman"/>
          <w:sz w:val="18"/>
          <w:szCs w:val="18"/>
          <w:color w:val="auto"/>
        </w:rPr>
        <w:t>” means the purchase of the Volvo Cars Preference Subscription Shares pursuant to the Volvo Cars Preference Subscription Agreement.</w:t>
      </w:r>
    </w:p>
    <w:p>
      <w:pPr>
        <w:spacing w:after="0" w:line="158"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Shares</w:t>
      </w:r>
      <w:r>
        <w:rPr>
          <w:rFonts w:ascii="Times New Roman" w:cs="Times New Roman" w:eastAsia="Times New Roman" w:hAnsi="Times New Roman"/>
          <w:sz w:val="18"/>
          <w:szCs w:val="18"/>
          <w:color w:val="auto"/>
        </w:rPr>
        <w:t>” means the mandatory convertible preference shares of the Company purchased by Snita pursuant to the Volvo Cars Preference Subscription Agreement.</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September 27, 2021, GGI, Parent, Polestar Singapore, Polestar Sweden, the Company and Merger Sub entered into a Business Combination Agreement.</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At the Closing, the Company completed the Pre-Closing Reorganization, pursuant to which, among other things, Polestar Singapore, Polestar Sweden and their respective subsidiaries became wholly owned subsidiaries of the Company.</w:t>
      </w:r>
    </w:p>
    <w:p>
      <w:pPr>
        <w:spacing w:after="0" w:line="162"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Pursuant to the Business Combination Agreement, subject to the satisfaction or waiver of certain conditions set forth therein, the following has occurred: (i) substantially concurrently with the Closing, (a) certain investors purchased approximately 7.43 million Class A Shares in the form of Class A ADSs for an aggregate purchase price payable to the Company of approximately $67.5 million, (b) an affiliate of the GGI Sponsor purchased approximately 891,000 Class A Shares in the form of Class A ADSs for an aggregate purchase price payable to the Company of approximately</w:t>
      </w:r>
    </w:p>
    <w:p>
      <w:pPr>
        <w:spacing w:after="0" w:line="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$8.1 million, (c) Snita purchased, approximately 1.1 million Class A Shares in the form of Class A ADSs for a purchase price of $10.00 per share, for an aggregate investment amount equal to approximately $11.2 million, (d) certain investors (which include certain affiliates and employees of the GGI Sponsor) purchased approximately 14.3 million Class A Shares in the form of Class A ADSs for an aggregate purchase price payable to the Company of approximately $136.0 million, (e) certain investors (which include certain affiliates and employees of the GGI Sponsor) purchased approximately</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million Class A Shares in the form of Class A ADSs for an aggregate purchase price payable to the Company of approximately $27.2 million and</w:t>
      </w:r>
    </w:p>
    <w:p>
      <w:pPr>
        <w:spacing w:after="0" w:line="9" w:lineRule="exact"/>
        <w:rPr>
          <w:sz w:val="20"/>
          <w:szCs w:val="20"/>
          <w:color w:val="auto"/>
        </w:rPr>
      </w:pPr>
    </w:p>
    <w:p>
      <w:pPr>
        <w:ind w:left="120" w:right="100" w:hanging="4"/>
        <w:spacing w:after="0" w:line="251"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Snita purchased mandatory convertible preference shares of the Company (the “</w:t>
      </w:r>
      <w:r>
        <w:rPr>
          <w:rFonts w:ascii="Times New Roman" w:cs="Times New Roman" w:eastAsia="Times New Roman" w:hAnsi="Times New Roman"/>
          <w:sz w:val="18"/>
          <w:szCs w:val="18"/>
          <w:i w:val="1"/>
          <w:iCs w:val="1"/>
          <w:color w:val="auto"/>
        </w:rPr>
        <w:t>Preference Shares</w:t>
      </w:r>
      <w:r>
        <w:rPr>
          <w:rFonts w:ascii="Times New Roman" w:cs="Times New Roman" w:eastAsia="Times New Roman" w:hAnsi="Times New Roman"/>
          <w:sz w:val="18"/>
          <w:szCs w:val="18"/>
          <w:color w:val="auto"/>
        </w:rPr>
        <w:t>”) for $10.00 per share, for an aggregate investment amount equal to $588,826,100 (the “</w:t>
      </w:r>
      <w:r>
        <w:rPr>
          <w:rFonts w:ascii="Times New Roman" w:cs="Times New Roman" w:eastAsia="Times New Roman" w:hAnsi="Times New Roman"/>
          <w:sz w:val="18"/>
          <w:szCs w:val="18"/>
          <w:i w:val="1"/>
          <w:iCs w:val="1"/>
          <w:color w:val="auto"/>
        </w:rPr>
        <w:t>Volvo Cars Preference Amount</w:t>
      </w:r>
      <w:r>
        <w:rPr>
          <w:rFonts w:ascii="Times New Roman" w:cs="Times New Roman" w:eastAsia="Times New Roman" w:hAnsi="Times New Roman"/>
          <w:sz w:val="18"/>
          <w:szCs w:val="18"/>
          <w:color w:val="auto"/>
        </w:rPr>
        <w:t>”); (ii) Merger Sub merged with and into GGI, pursuant to which the separate corporate existence of Merger Sub ceased and GGI became a wholly owned subsidiary of the Company, and all GGI Common Stock, issued and outstanding immediately prior to the Effective Time, was exchanged for Class A ADSs duly and validly issued against the deposit of an underlying Class A Share with the Company’s depositary with which the Company has established and sponsored American depositary receipt facilities (each, an “</w:t>
      </w:r>
      <w:r>
        <w:rPr>
          <w:rFonts w:ascii="Times New Roman" w:cs="Times New Roman" w:eastAsia="Times New Roman" w:hAnsi="Times New Roman"/>
          <w:sz w:val="18"/>
          <w:szCs w:val="18"/>
          <w:i w:val="1"/>
          <w:iCs w:val="1"/>
          <w:color w:val="auto"/>
        </w:rPr>
        <w:t>ADR Facility</w:t>
      </w:r>
      <w:r>
        <w:rPr>
          <w:rFonts w:ascii="Times New Roman" w:cs="Times New Roman" w:eastAsia="Times New Roman" w:hAnsi="Times New Roman"/>
          <w:sz w:val="18"/>
          <w:szCs w:val="18"/>
          <w:color w:val="auto"/>
        </w:rPr>
        <w:t>”); and (iii) at the Closing, each GGI Public Warrant was automatically cancelled and extinguished and converted into a Class C-1 ADS duly and validly issued against the deposit with the depositary of an underlying Class C-1 Share and each private placement warrant of GGI (“</w:t>
      </w:r>
      <w:r>
        <w:rPr>
          <w:rFonts w:ascii="Times New Roman" w:cs="Times New Roman" w:eastAsia="Times New Roman" w:hAnsi="Times New Roman"/>
          <w:sz w:val="18"/>
          <w:szCs w:val="18"/>
          <w:i w:val="1"/>
          <w:iCs w:val="1"/>
          <w:color w:val="auto"/>
        </w:rPr>
        <w:t>GGI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Placement Warrant</w:t>
      </w:r>
      <w:r>
        <w:rPr>
          <w:rFonts w:ascii="Times New Roman" w:cs="Times New Roman" w:eastAsia="Times New Roman" w:hAnsi="Times New Roman"/>
          <w:sz w:val="18"/>
          <w:szCs w:val="18"/>
          <w:color w:val="auto"/>
        </w:rPr>
        <w:t>”) was automatically cancelled and extinguished and converted into the right to receive a Class C-2 ADS duly and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against the deposit with the depositary of an underlying Class C-2 Share.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Combination was consummated on June 23,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amounts that appear in this Report may not sum due to rounding.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131"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directors and members of the executive management are set forth in the registration statement on Form F-4 that was filed by the Company in connection with the Business Combination, in the section entitled “</w:t>
      </w:r>
      <w:r>
        <w:rPr>
          <w:rFonts w:ascii="Times New Roman" w:cs="Times New Roman" w:eastAsia="Times New Roman" w:hAnsi="Times New Roman"/>
          <w:sz w:val="18"/>
          <w:szCs w:val="18"/>
          <w:i w:val="1"/>
          <w:iCs w:val="1"/>
          <w:color w:val="auto"/>
        </w:rPr>
        <w:t>Management of the Post-Combination Company—Management and the Post-Combination Company Board</w:t>
      </w:r>
      <w:r>
        <w:rPr>
          <w:rFonts w:ascii="Times New Roman" w:cs="Times New Roman" w:eastAsia="Times New Roman" w:hAnsi="Times New Roman"/>
          <w:sz w:val="18"/>
          <w:szCs w:val="18"/>
          <w:color w:val="auto"/>
        </w:rPr>
        <w:t>,” which is incorporated herein by reference. The address for each of the directors and executive officers is Assar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Gabrielssons Väg 9, 405 31 Göteborg, Sweden. For more information also see Item 6.A in this Report.</w:t>
      </w:r>
    </w:p>
    <w:p>
      <w:pPr>
        <w:spacing w:after="0" w:line="324"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Kirkland &amp; Ellis LLP, 601 Lexington Avenue, New York, NY 10022, and Kirkland &amp; Ellis International LLP, 30 St. Mary Axe, London EC3A 8AF, serve as the Company’s U.S. and English law counsel, respectively.</w:t>
      </w:r>
    </w:p>
    <w:p>
      <w:pPr>
        <w:spacing w:after="0" w:line="306"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Limited as of December 31, 2021 and 2020 and for each of the three years in the period ended December 31, 2021 have been audited by Deloitte AB, an independent registered public accounting firm.</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UK PLC (formerly known as Polestar Automotive Holding UK Limited) as of September 15, 2021 and December 31, 2021 and for the period September 15, 2021 to December 31, 2021 have been audited by Deloitte AB, an independent registered public accounting firm.</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offices of Deloitte AB are located at Rehnsgatan 11, SE-113 79 Stockholm, Sweden.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131" w:lineRule="exact"/>
        <w:rPr>
          <w:sz w:val="20"/>
          <w:szCs w:val="20"/>
          <w:color w:val="auto"/>
        </w:rPr>
      </w:pPr>
    </w:p>
    <w:p>
      <w:pPr>
        <w:ind w:left="660" w:hanging="544"/>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3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capitalization and indebtedness of the Company on an unaudited pro forma combined basis as of December 31, 2021, and should be read in conjunction with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Item 8.A “</w:t>
      </w:r>
      <w:r>
        <w:rPr>
          <w:rFonts w:ascii="Times New Roman" w:cs="Times New Roman" w:eastAsia="Times New Roman" w:hAnsi="Times New Roman"/>
          <w:sz w:val="18"/>
          <w:szCs w:val="18"/>
          <w:i w:val="1"/>
          <w:iCs w:val="1"/>
          <w:color w:val="auto"/>
        </w:rPr>
        <w:t>Financial Information—Consolidated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Other Financial Information—Unaudited Pro Forma Condensed Combined Financial Information</w:t>
      </w:r>
      <w:r>
        <w:rPr>
          <w:rFonts w:ascii="Times New Roman" w:cs="Times New Roman" w:eastAsia="Times New Roman" w:hAnsi="Times New Roman"/>
          <w:sz w:val="18"/>
          <w:szCs w:val="18"/>
          <w:color w:val="auto"/>
        </w:rPr>
        <w:t>” and the financial statements,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schedules related thereto, which are included at the end of this Report.</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 (in TUSD)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3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Polestar Pro</w:t>
            </w:r>
          </w:p>
        </w:tc>
        <w:tc>
          <w:tcPr>
            <w:tcW w:w="0" w:type="dxa"/>
            <w:vAlign w:val="bottom"/>
          </w:tcPr>
          <w:p>
            <w:pPr>
              <w:spacing w:after="0"/>
              <w:rPr>
                <w:sz w:val="1"/>
                <w:szCs w:val="1"/>
                <w:color w:val="auto"/>
              </w:rPr>
            </w:pPr>
          </w:p>
        </w:tc>
      </w:tr>
      <w:tr>
        <w:trPr>
          <w:trHeight w:val="160"/>
        </w:trPr>
        <w:tc>
          <w:tcPr>
            <w:tcW w:w="516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320" w:type="dxa"/>
            <w:vAlign w:val="bottom"/>
          </w:tcPr>
          <w:p>
            <w:pPr>
              <w:spacing w:after="0"/>
              <w:rPr>
                <w:sz w:val="13"/>
                <w:szCs w:val="13"/>
                <w:color w:val="auto"/>
              </w:rPr>
            </w:pPr>
          </w:p>
        </w:tc>
        <w:tc>
          <w:tcPr>
            <w:tcW w:w="9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756,677</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$ 1,552,413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1,258</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marketable securities</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757,935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$ 1,553,671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 and other financial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(642,338)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(66,575)</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(10,283)</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current liabilities - related parties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(13,789)</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 Out Liability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(1,285,351)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Borrowings and other financial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(732,985)</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(2,018,336)</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(the Company)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(1,865,909)</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(21,090)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(35,231)</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(3,697,109)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1,761,860</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3,540,569</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(139,280)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(872,265)</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(2,195,966)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C.</w:t>
        <w:tab/>
        <w:t>Reasons for the Offer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9040" w:hanging="4"/>
        <w:spacing w:after="0" w:line="378" w:lineRule="auto"/>
        <w:tabs>
          <w:tab w:leader="none" w:pos="5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 Summary of Risk Factors</w:t>
      </w: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Polestar’s business faces significant risks and uncertainties. You should carefully consider all of the information set forth in this Report and in other documents we file with or furnish to the SEC, including the following risk factors, before deciding to invest in or to maintain an investment in Polestar’s securities. Polestar’s business, as well as Polestar’s reputation, financial condition, results of operations and share price, could be materially adversely affected by any of these risks, as well as other risks and uncertainties not currently known to Polestar or not currently considered material. These risks include, among others, the following: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Business and Industry</w:t>
      </w:r>
    </w:p>
    <w:p>
      <w:pPr>
        <w:spacing w:after="0" w:line="135" w:lineRule="exact"/>
        <w:rPr>
          <w:sz w:val="20"/>
          <w:szCs w:val="20"/>
          <w:color w:val="auto"/>
        </w:rPr>
      </w:pPr>
    </w:p>
    <w:p>
      <w:pPr>
        <w:ind w:left="1080" w:right="20" w:hanging="424"/>
        <w:spacing w:after="0" w:line="25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92"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produce vehicles and its future growth depend upon its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88"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partnerships with vehicle charging networks to provide charging solutions for its vehicles.</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strategic partners for servicing its vehicles and their integrated software. If Polestar or its strategic partners are unable to adequately address the service requirements of its customers, Polestar’s business, prospects, financial condition and results of operations may be materially and adversely affected.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experienced and may in the future experience significant delays in the design, development, manufacture, launch and financing of its vehicles, which could harm its business and prospects.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incurred net losses each year since its inception and expects to incur increasing expenses and substantial losses for the foreseeable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Report.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 to manufacture vehicles and Polestar’s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88"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may intervene in or influence Polestar’s or Polestar’s partners’ operations in China at any time, which could result in a material change in Polestar’s operations and ability to produce vehicles significantly and adversely impact the value of Polestar’s securities.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and its subsidiaries (i) may not receive or maintain permissions or approvals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depends on revenue generated from a limited number of models and expects this to continue in the foreseeable future.</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jc w:val="both"/>
        <w:ind w:left="1080" w:right="4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reserves to cover future warranty or part replacement needs or other vehicle repair requirements, including any potential software upgrades, could materially and adversely affect Polestar’s business, prospects,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offer attractive leasing and financing options for its current vehicle models and future vehicles, which would adversely affect consumer demand for its vehicles.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make use of lithium-ion battery cells, which have been observed to catch fire or vent smoke and flame.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88"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vehicle owners customize Polestar vehicles or change the charging infrastructure with aftermarket products, the vehicle may not operate properly, which may create negative publicity and could harm Polestar’s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135" w:lineRule="exact"/>
        <w:rPr>
          <w:sz w:val="20"/>
          <w:szCs w:val="20"/>
          <w:color w:val="auto"/>
        </w:rPr>
      </w:pPr>
    </w:p>
    <w:p>
      <w:pPr>
        <w:ind w:left="1080" w:right="5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or manipulation of Polestar’s products, digital sales tools and systems could result in loss of confidence in Polestar and its products.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Employees and Human Resources</w:t>
      </w:r>
    </w:p>
    <w:p>
      <w:pPr>
        <w:spacing w:after="0" w:line="135" w:lineRule="exact"/>
        <w:rPr>
          <w:sz w:val="20"/>
          <w:szCs w:val="20"/>
          <w:color w:val="auto"/>
        </w:rPr>
      </w:pPr>
    </w:p>
    <w:p>
      <w:pPr>
        <w:ind w:left="1080" w:right="3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35" w:lineRule="exact"/>
        <w:rPr>
          <w:sz w:val="20"/>
          <w:szCs w:val="20"/>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choose to or be compelled to undertake product recalls or take other actions, which could result in litigation and adversely affect its business, prospects, results of operations, reputation and financial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Financing and Strategy Transactions</w:t>
      </w:r>
    </w:p>
    <w:p>
      <w:pPr>
        <w:spacing w:after="0" w:line="135" w:lineRule="exact"/>
        <w:rPr>
          <w:sz w:val="20"/>
          <w:szCs w:val="20"/>
          <w:color w:val="auto"/>
        </w:rPr>
      </w:pPr>
    </w:p>
    <w:p>
      <w:pPr>
        <w:ind w:left="1080" w:right="4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will require additional capital to support business growth, and this capital might not be available on commercially reasonable terms, or at all.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financial results may vary significantly from period to period due to fluctuations in its operating costs, product demand and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Polestar’s Securities</w:t>
      </w:r>
    </w:p>
    <w:p>
      <w:pPr>
        <w:spacing w:after="0" w:line="135" w:lineRule="exact"/>
        <w:rPr>
          <w:sz w:val="20"/>
          <w:szCs w:val="20"/>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Combination’s benefits do not meet the expectations of investors, stockholders or financial analysts, the market price of the ADSs may decline.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Polestar’s resources and distract its management, which could make it difficult to manage its business.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a foreign private issuer within the meaning of the rules under the Exchange Act, and as such it is exempt from certain provisions applicable to United States domestic public companies. As a result, its shareholders may not have the same protections afforded to shareholders of companies that are subject to all Nasdaq corporate governance requirements.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lose its foreign private issuer status in the future, which could result in significant additional costs and expenses.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Business and Industry</w:t>
      </w:r>
    </w:p>
    <w:p>
      <w:pPr>
        <w:spacing w:after="0" w:line="117"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75"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Polestar’s operations rely heavily on a variety of agreements, including agreements related to research and development,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reach its development and production targets or focus its efforts on core areas of differentiation.</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Of particular importance for Polestar’s operations are the related party agreements with Volvo Cars and Geely. These related party agreements include agreements pertaining to research and development, manufacturing agreements, licensing agreements, purchasing agreements, component supply agreements, customer care agreements, logistics agreements and distribution agreements, amongst other areas. These agreements are described in more detail in this Report in Item 4.B “</w:t>
      </w:r>
      <w:r>
        <w:rPr>
          <w:rFonts w:ascii="Times New Roman" w:cs="Times New Roman" w:eastAsia="Times New Roman" w:hAnsi="Times New Roman"/>
          <w:sz w:val="18"/>
          <w:szCs w:val="18"/>
          <w:i w:val="1"/>
          <w:iCs w:val="1"/>
          <w:color w:val="auto"/>
        </w:rPr>
        <w:t>Information On The Company—Business Overview—Related Party Agreements with Volvo Cars and Geely</w:t>
      </w:r>
      <w:r>
        <w:rPr>
          <w:rFonts w:ascii="Times New Roman" w:cs="Times New Roman" w:eastAsia="Times New Roman" w:hAnsi="Times New Roman"/>
          <w:sz w:val="18"/>
          <w:szCs w:val="18"/>
          <w:color w:val="auto"/>
        </w:rPr>
        <w:t>” and Item 7.B “</w:t>
      </w:r>
      <w:r>
        <w:rPr>
          <w:rFonts w:ascii="Times New Roman" w:cs="Times New Roman" w:eastAsia="Times New Roman" w:hAnsi="Times New Roman"/>
          <w:sz w:val="18"/>
          <w:szCs w:val="18"/>
          <w:i w:val="1"/>
          <w:iCs w:val="1"/>
          <w:color w:val="auto"/>
        </w:rPr>
        <w:t>Major Shareholders And Related Party Transactions—Related Party Transactions.</w:t>
      </w:r>
      <w:r>
        <w:rPr>
          <w:rFonts w:ascii="Times New Roman" w:cs="Times New Roman" w:eastAsia="Times New Roman" w:hAnsi="Times New Roman"/>
          <w:sz w:val="18"/>
          <w:szCs w:val="18"/>
          <w:color w:val="auto"/>
        </w:rPr>
        <w:t>” These partnerships permit Polestar to benefit from the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future Polestar models. If Polestar is unable to maintain agreements or partnerships with its existing strategic partners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spacing w:after="0" w:line="296"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6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Polestar’s success will be dependent upon its ability to enter into new supplier agreements and maintain its relationships with suppliers and strategic partners who are critical and necessary to the output and production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 agreements for the parts and components of its vehicles will cause significant disruption to Polestar’s operations, or such supply agreements could be at costs that make it difficult for Polestar to operate profitably.</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w:t>
      </w:r>
    </w:p>
    <w:p>
      <w:pPr>
        <w:spacing w:after="0" w:line="293"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Polestar could experience delays if its strategic partners and suppliers do not meet agreed upon timelines or experience capacity constraints. Any disruption in the supply of components, whether or not from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single source supplier, could temporarily disrupt production of its vehicles until an alternative supplier is able to supply the required material, and there can be no guarantee that Polestar or its strategic partners will be able to make up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Item 3.D “</w:t>
      </w:r>
      <w:r>
        <w:rPr>
          <w:rFonts w:ascii="Times New Roman" w:cs="Times New Roman" w:eastAsia="Times New Roman" w:hAnsi="Times New Roman"/>
          <w:sz w:val="18"/>
          <w:szCs w:val="18"/>
          <w:i w:val="1"/>
          <w:iCs w:val="1"/>
          <w:color w:val="auto"/>
        </w:rPr>
        <w:t>Risk Factors—Risks Related to Polestar’s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Industry—Increases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Furthermore, as the scale of its vehicle production increases, Polestar will need to accurately forecast, purchase, warehouse and transport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w:t>
      </w:r>
    </w:p>
    <w:p>
      <w:pPr>
        <w:spacing w:after="0" w:line="187"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Furthermore, unexpected changes in business conditions, materials pricing and/or availability, labor issues, wars, governmental changes, tariffs, natural disasters, health epidemics such as the ongoing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the first half of 2022 due to further outbreaks of COVID-19 have resulted in delays in the production and delivery of such critical components and delayed production of Polestar vehicles. Please also see Item 4.B “</w:t>
      </w:r>
      <w:r>
        <w:rPr>
          <w:rFonts w:ascii="Times New Roman" w:cs="Times New Roman" w:eastAsia="Times New Roman" w:hAnsi="Times New Roman"/>
          <w:sz w:val="18"/>
          <w:szCs w:val="18"/>
          <w:i w:val="1"/>
          <w:iCs w:val="1"/>
          <w:color w:val="auto"/>
        </w:rPr>
        <w:t>Information On The Company—Business Overview—Recent Developments</w:t>
      </w:r>
      <w:r>
        <w:rPr>
          <w:rFonts w:ascii="Times New Roman" w:cs="Times New Roman" w:eastAsia="Times New Roman" w:hAnsi="Times New Roman"/>
          <w:sz w:val="18"/>
          <w:szCs w:val="18"/>
          <w:color w:val="auto"/>
        </w:rPr>
        <w:t>” for more information on government mandated quarantines and lockdowns in China due to COVID-19, their impact on the production and timely delivery of critical components for Polestar vehicles by suppliers and their impact on anticipated Polestar car volumes.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w:t>
      </w:r>
    </w:p>
    <w:p>
      <w:pPr>
        <w:spacing w:after="0" w:line="298"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experienced and may in the future experience significant delays in the design, development, manufacture, launch and financing of its vehicles, which could harm its business and prospects.</w:t>
      </w:r>
    </w:p>
    <w:p>
      <w:pPr>
        <w:spacing w:after="0" w:line="5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development, design, manufacture and commercial release of new vehicle models, and Polestar has experienced in the past, and may experience in the future, such delays with regard to its vehicles. For example, in 2020, Polestar 2’s intended start date for production was delayed by one month. Further, delays can also impact features in the vehicles, as seen with Polestar’s intended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w:t>
      </w:r>
    </w:p>
    <w:p>
      <w:pPr>
        <w:spacing w:after="0" w:line="18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 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w:t>
      </w:r>
    </w:p>
    <w:p>
      <w:pPr>
        <w:spacing w:after="0" w:line="27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w:t>
      </w:r>
    </w:p>
    <w:p>
      <w:pPr>
        <w:spacing w:after="0" w:line="100" w:lineRule="exact"/>
        <w:rPr>
          <w:sz w:val="20"/>
          <w:szCs w:val="20"/>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a decrease in the available supply, of materials, such as cobalt, used in lithium-ion cells;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cells due to quality issues or recalls by battery cell manufacturers; and</w:t>
      </w:r>
    </w:p>
    <w:p>
      <w:pPr>
        <w:spacing w:after="0" w:line="12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and the Swedish Krona (“</w:t>
      </w:r>
      <w:r>
        <w:rPr>
          <w:rFonts w:ascii="Times New Roman" w:cs="Times New Roman" w:eastAsia="Times New Roman" w:hAnsi="Times New Roman"/>
          <w:sz w:val="18"/>
          <w:szCs w:val="18"/>
          <w:i w:val="1"/>
          <w:iCs w:val="1"/>
          <w:color w:val="auto"/>
        </w:rPr>
        <w:t>SEK</w:t>
      </w:r>
      <w:r>
        <w:rPr>
          <w:rFonts w:ascii="Times New Roman" w:cs="Times New Roman" w:eastAsia="Times New Roman" w:hAnsi="Times New Roman"/>
          <w:sz w:val="18"/>
          <w:szCs w:val="18"/>
          <w:color w:val="auto"/>
        </w:rPr>
        <w:t>”), the renminbi (“</w:t>
      </w:r>
      <w:r>
        <w:rPr>
          <w:rFonts w:ascii="Times New Roman" w:cs="Times New Roman" w:eastAsia="Times New Roman" w:hAnsi="Times New Roman"/>
          <w:sz w:val="18"/>
          <w:szCs w:val="18"/>
          <w:i w:val="1"/>
          <w:iCs w:val="1"/>
          <w:color w:val="auto"/>
        </w:rPr>
        <w:t>RMB</w:t>
      </w:r>
      <w:r>
        <w:rPr>
          <w:rFonts w:ascii="Times New Roman" w:cs="Times New Roman" w:eastAsia="Times New Roman" w:hAnsi="Times New Roman"/>
          <w:sz w:val="18"/>
          <w:szCs w:val="18"/>
          <w:color w:val="auto"/>
        </w:rPr>
        <w:t>”), USD or the Euro (“</w:t>
      </w:r>
      <w:r>
        <w:rPr>
          <w:rFonts w:ascii="Times New Roman" w:cs="Times New Roman" w:eastAsia="Times New Roman" w:hAnsi="Times New Roman"/>
          <w:sz w:val="18"/>
          <w:szCs w:val="18"/>
          <w:i w:val="1"/>
          <w:iCs w:val="1"/>
          <w:color w:val="auto"/>
        </w:rPr>
        <w:t>EUR</w:t>
      </w:r>
      <w:r>
        <w:rPr>
          <w:rFonts w:ascii="Times New Roman" w:cs="Times New Roman" w:eastAsia="Times New Roman" w:hAnsi="Times New Roman"/>
          <w:sz w:val="18"/>
          <w:szCs w:val="18"/>
          <w:color w:val="auto"/>
        </w:rPr>
        <w:t>”) in particular, in which battery cell and related raw material purchases are or may be denominated.</w:t>
      </w:r>
    </w:p>
    <w:p>
      <w:pPr>
        <w:spacing w:after="0" w:line="16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Furthermore, Polestar’s ability to manufacture its vehicles depends on continuing access to semiconductors and components that incorporate semiconductors. A global semiconductor supply shortage is having wide-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ongoing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spacing w:after="0" w:line="67" w:lineRule="exact"/>
        <w:rPr>
          <w:sz w:val="20"/>
          <w:szCs w:val="20"/>
          <w:color w:val="auto"/>
        </w:rPr>
      </w:pPr>
    </w:p>
    <w:p>
      <w:pPr>
        <w:jc w:val="both"/>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success and growth of Polestar’s business depends upon its ability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w:t>
      </w:r>
    </w:p>
    <w:p>
      <w:pPr>
        <w:spacing w:after="0" w:line="8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commercial production and sales of its vehicles on the timing and with the specifications Polestar has planned;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professional and technical talent, including key members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significant investments in research, development, manufacturing, marketing and sales;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maintain, protect and enforce its intellectual property and defend against claims of intellectual property infringement, misappropriation or other violations;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refine its commercial manufacturing capabilities and distribution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satisfactory arrangements with its strategic partners and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a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consumer demand for certain vehicle types, models or trim levels, technological developments and changes in competitive landscape;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design, build, manufacture and market new models of electric vehicles in the future.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 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Decreases in the retail or wholesale prices of electricity from utilities or other renewable energy sources could make Polestar’s products less attractive to customers. There can be no assurance that Polestar will be able to compete successfully in its markets.</w:t>
      </w:r>
    </w:p>
    <w:p>
      <w:pPr>
        <w:spacing w:after="0" w:line="299"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sales depend in part on its ability to establish and maintain confidence in its business prospects among consumers, analysts and others within its industry.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automotive industry has significant barriers to entry that Polestar must overcome in order to manufacture and sell electric vehicles at scale.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be unable to adequately control the substantial costs associated with its operations.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the longer term, Polestar’s ability to become profitable in the future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incurred net losses each year since its inception and expects to incur increasing expenses and substantial losses for the foreseeable future.</w:t>
      </w:r>
    </w:p>
    <w:p>
      <w:pPr>
        <w:spacing w:after="0" w:line="5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Polestar’s accumulated deficit was $1,762 million. Polestar expects to continue to incur substantial losses and increasing expenses in the foreseeable future as it:</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to design and develop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builds up inventories of parts and components for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an available inventory of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deploys vehicle charging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design, research, development, maintenance and repair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its sales and marketing activities and develops its distribution infrastructure;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general and administrative functions to support its growing operations and status as a public company.</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Report.</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Group’s audited consolidated financial statements were prepared assuming that Polestar Group will continue as a going concern. However, the report of Polestar Group’s independent registered public accounting firm included elsewhere in this Report contains an explanatory paragraph on Polestar Group’s consolidated financial statements stating there is substantial doubt about its ability to continue as a going concern, meaning that Polestar Group may not be able to continue in operation for the foreseeable future or be able to realize assets and discharge liabilities in the ordinary course of operations. Such an opinion could materially limit Polestar Group’s ability to raise additional funds through the issuance of new debt or equity securities or otherwise. There is no assurance that sufficient financing will be available when needed to allow Polestar Group to continue as a going concern. The perception that Polestar Group may not be able to continue as a going concern may also make it more difficult to raise additional funds or operate Polestar Group’s business due to concerns about its ability to meet contractual obligations.</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Based on current operating plans, availability of short-term and long-term debt financing arrangements and financial support from existing Polestar shareholders, who may provide Polestar Group additional equity financing in the case Polestar Group is not able to meet financial liabilities, Polestar Group believes that it has resources to fund its operations for at least the next twelve months, but may require further funds to finance its activities thereafter. Polestar Group may also consider potential financing options with banks or other third parties.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depends on revenue generated from a limited number of models and expects this to continue in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currently depends on revenue generated from two vehicle models, Polestar 1 and Polestar 2, and in the foreseeable future will be significantly dependent on a limited number of models. Although Polestar has other vehicle models on its product pipeline, it currently does not expect to introduce another vehicle model for sale until 2023. Polestar expects to rely on sales from Polestar 1 and Polestar 2, among other sources of financing, for the capital that will be required to develop and commercialize those subsequent models (see Item 3.D “</w:t>
      </w:r>
      <w:r>
        <w:rPr>
          <w:rFonts w:ascii="Times New Roman" w:cs="Times New Roman" w:eastAsia="Times New Roman" w:hAnsi="Times New Roman"/>
          <w:sz w:val="18"/>
          <w:szCs w:val="18"/>
          <w:i w:val="1"/>
          <w:iCs w:val="1"/>
          <w:color w:val="auto"/>
        </w:rPr>
        <w:t>Risk Factors—Risks Related to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Strategic Transactions—Polestar will require additional capital to support business growth, and this capital might not be available on commercially reasonable terms, or at all</w:t>
      </w:r>
      <w:r>
        <w:rPr>
          <w:rFonts w:ascii="Times New Roman" w:cs="Times New Roman" w:eastAsia="Times New Roman" w:hAnsi="Times New Roman"/>
          <w:sz w:val="18"/>
          <w:szCs w:val="18"/>
          <w:color w:val="auto"/>
        </w:rPr>
        <w:t>.”). To the extent that production of Polestar’s vehicles is delayed or reduced, or if the vehicles are not well-received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for any reason, Polestar’s revenues and cash flow would be adversely affected and it may need to seek additional financing earlier than it expects, and such financing may not be available to it on commercially reasonable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relies on its partnerships with vehicle charging networks to provide charging solutions for its vehicles.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w:t>
      </w:r>
    </w:p>
    <w:p>
      <w:pPr>
        <w:spacing w:after="0" w:line="29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Furthermore, in some jurisdictions, Polestar may be regarded as a competitor of its strategic partners in relation to servicing vehicles pursuant to applicable competition laws. Therefore, Polestar and its strategic partners’ sales units in those markets will be subject to strict controls over the sharing of commercially sensitive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information and anti-cartel requirements that can result in reduced coordination with respect to providing servicing to customers, which in turn could have a material and adverse effect on Polestar’s sales, results of operations, prospects and financial condition.</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modify the future scope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Polestar’s vehicles fail to perform as expected, its ability to develop, market and sell or lease its products could be harmed.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Polestar’s vehicles may contain defects in components, software, design or manufacture that may cause them not to perform as expected or that may require repairs, recalls and design changes, any of which would require significant financial and other resources to successfully navigate and resolve. Polestar’s vehicles use a substantial amount of software code to operate, and software products are inherently complex and may contain defects and errors.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even if its vehicles function as designed, Polestar expects that the battery efficiency, and hence the range, of its electric vehicles, like other electric vehicles that use current battery technology, will decline over time.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must develop complex software and technology systems, including in coordination with its strategic partners, vendors and suppliers, in order to produce its electric vehicles, and there can be no assurance such systems will be successfully developed.</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integrate such technology into its electric vehicles and ensure it interoperates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w:t>
      </w:r>
    </w:p>
    <w:p>
      <w:pPr>
        <w:spacing w:after="0" w:line="93"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production and delivery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market acceptance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the inability to attract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engineering or other resources for remedying the defect or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Polestar’s brand or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and warranty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 by customers or third parties, including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imposed by regulatory authorities.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if Polestar is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vehicle production relies heavily on complex machinery and involves a significant degree of risk and uncertainty in terms of operational performance and costs.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w:t>
      </w:r>
    </w:p>
    <w:p>
      <w:pPr>
        <w:spacing w:after="0" w:line="287"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intends to rely solely on its contract manufacturing arrangements with its partners to manufacture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standards, as well as the production volumes, required to successfully mass market its vehicles. Even if Polestar’s partners are successful in developing high volume production capabilities and processes and reliably source their component supplies, 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 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w:t>
      </w:r>
    </w:p>
    <w:p>
      <w:pPr>
        <w:spacing w:after="0" w:line="29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spacing w:after="0" w:line="51" w:lineRule="exact"/>
        <w:rPr>
          <w:sz w:val="20"/>
          <w:szCs w:val="20"/>
          <w:color w:val="auto"/>
        </w:rPr>
      </w:pPr>
    </w:p>
    <w:p>
      <w:pPr>
        <w:ind w:left="120" w:right="320" w:firstLine="440"/>
        <w:spacing w:after="0" w:line="274" w:lineRule="auto"/>
        <w:rPr>
          <w:sz w:val="20"/>
          <w:szCs w:val="20"/>
          <w:color w:val="auto"/>
        </w:rPr>
      </w:pPr>
      <w:r>
        <w:rPr>
          <w:rFonts w:ascii="Times New Roman" w:cs="Times New Roman" w:eastAsia="Times New Roman" w:hAnsi="Times New Roman"/>
          <w:sz w:val="17"/>
          <w:szCs w:val="17"/>
          <w:color w:val="auto"/>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to date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w:t>
      </w:r>
    </w:p>
    <w:p>
      <w:pPr>
        <w:spacing w:after="0" w:line="78"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Polestar’s vehicles to various international regulatory requirements where its vehicles are sold, or homologation;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localized supply chains and managing international supply chain and logistics costs;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sufficient charging points for Polestar’s customers in those jurisdictions, via partnerships or, if necessary, via development of its own charging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interest rates, including risks related to any forward currency contracts, interest rate swaps or other hedging activities Polestar undertakes;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trade restrictions, tariffs and price or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labor laws, regulations and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pandemics (including the ongoing COVID-19 pandemic), war or events of terrorism;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international economies.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Polestar fails to successfully address these risks, its business, prospects, results of operations and financial condition could be materially harmed.</w:t>
      </w:r>
    </w:p>
    <w:p>
      <w:pPr>
        <w:spacing w:after="0" w:line="26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relies heavily on manufacturing facilities based in China for the manufacture of its vehicles, including facilities of the Volvo Cars, Geely and its other contract partners, as well as its own manufacturing facilities in China. Polestar intends to rely solely on arrangements with its contract manufacturers, including Volvo Cars and Geely, for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corruption, control of capital investment, reinvestment control of foreign exchange, control of intellectual property,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spacing w:after="0" w:line="197"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lockdowns in China during the first half of 2022 due to further outbreaks of COVID-19 has resulted in delays in the production and delivery of such critical components and delayed production of Polestar vehicles. Please also see Item 4.B “</w:t>
      </w:r>
      <w:r>
        <w:rPr>
          <w:rFonts w:ascii="Times New Roman" w:cs="Times New Roman" w:eastAsia="Times New Roman" w:hAnsi="Times New Roman"/>
          <w:sz w:val="18"/>
          <w:szCs w:val="18"/>
          <w:i w:val="1"/>
          <w:iCs w:val="1"/>
          <w:color w:val="auto"/>
        </w:rPr>
        <w:t>Information On The Company—Business Overview—Recent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for more information on government mandated quarantines and lockdowns in China due to COVID-19, their impact on the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timely delivery of critical components for Polestar vehicles by suppliers and their impact on anticipated Polestar car volumes. Some of the governmental measures may benefit the overall Chinese economy, but may have a negative effect on Polestar. For example, Polestar’s financial condition and results of operations may be adversely affected by government control over capital investments or changes in tax regulations. Higher inflation could adversely affect Polestar’s results of operations and financial condition. Furthermore, certain operating costs and expenses, such as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the legal system in China is not fully developed and there are inherent uncertainties that may affect the protection afforded to Polestar for its business and activities in China that are governed by the Chinese laws and regulations. Any administrative and court proceedings in China may be protracted, resulting in 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Accordingly, Polestar is not subject to the permissions requirements of the China Securities Regulatory Commission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w:t>
      </w:r>
    </w:p>
    <w:p>
      <w:pPr>
        <w:spacing w:after="0" w:line="287"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spacing w:after="0" w:line="67"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China has implemented new rules relating to data protection, and the new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China’s Cyber Security Law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w:t>
      </w:r>
      <w:r>
        <w:rPr>
          <w:rFonts w:ascii="Times New Roman" w:cs="Times New Roman" w:eastAsia="Times New Roman" w:hAnsi="Times New Roman"/>
          <w:sz w:val="18"/>
          <w:szCs w:val="18"/>
          <w:i w:val="1"/>
          <w:iCs w:val="1"/>
          <w:color w:val="auto"/>
        </w:rPr>
        <w:t>MLPS</w:t>
      </w:r>
      <w:r>
        <w:rPr>
          <w:rFonts w:ascii="Times New Roman" w:cs="Times New Roman" w:eastAsia="Times New Roman" w:hAnsi="Times New Roman"/>
          <w:sz w:val="18"/>
          <w:szCs w:val="18"/>
          <w:color w:val="auto"/>
        </w:rPr>
        <w:t>”),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8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Recently, the Cyberspace Administration of China (the “</w:t>
      </w:r>
      <w:r>
        <w:rPr>
          <w:rFonts w:ascii="Times New Roman" w:cs="Times New Roman" w:eastAsia="Times New Roman" w:hAnsi="Times New Roman"/>
          <w:sz w:val="18"/>
          <w:szCs w:val="18"/>
          <w:i w:val="1"/>
          <w:iCs w:val="1"/>
          <w:color w:val="auto"/>
        </w:rPr>
        <w:t>CAC</w:t>
      </w:r>
      <w:r>
        <w:rPr>
          <w:rFonts w:ascii="Times New Roman" w:cs="Times New Roman" w:eastAsia="Times New Roman" w:hAnsi="Times New Roman"/>
          <w:sz w:val="18"/>
          <w:szCs w:val="18"/>
          <w:color w:val="auto"/>
        </w:rPr>
        <w:t>”)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July 10, 2021, the CAC published a revised draft of the Cybersecurity Review Measures, expanding the cybersecurity review to data processing operators in possession of personal information of over 1 million users if the operators intend to list their securities in a foreign country. On November 14, 2021, the CAC published the draft Network Data Security Management Regulation for public comments, which reiterates the requirement that data processors processing more than 1 million individuals’ information should apply for a cybersecurity review with the CAC, if the processors intend to list their securities in a foreign country.</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Also, on August 20, 2021, the Standing Committee of China’s National People’s Congress passed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October 29, 2021, the CAC issued the draft Cross-border Data Transfer Security Assessment Measures for public comments, which require personal information processors who process more than 1 million individual’s personal information to apply and pass the security assessment organized by the CAC before any export of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Other than personal information, the Automobile Data Security Management Measures (for Trial Implementation) jointly issued by the National Development and Reform Commission, Ministry of Industry and Information Technology, Ministry of Public Security and Ministry of Transport on August 16, 2021 impose strict regulation on important data, which includes more than 100,000 individuals’ personal information. The Automobile Data Security Management Measures (for Trial Implementation) provide that important data should be stored within the territory of China in accordance with the law, and if it is really necessary to export such data due to business needs, a security assessment organized by the CAC must be passed.</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Polestar’s business, financial condition and results of operations (See Item 3.D “</w:t>
      </w:r>
      <w:r>
        <w:rPr>
          <w:rFonts w:ascii="Times New Roman" w:cs="Times New Roman" w:eastAsia="Times New Roman" w:hAnsi="Times New Roman"/>
          <w:sz w:val="18"/>
          <w:szCs w:val="18"/>
          <w:i w:val="1"/>
          <w:iCs w:val="1"/>
          <w:color w:val="auto"/>
        </w:rPr>
        <w:t>Risk Factors—Risks Related to Cybersecurity and Data Privacy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r>
        <w:rPr>
          <w:rFonts w:ascii="Times New Roman" w:cs="Times New Roman" w:eastAsia="Times New Roman" w:hAnsi="Times New Roman"/>
          <w:sz w:val="18"/>
          <w:szCs w:val="18"/>
          <w:color w:val="auto"/>
        </w:rPr>
        <w:t>”). Moreover, the legal uncertainty created by the Data Security Law and the recent Chinese government actions could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adversely affect Polestar’s ability, on favorable terms, to raise capital, including engaging in follow-on offerings of its securities in the U.S. market.</w:t>
      </w:r>
    </w:p>
    <w:p>
      <w:pPr>
        <w:spacing w:after="0" w:line="289"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and its subsidiaries in China are not classified as a “critical information infrastructure operators” or “network platform operators” under the Cybersecurity Review Measures, nor have Polestar and its subsidiaries received any notice from the CAC defining them as the foregoing operator, which would require Polestar or its subsidiaries to apply for a cybersecurity review with the CAC. See Item 3.D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Polestar’s Business and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r>
        <w:rPr>
          <w:rFonts w:ascii="Times New Roman" w:cs="Times New Roman" w:eastAsia="Times New Roman" w:hAnsi="Times New Roman"/>
          <w:sz w:val="18"/>
          <w:szCs w:val="18"/>
          <w:color w:val="auto"/>
        </w:rPr>
        <w:t>” However, if it is determined in the future that approvals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permissions from the CAC or other regulatory authorities are required, these regulatory authorities may impose fines, suspend Polestar’s relevant businesses or halt operations, revoke relevant business permits or operational license,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obtain their 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w:t>
      </w:r>
    </w:p>
    <w:p>
      <w:pPr>
        <w:spacing w:after="0" w:line="300"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adversely affected by the complexity, uncertainties and changes in the regulations on internet-related business, automotive businesses and other business carried out by Polestar’s operating entities in China.</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Polestar’s income,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w:t>
      </w:r>
    </w:p>
    <w:p>
      <w:pPr>
        <w:spacing w:after="0" w:line="296"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has invested and expects to continue to invest significantly in what it believes is state of the art tooling, machinery and other manufacturing equipment, and Polestar depreciates the cost of such equipment over 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 equipment in favor of different or additional equipment. The useful life of any equipment that would be retired early as a result would be shortened, causing the depreciation on such equipment to be accelerated, and Polestar’s results of operations could be negatively impacted.</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Locations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Polestar’s experience distributing directly to consumers only started in 2019 with the launch of Polestar 1 and at a larger scale in 2020 with the launch of Polestar 2. Therefore, Polestar expects that the building of an 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spacing w:after="0" w:line="29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offer attractive leasing and financing options for its current vehicle models and future vehicles, which would adversely affect consumer demand for its vehicles.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Polestar offers leasing and financing of its vehicles to potential customers through financing partners and currently has 18 agreements in place with such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w:t>
      </w:r>
    </w:p>
    <w:p>
      <w:pPr>
        <w:spacing w:after="0" w:line="284"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6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Polestar’s vehicles are designed with the advanced driver assistance system (“</w:t>
      </w:r>
      <w:r>
        <w:rPr>
          <w:rFonts w:ascii="Times New Roman" w:cs="Times New Roman" w:eastAsia="Times New Roman" w:hAnsi="Times New Roman"/>
          <w:sz w:val="18"/>
          <w:szCs w:val="18"/>
          <w:i w:val="1"/>
          <w:iCs w:val="1"/>
          <w:color w:val="auto"/>
        </w:rPr>
        <w:t>ADAS</w:t>
      </w:r>
      <w:r>
        <w:rPr>
          <w:rFonts w:ascii="Times New Roman" w:cs="Times New Roman" w:eastAsia="Times New Roman" w:hAnsi="Times New Roman"/>
          <w:sz w:val="18"/>
          <w:szCs w:val="18"/>
          <w:color w:val="auto"/>
        </w:rPr>
        <w:t>”) hardware, and Polestar expects to launch automation functionalities and additional capabilities, including autonomous driving (“</w:t>
      </w:r>
      <w:r>
        <w:rPr>
          <w:rFonts w:ascii="Times New Roman" w:cs="Times New Roman" w:eastAsia="Times New Roman" w:hAnsi="Times New Roman"/>
          <w:sz w:val="18"/>
          <w:szCs w:val="18"/>
          <w:i w:val="1"/>
          <w:iCs w:val="1"/>
          <w:color w:val="auto"/>
        </w:rPr>
        <w:t>AD</w:t>
      </w:r>
      <w:r>
        <w:rPr>
          <w:rFonts w:ascii="Times New Roman" w:cs="Times New Roman" w:eastAsia="Times New Roman" w:hAnsi="Times New Roman"/>
          <w:sz w:val="18"/>
          <w:szCs w:val="18"/>
          <w:color w:val="auto"/>
        </w:rPr>
        <w:t>”),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w:t>
      </w:r>
    </w:p>
    <w:p>
      <w:pPr>
        <w:spacing w:after="0" w:line="19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Ford and Volkswagen), Mobileye (a subsidiary of Intel), Aptiv, Baidu, Nuro and Ghost.ai, have devoted significant time and resources to developing ADAS/AD technologies.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 make use of lithium-ion battery cells, which have been observed to catch fire or vent smoke and flame.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Moreover, any failure of a competitor’s electric vehicle or energy storage product, as well as the mishandling of battery cells or a safety issue or fire or related to the cells at partners’ manufacturing facilities, may cause indirect adverse publicity for Polestar and its products. Such adverse publicity could negatively affect Polestar’s brand and harm its business, prospects, results of operations and financial condition.</w:t>
      </w:r>
    </w:p>
    <w:p>
      <w:pPr>
        <w:spacing w:after="0" w:line="280"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75"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or develops more slowly than it expects, or if there is a decrease in consumer demand for electric vehicles, Polestar’s business,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factors that may influence the adoption of electric vehicles include:</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design, performance and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limited range over which electric vehicles may be driven on a single battery charge;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alternative fuel vehicles, including plug-in hybrid electric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availability of service for electric vehicles, especially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gasoline and electricity;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alternative forms of energy;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and the cost to charge an electric vehicle, especially in international markets, and related infrastructure costs and standardization;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electric vehicle or alternative fuel technology or improvements in the internal combustion engine may adversely affect the demand for Polestar’s vehicles.</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COVID-19 outbreak and the global response could continue to affect Polestar’s business and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ongoing COVID-19 pandemic poses risks to Polestar’s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is otherwise unable to continue its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spread of COVID-19 has also periodically disrupted the manufacturing operations of other vehicle manufacturers and their suppliers.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disruptions to Polestar or to its suppliers could result in delays and could negatively affect its production volume. Please also see Item 4.B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Information On The Company—Business Overview—Recent Developments</w:t>
      </w:r>
      <w:r>
        <w:rPr>
          <w:rFonts w:ascii="Times New Roman" w:cs="Times New Roman" w:eastAsia="Times New Roman" w:hAnsi="Times New Roman"/>
          <w:sz w:val="17"/>
          <w:szCs w:val="17"/>
          <w:color w:val="auto"/>
        </w:rPr>
        <w:t>” for more information on government mandated quarantines and lockdowns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China due to COVID-19, their impact on the production and timely delivery of critical components for Polestar vehicles by supplies and their impact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anticipated Polestar car volumes.</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pandemic has resulted in the imposition of travel bans and restrictions, quarantines, shelter-in-place and stay-at-home orders and business shutdowns. These measures pose numerous operational risks and logistical challenges to Polestar’s business. In addition, regional, national and international travel restrictions may result in adverse impacts to Polestar’s supply chain. Further, Polestar’s sales and marketing activities have been, and may in the future be, adversely affected due to the cancellation or reduction of in-person sales activities, meetings,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events and conferences. The transition of Polestar’s personnel to a mostly remote workforce has also increased demand on its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Polestar’s manufacturing and sales and distribution plans and timelines.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COVID-19 pandemic has resulted in extreme volatility in the global financial markets, which could increase Polestar’s cost of capital or limit its ability to access financing when needed. Broader impacts of the pandemic also include inflationary pressure, which impacts the cost at which Polestar can manufacture vehicles.</w:t>
      </w:r>
    </w:p>
    <w:p>
      <w:pPr>
        <w:spacing w:after="0" w:line="176"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 severity, magnitude and duration of the COVID-19 pandemic and its economic and regulatory consequences are rapidly changing and uncertain. Accordingly, Polestar cannot predict the ultimate impact of the COVID-19 pandemic on its business, financial condition and results of operations.</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facilities or operations could be and have been adversely affected by events outside of its control, such as natural disasters, wars, health epidemics or pandemics or security incidents.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In addition, the ongoing COVID-19 pandemic has impacted economic markets, manufacturing operations, supply chains, employment and consumer behavior in nearly every geographic region and industry across the world, and Polestar has been, and may in the future be, adversely affected as a result. Please also see Item 4.B “</w:t>
      </w:r>
      <w:r>
        <w:rPr>
          <w:rFonts w:ascii="Times New Roman" w:cs="Times New Roman" w:eastAsia="Times New Roman" w:hAnsi="Times New Roman"/>
          <w:sz w:val="18"/>
          <w:szCs w:val="18"/>
          <w:i w:val="1"/>
          <w:iCs w:val="1"/>
          <w:color w:val="auto"/>
        </w:rPr>
        <w:t>Information On The Company—Business Overview—Recent Developments</w:t>
      </w:r>
      <w:r>
        <w:rPr>
          <w:rFonts w:ascii="Times New Roman" w:cs="Times New Roman" w:eastAsia="Times New Roman" w:hAnsi="Times New Roman"/>
          <w:sz w:val="18"/>
          <w:szCs w:val="18"/>
          <w:color w:val="auto"/>
        </w:rPr>
        <w:t>” for more information on government mandated quarantines and lockdowns in China due to COVID-19, their impact on the production and timely delivery of critical components for Polestar vehicles by supplies and their impact on anticipated Polestar car volumes. Furthermore, Polestar could be impacted by physical security incidents at its facilities, which could result in significant damage to such facilities that could require Polestar to delay or discontinue production of its vehicles. Polestar may incur significant expenses or delays relating to such events outside of its control, which could have a material adverse impact on its business, results of operations and financial condition.</w:t>
      </w:r>
    </w:p>
    <w:p>
      <w:pPr>
        <w:spacing w:after="0" w:line="29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has, and is likely to continue to, generate uncertain geopolitical conditions, including sanctions that could adversely affect Polestar’s business prospects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Russia and Ukraine are not Polestar markets, and there are no plans to launch in either market in the near future. Nevertheless, the uncertain geopolitical conditions, sanctions, and other potential impacts on the global 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our suppliers, or interrupt Polestar’s ability to source products from this region. Sanctions have also created supply constraints and driven inflation that has impacted, and may continue to impact, Polestar’s operations and could create or exacerbate risks facing Polestar’s business.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we understand that Volvo Cars does not have any “Tier 1” suppliers from Russia, car production is a complex process, with thousands of components sourced from all over the world. There can be no assurance, therefore, that there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not be some components sourced from suppliers subject to sanctions against Russia nor that the resulting disruption to the supply chain will not have an adverse impact on our business and results of operations.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event geopolitical tensions deteriorate further or fail to abate, additional governmental sanctions may be enacted that could adversely impact the global economy, banking and monetary systems, markets, and the operations of Polestar and its suppliers.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vehicle owners customize Polestar vehicles or change the charging infrastructure with aftermarket products, the vehicle may not operate properly, which may create negative publicity and could harm Polestar’s business.</w:t>
      </w:r>
    </w:p>
    <w:p>
      <w:pPr>
        <w:spacing w:after="0" w:line="51"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11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and Volvo Cars’ IT systems and any material disruption to its or Volvo Cars’ IT systems could have a material and adverse effect on Polestar.</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availability and effectiveness of Polestar’s services depend on the continued operation of its information technology and communications systems. Polestar relies on its and Volvo Cars’ IT systems, and such 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For more information on the data breach Volvo Cars announced on December 10, 2021 and that involved a Volvo Cars server that shared information relevant to Polestar, please see Item 7.B “</w:t>
      </w:r>
      <w:r>
        <w:rPr>
          <w:rFonts w:ascii="Times New Roman" w:cs="Times New Roman" w:eastAsia="Times New Roman" w:hAnsi="Times New Roman"/>
          <w:sz w:val="18"/>
          <w:szCs w:val="18"/>
          <w:i w:val="1"/>
          <w:iCs w:val="1"/>
          <w:color w:val="auto"/>
        </w:rPr>
        <w:t>Major Shareholders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Transactions—Related Party Transactions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Polestar’s products, digital sales tools and systems could result in loss of confidence in Polestar and its products.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Polestar’s third-party service providers and vendors are and will be obliged to take steps to protect the security and integrity of Polestar’s and their information technology systems and Polestar’s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8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Furthermore, hackers may in the future attempt to gain unauthorized access to, modify, alter and use Polestar’s vehicles, products, digital sales tools and systems to (i) gain control of, (ii) change the functionality,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user interface and performance characteristics of or (iii) gain access to data stored in or generated by, Polestar’s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uses. Polestar and its service providers’ systems have in the past and may in the future be affected by security incidents. Polestar’s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systems. Polestar’s and its service providers’ or vendors’ data centers could be subject to break-ins, sabotage and intentional acts of vandalism causing potential disruptions. Some of Polestar’s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Polestar is unable to protect its products, digital sales tools and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systems or data, as well as other factors that may result in the perception that its vehicles, systems or data are capable of being “hacked,” could negatively affect Polestar’s brand. In addition, some members of the U.S. federal government, including certain members of Congress and the National Highway Traffic Safety Administration (“</w:t>
      </w:r>
      <w:r>
        <w:rPr>
          <w:rFonts w:ascii="Times New Roman" w:cs="Times New Roman" w:eastAsia="Times New Roman" w:hAnsi="Times New Roman"/>
          <w:sz w:val="18"/>
          <w:szCs w:val="18"/>
          <w:i w:val="1"/>
          <w:iCs w:val="1"/>
          <w:color w:val="auto"/>
        </w:rPr>
        <w:t>NHTSA</w:t>
      </w:r>
      <w:r>
        <w:rPr>
          <w:rFonts w:ascii="Times New Roman" w:cs="Times New Roman" w:eastAsia="Times New Roman" w:hAnsi="Times New Roman"/>
          <w:sz w:val="18"/>
          <w:szCs w:val="18"/>
          <w:color w:val="auto"/>
        </w:rPr>
        <w:t>”),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to comply with such regulations, which would impose additional costs and delays and could expose Polestar to potential liability to the extent its automotive cybersecurity systems and practices are inconsistent with such regulation.</w:t>
      </w:r>
    </w:p>
    <w:p>
      <w:pPr>
        <w:spacing w:after="0" w:line="19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loss of revenue, governmental fines, investigations or litigation or liability for damages, any of which could materially and adversely affect its business, results of operations, prospects and financial condition.</w:t>
      </w:r>
    </w:p>
    <w:p>
      <w:pPr>
        <w:spacing w:after="0" w:line="266"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6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w:t>
      </w:r>
    </w:p>
    <w:p>
      <w:pPr>
        <w:spacing w:after="0" w:line="16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280"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6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became effective on May 25, 2018, and California adopted the California Consumer Privacy Act of 2018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Additionally, effective in most respects starting on January 1, 2023, the California Privacy Rights Act (“</w:t>
      </w:r>
      <w:r>
        <w:rPr>
          <w:rFonts w:ascii="Times New Roman" w:cs="Times New Roman" w:eastAsia="Times New Roman" w:hAnsi="Times New Roman"/>
          <w:sz w:val="18"/>
          <w:szCs w:val="18"/>
          <w:i w:val="1"/>
          <w:iCs w:val="1"/>
          <w:color w:val="auto"/>
        </w:rPr>
        <w:t>CPRA</w:t>
      </w:r>
      <w:r>
        <w:rPr>
          <w:rFonts w:ascii="Times New Roman" w:cs="Times New Roman" w:eastAsia="Times New Roman" w:hAnsi="Times New Roman"/>
          <w:sz w:val="18"/>
          <w:szCs w:val="18"/>
          <w:color w:val="auto"/>
        </w:rPr>
        <w:t>”)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7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7"/>
          <w:szCs w:val="17"/>
          <w:color w:val="auto"/>
        </w:rPr>
        <w:t>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July 10, 2021, the Cybersecurity Review Office (“</w:t>
      </w:r>
      <w:r>
        <w:rPr>
          <w:rFonts w:ascii="Times New Roman" w:cs="Times New Roman" w:eastAsia="Times New Roman" w:hAnsi="Times New Roman"/>
          <w:sz w:val="17"/>
          <w:szCs w:val="17"/>
          <w:i w:val="1"/>
          <w:iCs w:val="1"/>
          <w:color w:val="auto"/>
        </w:rPr>
        <w:t>CRO</w:t>
      </w:r>
      <w:r>
        <w:rPr>
          <w:rFonts w:ascii="Times New Roman" w:cs="Times New Roman" w:eastAsia="Times New Roman" w:hAnsi="Times New Roman"/>
          <w:sz w:val="17"/>
          <w:szCs w:val="17"/>
          <w:color w:val="auto"/>
        </w:rPr>
        <w:t>”) promulgated a draft Cybersecurity Review Measure (“</w:t>
      </w:r>
      <w:r>
        <w:rPr>
          <w:rFonts w:ascii="Times New Roman" w:cs="Times New Roman" w:eastAsia="Times New Roman" w:hAnsi="Times New Roman"/>
          <w:sz w:val="17"/>
          <w:szCs w:val="17"/>
          <w:i w:val="1"/>
          <w:iCs w:val="1"/>
          <w:color w:val="auto"/>
        </w:rPr>
        <w:t>Review Measure</w:t>
      </w:r>
      <w:r>
        <w:rPr>
          <w:rFonts w:ascii="Times New Roman" w:cs="Times New Roman" w:eastAsia="Times New Roman" w:hAnsi="Times New Roman"/>
          <w:sz w:val="17"/>
          <w:szCs w:val="17"/>
          <w:color w:val="auto"/>
        </w:rPr>
        <w:t>”). If the Review Measure enters into force with the current wording, it will require data processors in China who hold more than one million users’ personal information and plan to list on a stock exchange in a foreign country to apply for cybersecurity review. Polestar has not exceeded this threshold as of the date of this Report. However, under the proposed Review Measure, the CRO could also initiate cybersecurity review under certain situations, for example, if the CRO believes a network product or service, data processing activity or stock exchange listing activity outside of China impacts or might impact Chinese national security. Furthermore, the CRO promulgated another draft of Data Cross-border Security Assessment Measure (“</w:t>
      </w:r>
      <w:r>
        <w:rPr>
          <w:rFonts w:ascii="Times New Roman" w:cs="Times New Roman" w:eastAsia="Times New Roman" w:hAnsi="Times New Roman"/>
          <w:sz w:val="17"/>
          <w:szCs w:val="17"/>
          <w:i w:val="1"/>
          <w:iCs w:val="1"/>
          <w:color w:val="auto"/>
        </w:rPr>
        <w:t>Assessment Measure</w:t>
      </w:r>
      <w:r>
        <w:rPr>
          <w:rFonts w:ascii="Times New Roman" w:cs="Times New Roman" w:eastAsia="Times New Roman" w:hAnsi="Times New Roman"/>
          <w:sz w:val="17"/>
          <w:szCs w:val="17"/>
          <w:color w:val="auto"/>
        </w:rPr>
        <w:t>”) on October 29, 2021. As of the date of this Report, the Assessment Measure is subject to further comments from the public and has not come into force yet. If the Assessment Measure is adopted eventually with the proposed requirements, data processors in China who (i) transfer important data outside of China, (ii) process personal information of 1 million individuals or (iii) provide more than 100,000 individuals’ personal information or more than 10,000 individuals’ sensitive information outside of China would be required to submit a cross-border security assessment at provincial CRO for review. As of the date of this Report, no final proposal has been presented and Polestar has not been able to apply for a cybersecurity review. If the Review Measure would become effective and if Polestar would be subject to such review and be found to be non-compliant with applicable data protection laws, Polestar may face administrative fines up to CNY</w:t>
      </w:r>
    </w:p>
    <w:p>
      <w:pPr>
        <w:spacing w:after="0" w:line="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 and financial position as well as on its possibilities to carry out business in China.</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local, state and federal action if they are found to be deceptive, unfair or misrepresentative of Polestar’s actual practices. Claims that Polestar has violated individuals’ privacy rights or failed to comply with data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protection laws or applicable privacy notices could, even if Polestar is not found liable, be expensive and time-consuming to defend and could result in adverse publicity that could harm its business.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Employees and Human Resources</w:t>
      </w:r>
    </w:p>
    <w:p>
      <w:pPr>
        <w:spacing w:after="0" w:line="11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 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w:t>
      </w:r>
    </w:p>
    <w:p>
      <w:pPr>
        <w:spacing w:after="0" w:line="30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will need to hire and train a significant number of employees to engage in full-scale operational and commercial operations, and Polestar’s business could be adversely affected by labor and union activities.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collective bargaining agreements and work councils with certain consultation rights with respect to the relevant companies’ operations. Approximately 40% of Polestar’s workforce is covered by collective bargaining agreements in Austria, Finland, the Netherlands and Sweden. Labor unions or labor organizations could also seek to organize some or all of Polestar’s non-unionized workforce. Future negotiations with the union or other 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spacing w:after="0" w:line="29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Polestar’s employees and independent contractors during and before their employment with Polestar could expose Polestar to potentially significant legal liabilities, reputational harm and/or other damages to its business.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codes of conduct for all of its employees and implemented policies relating to intellectual property, confidentiality and the protection of company assets, Polestar cannot assure you that its employees will always abide by these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such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diminished profits and future earnings and curtailment of Polestar’s operations, any of which could adversely affect its business, prospects,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17" w:lineRule="exact"/>
        <w:rPr>
          <w:sz w:val="20"/>
          <w:szCs w:val="20"/>
          <w:color w:val="auto"/>
        </w:rPr>
      </w:pPr>
    </w:p>
    <w:p>
      <w:pPr>
        <w:ind w:left="120"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is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its facilities. For example, Polestar is subject to laws, regulations and regulatory agencies like EU Regulation 2018/858 in the EU, the Environmental Protection Agency (“</w:t>
      </w:r>
      <w:r>
        <w:rPr>
          <w:rFonts w:ascii="Times New Roman" w:cs="Times New Roman" w:eastAsia="Times New Roman" w:hAnsi="Times New Roman"/>
          <w:sz w:val="18"/>
          <w:szCs w:val="18"/>
          <w:i w:val="1"/>
          <w:iCs w:val="1"/>
          <w:color w:val="auto"/>
        </w:rPr>
        <w:t>EPA</w:t>
      </w:r>
      <w:r>
        <w:rPr>
          <w:rFonts w:ascii="Times New Roman" w:cs="Times New Roman" w:eastAsia="Times New Roman" w:hAnsi="Times New Roman"/>
          <w:sz w:val="18"/>
          <w:szCs w:val="18"/>
          <w:color w:val="auto"/>
        </w:rPr>
        <w:t>”)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w:t>
      </w:r>
      <w:r>
        <w:rPr>
          <w:rFonts w:ascii="Times New Roman" w:cs="Times New Roman" w:eastAsia="Times New Roman" w:hAnsi="Times New Roman"/>
          <w:sz w:val="18"/>
          <w:szCs w:val="18"/>
          <w:i w:val="1"/>
          <w:iCs w:val="1"/>
          <w:color w:val="auto"/>
        </w:rPr>
        <w:t>CARB</w:t>
      </w:r>
      <w:r>
        <w:rPr>
          <w:rFonts w:ascii="Times New Roman" w:cs="Times New Roman" w:eastAsia="Times New Roman" w:hAnsi="Times New Roman"/>
          <w:sz w:val="18"/>
          <w:szCs w:val="18"/>
          <w:color w:val="auto"/>
        </w:rPr>
        <w:t>”)),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face regulatory limitations on its ability to sell vehicles directly, which require Polestar to implement alternative consumer approaches through dealers or importers.</w:t>
      </w:r>
    </w:p>
    <w:p>
      <w:pPr>
        <w:spacing w:after="0" w:line="5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the date of this Report, Polestar has issued 5 recalls of its vehicles. These recalls were due to (i) the mal-production of seatbelts which could result in the early activation of the locking feature used to tightly secure a child restraint system, (ii) the too high adjustment of headlamps which could result in excessive glare for oncoming traffic, (iii) a software error causing an internal reset in the Battery Energy Control Module, resulting in the control unit opening the high voltage connectors during driving (which caused two recalls) and (iv) a supplier design issue known as “tin whiskers,” which caused a short circuit inside the front and rear inverters.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w:t>
      </w:r>
    </w:p>
    <w:p>
      <w:pPr>
        <w:spacing w:after="0" w:line="291" w:lineRule="exact"/>
        <w:rPr>
          <w:sz w:val="20"/>
          <w:szCs w:val="20"/>
          <w:color w:val="auto"/>
        </w:rPr>
      </w:pPr>
    </w:p>
    <w:p>
      <w:pPr>
        <w:ind w:left="120"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spacing w:after="0" w:line="2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Furthermore, for example, Polestar Singapore failed to hold an annual general meeting for approving the audited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report and the annual return for lodgment in Accounting and Corporate Regulatory Authority (“</w:t>
      </w:r>
      <w:r>
        <w:rPr>
          <w:rFonts w:ascii="Times New Roman" w:cs="Times New Roman" w:eastAsia="Times New Roman" w:hAnsi="Times New Roman"/>
          <w:sz w:val="18"/>
          <w:szCs w:val="18"/>
          <w:i w:val="1"/>
          <w:iCs w:val="1"/>
          <w:color w:val="auto"/>
        </w:rPr>
        <w:t>ACRA</w:t>
      </w:r>
      <w:r>
        <w:rPr>
          <w:rFonts w:ascii="Times New Roman" w:cs="Times New Roman" w:eastAsia="Times New Roman" w:hAnsi="Times New Roman"/>
          <w:sz w:val="18"/>
          <w:szCs w:val="18"/>
          <w:color w:val="auto"/>
        </w:rPr>
        <w:t>”) in Singapore and will be subject to enforcement actions by ACRA.</w:t>
      </w:r>
    </w:p>
    <w:p>
      <w:pPr>
        <w:spacing w:after="0" w:line="16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product liability claims, which could harm its financial condition and liquidity if it is not able to successfully defend or insure against such claims.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Item 3.D “</w:t>
      </w:r>
      <w:r>
        <w:rPr>
          <w:rFonts w:ascii="Times New Roman" w:cs="Times New Roman" w:eastAsia="Times New Roman" w:hAnsi="Times New Roman"/>
          <w:sz w:val="18"/>
          <w:szCs w:val="18"/>
          <w:i w:val="1"/>
          <w:iCs w:val="1"/>
          <w:color w:val="auto"/>
        </w:rPr>
        <w:t>Risk Factors—Risks Related to Polestar’s Business and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Polestar’s vehicles make use of lithium-ion battery cells, which have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observed to catch fire or vent smoke and flame</w:t>
      </w:r>
      <w:r>
        <w:rPr>
          <w:rFonts w:ascii="Times New Roman" w:cs="Times New Roman" w:eastAsia="Times New Roman" w:hAnsi="Times New Roman"/>
          <w:sz w:val="18"/>
          <w:szCs w:val="18"/>
          <w:color w:val="auto"/>
        </w:rPr>
        <w:t>.”). Any such events or failures of Polestar’s vehicles, battery packs or warning systems could subject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product recalls or redesign efforts, all of which would be time consuming and expensive.</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may be exposed to delays, limitations and risks related to the environmental permits and other operating permits required to operate manufacturing facilities for its vehicles.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Operation of an automobile manufacturing facility requires land use and environmental permits and other operating permits from federal, state and local government entities. Polestar plans to expand its manufacturing capacities by entering into into additional agreements with its manufacturing partners over time to achieve a future target production capacity and will be required to apply for and secure various environmental, wastewater and land use permits and certificates of occupancy necessary for the commercial operation of such expanded and additional facilities and will also rely on its partners’ ability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and its manufacturing partners are and will be subject to various environmental, health and safety laws and regulations that could impose substantial costs on it and cause delays in expanding its production capabilities.</w:t>
      </w:r>
    </w:p>
    <w:p>
      <w:pPr>
        <w:spacing w:after="0" w:line="5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Polestar has limited experience complying with them. Moreover, Polestar and its manufacturing partners may be affected by future amendments to such laws or other new environmental, health and safety laws and regulations which may require it to change its operations,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or a cessation of operations.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planning to introduce ADAS/AD technology, which is subject to uncertain and evolving regulations.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harm its competitive position, which could adversely affect Polestar’s business, prospects,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is and will be subject to anti-corruption, anti-bribery, anti-money laundering, financial and economic sanctions, and similar laws and regulations in various jurisdictions in which it conducts activities, including the U.S. Foreign Corrupt Practices Act (“</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the United Kingdom Bribery Act 2010 (“</w:t>
      </w:r>
      <w:r>
        <w:rPr>
          <w:rFonts w:ascii="Times New Roman" w:cs="Times New Roman" w:eastAsia="Times New Roman" w:hAnsi="Times New Roman"/>
          <w:sz w:val="18"/>
          <w:szCs w:val="18"/>
          <w:i w:val="1"/>
          <w:iCs w:val="1"/>
          <w:color w:val="auto"/>
        </w:rPr>
        <w:t>Bribery Act</w:t>
      </w:r>
      <w:r>
        <w:rPr>
          <w:rFonts w:ascii="Times New Roman" w:cs="Times New Roman" w:eastAsia="Times New Roman" w:hAnsi="Times New Roman"/>
          <w:sz w:val="18"/>
          <w:szCs w:val="18"/>
          <w:color w:val="auto"/>
        </w:rPr>
        <w:t>”) and other applicable anti-corruption laws and regulations. These applicable anti-corruption laws and regulations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Similarly, the Bribery Act also requires companies to implement “adequate procedures” designed to ensure compliance with the provisions of the Bribery Act. A violation of these laws or regulations could adversely affect Polestar’s business, reputation, financial condition and results of operations.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elimination or the conditionality of certain government and economic programs could have a material and adverse effect on Polestar’s business, prospects, financial condition and results of operations.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if government regulations and economic programs have the effect of imposing electric vehicle production quotas on automobile manufacturers, the market for electric vehicles may become oversaturated. Further, any uncertainty or delay in collection of the government subsidies may also have an adverse impact on Polestar’s financial condition. Any of the foregoing could materially and adversely affect Polestar’s business, financial condition and results of operations.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Further, Polestar may not be able to obtain or agree on acceptable terms and conditions for all or a significant portion of the government grants, loans and other incentives for which it may apply. As a result, Polestar’s business and prospects may be adversely affected.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the audit report included in this Report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may be prohibited under the Holding Foreign Companies Accountable Act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w:t>
      </w:r>
    </w:p>
    <w:p>
      <w:pPr>
        <w:spacing w:after="0" w:line="8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w:t>
      </w:r>
    </w:p>
    <w:p>
      <w:pPr>
        <w:spacing w:after="0" w:line="16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the audit work performed by a foreign public accounting firm completely. The proposed Ensuring Quality Information and Transparency for Abroad-Based Listings on our Exchanges Act prescribes increased disclosure requirements for these issuers and, beginning in 2025, the delisting from U.S. national securities exchanges such as Nasdaq of issuers included on the SEC’s list for three consecutive years. It is unclear if this proposed legislation will be enacted. Furthermore, on May 20, 2020, the U.S. Senate passed the Holding Foreign Companies Accountable Act (the “</w:t>
      </w:r>
      <w:r>
        <w:rPr>
          <w:rFonts w:ascii="Times New Roman" w:cs="Times New Roman" w:eastAsia="Times New Roman" w:hAnsi="Times New Roman"/>
          <w:sz w:val="18"/>
          <w:szCs w:val="18"/>
          <w:i w:val="1"/>
          <w:iCs w:val="1"/>
          <w:color w:val="auto"/>
        </w:rPr>
        <w:t>HFCA Act</w:t>
      </w:r>
      <w:r>
        <w:rPr>
          <w:rFonts w:ascii="Times New Roman" w:cs="Times New Roman" w:eastAsia="Times New Roman" w:hAnsi="Times New Roman"/>
          <w:sz w:val="18"/>
          <w:szCs w:val="18"/>
          <w:color w:val="auto"/>
        </w:rPr>
        <w:t>”), which includes requirements for the SEC to identify issuers whose audit work is performed by auditors that the PCAOB is unable to inspect or investigate completely because of a restriction imposed by a non-U.S. authority in the auditor’s local jurisdiction. The U.S. House of Representatives passed the HFCA Act on December 2, 2020, and the HFCA Act was signed into law on December 18, 2020. On March 24, 2021, the SEC adopted interim final rules relating to the implementation of certain disclosure and documentation requirements of the HFCA Act. The Company will be required to comply with these rules if the SEC identifies it as having a “non-inspection” year (as defined in the interim final rules) under a process to be subsequently established by the SEC. The SEC is assessing how to implement other requirements of the HFCA Act, including listing and trading prohibition requirements. Under the HFCA Act, the Company’s securities may be prohibited from trading on Nasdaq or other U.S. stock exchanges if its auditor is not inspected by the PCAOB for three consecutive years, and this ultimately could result in the Company’s securities being delisted.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 On September 22,</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fail to adequately obtain, maintain, enforce and protect its intellectual property and licensing rights, and may not be able to prevent third parties from unauthorized use of its intellectual property and proprietary technology. If Polestar is unsuccessful in any of the foregoing, its competitive position could be harmed and it could be required to incur significant expenses to enforce its rights.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technology or products or seeking court declarations that they do not infringe, misappropriate or otherwise violate Polestar’s intellectual property. Failure to adequately obtain, maintain, enforce and protect 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measures Polestar takes to obtain, maintain, protect and enforce its intellectual property, including preventing unauthorized use by third parties, may not be effective for various reasons, including the following: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application Polestar files may not result in the issuance of a patent;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the first inventor of the subject matter to which it has filed a particular patent application, and/or it may not be the first party to file such a patent application;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Polestar’s issued patents may not be sufficient to protect its inventions and proprietary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issued patents may be challenged by its competitors or other third parties and invalidated by courts or other tribunals;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have a finite term, and competitors and other third parties may offer identical or similar products after the expiration of Polestar’s patents that cover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employees, contractors or business partners may breach their confidentiality, non-disclosure and non-use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independently develop technologies that are the same or similar to Polestar’s;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enforcing patents or other intellectual property rights, or confidentiality and invention assignment agreements may make enforcement impracticable;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circumvent or otherwise design around Polestar’s patents or other intellectual property.</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intellectual property may not be as strong or as predictably obtained or enforced outside of the United States or Sweden. Further, policing the unauthorized use of Polestar’s intellectual property in some jurisdictions may be difficult or too expensive to be practical. In addition, third parties may seek to challenge, invalidate or circumvent Polestar’s patents, trademarks, copyrights, trade secrets or other intellectual property, or applications for any of the foregoing, which could permit Polestar’s competitors or other third parties to develop and commercialize products and technologies that are the same or similar to Polestar’s.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spacing w:after="0" w:line="183"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intellectual property is difficult and costly, as are the steps Polestar has taken or will take to prevent misappropriation.</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prevent the unauthorized use of Polestar’s intellectual property, it may be necessary to prosecute actions for infringement, misappropriation or other violation of Polestar’s intellectual property against third parties. Any such action could result in significant costs and diversion of Polestar’s resources and management’s attention, and there can be no assurances that Polestar will be successful in any such action, and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its intellectual property. Any of the foregoing could adversely affect Polestar’s business, prospects, financial condition and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spacing w:after="0" w:line="19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the use of certain open source software can lead to greater risks than use of other parties’ commercial software, as open source licensors generally do not provide warranties or controls on the origin of 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spacing w:after="0" w:line="27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tax laws or any change in the application of existing tax laws to Polestar or Polestar’s customers may adversely impact its profitability and business.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Polestar operates and is subject to income and other taxes in Sweden, China,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 of ADSs or the underlying Company securities may be subject to stamp duty or stamp duty reserve tax in the U.K., which would increase the cost of dealing in the Company’s securities.</w:t>
      </w:r>
    </w:p>
    <w:p>
      <w:pPr>
        <w:spacing w:after="0" w:line="4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Stamp duty or stamp duty reserve tax (“</w:t>
      </w:r>
      <w:r>
        <w:rPr>
          <w:rFonts w:ascii="Times New Roman" w:cs="Times New Roman" w:eastAsia="Times New Roman" w:hAnsi="Times New Roman"/>
          <w:sz w:val="18"/>
          <w:szCs w:val="18"/>
          <w:i w:val="1"/>
          <w:iCs w:val="1"/>
          <w:color w:val="auto"/>
        </w:rPr>
        <w:t>SDRT</w:t>
      </w:r>
      <w:r>
        <w:rPr>
          <w:rFonts w:ascii="Times New Roman" w:cs="Times New Roman" w:eastAsia="Times New Roman" w:hAnsi="Times New Roman"/>
          <w:sz w:val="18"/>
          <w:szCs w:val="18"/>
          <w:color w:val="auto"/>
        </w:rPr>
        <w: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We are not aware of any such election having been made.</w:t>
      </w:r>
    </w:p>
    <w:p>
      <w:pPr>
        <w:spacing w:after="0" w:line="18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Any stamp duty or SDRT payable on a transfer of the underlying Company securities to a depository or a clearance system will in practice generally be paid by the transferors or participants in the depository or a clearance system.</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Transfers of ADSs representing underlying Company securities that have been deposited with the depository, which will take place in book entry form through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spacing w:after="0" w:line="180"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w:t>
      </w:r>
      <w:r>
        <w:rPr>
          <w:rFonts w:ascii="Times New Roman" w:cs="Times New Roman" w:eastAsia="Times New Roman" w:hAnsi="Times New Roman"/>
          <w:sz w:val="17"/>
          <w:szCs w:val="17"/>
          <w:i w:val="1"/>
          <w:iCs w:val="1"/>
          <w:color w:val="auto"/>
        </w:rPr>
        <w:t>HMRC</w:t>
      </w:r>
      <w:r>
        <w:rPr>
          <w:rFonts w:ascii="Times New Roman" w:cs="Times New Roman" w:eastAsia="Times New Roman" w:hAnsi="Times New Roman"/>
          <w:sz w:val="17"/>
          <w:szCs w:val="17"/>
          <w:color w:val="auto"/>
        </w:rPr>
        <w:t>”))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classified as a passive foreign investment company for U.S. federal income tax purposes, which could result in adverse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 of ADSs.</w:t>
      </w:r>
    </w:p>
    <w:p>
      <w:pPr>
        <w:spacing w:after="0" w:line="9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the Company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Item 10.E “</w:t>
      </w:r>
      <w:r>
        <w:rPr>
          <w:rFonts w:ascii="Times New Roman" w:cs="Times New Roman" w:eastAsia="Times New Roman" w:hAnsi="Times New Roman"/>
          <w:sz w:val="18"/>
          <w:szCs w:val="18"/>
          <w:i w:val="1"/>
          <w:iCs w:val="1"/>
          <w:color w:val="auto"/>
        </w:rPr>
        <w:t>Additional Information—Taxation—Material Tax Considerations—Material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the Business Combination, the IRS may not agree that the Company is a foreign corporation for U.S. federal tax purposes.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exceeds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spacing w:after="0" w:line="19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will be finally determined after completion of the Business Combination, by which time there could be adverse changes to the relevant facts and circumstances or adverse rule changes. In addition, the rules for determining ownership under Section 7874 are complex and unclear. For additional discussion of the U.S. federal income tax treatment of the Company, see Item 10 “</w:t>
      </w: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Financing and Strategic Transactions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will require additional capital to support business growth, and this capital might not be available on commercially reasonable terms, or at all.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before 2024,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may not be able to obtain additional financing on terms favorable to it, if at all. Polestar’s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its business model. These factors may make the timing, amount, terms and conditions of such 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financial results may vary significantly from period to period due to fluctuations in its operating costs, product demand and other factors.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Polestar’s Securities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the ADSs may decline.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there has not been a public market for Polestar’s securities. An active trading market for the ADSs may never develop or, if developed, it may not be sustained. You may be unable to sell your ADSs unless a market can be established and sustained. Fluctuations in the price of the ADSs could contribute to the loss of all or part of your investment. The valuation ascribed to Polestar in the Business Combination may not be indicative of the price of Polestar that will prevail in the trading market.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for the shares of GGI Class A Common Stock that were converted into the ADSs and in the Business Combination. In such circumstances, the trading price of the ADSs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the ADSs may include:</w:t>
      </w:r>
    </w:p>
    <w:p>
      <w:pPr>
        <w:spacing w:after="0" w:line="131" w:lineRule="exact"/>
        <w:rPr>
          <w:sz w:val="20"/>
          <w:szCs w:val="20"/>
          <w:color w:val="auto"/>
        </w:rPr>
      </w:pPr>
    </w:p>
    <w:p>
      <w:pPr>
        <w:ind w:left="1080" w:right="4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Polestar’s periodic financial results or the periodic financial results of companies perceived to be similar to Polestar;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Polestar’s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Polestar’s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operating results failing to meet the expectation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Polestar or the market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market new and enhanced features or services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Polestar’s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Polestar’s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ADSs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ADSs by Polestar’s directors, officers or significant stockholders or the perception that such sales could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international currency fluctuations and health epidemics and pandemics (including the ongoing COVID-19 pandemic), inflation, changes in diplomatic and trade relationships and acts of war or terrorism.</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ADSs irrespective of its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spacing w:after="0" w:line="28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Company securities or ADSs may cause the market price of the ADSs to drop significantly, even if Polestar’s business is doing well.</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Substantial sales of the Company securities or ADSs or the perception that these sales may occur in the future could cause a reduction in the market price of the ADSs. Without giving effect to any issuance of Earn Out Shares and assuming no conversion of the Class C ADSs, Polestar has 2,109,034,797 Shares in the form of American depository securities issued and outstanding as of the date of this Report. Pursuant to the Parent Lock-up Agreement, Parent is restricted, subject to certain exceptions, from selling any of the securities of Polestar that they received pursuant to the Business Combination Agreement or Related Agreements, which restrictions will expire and therefore additional Company securities and AD securities are eligible for resale 180 days after the Closing. Pursuant to the Sponsor and Supporting Sponsor Lock-Up Agreement, the GGI Initial Stockholders are restricted, subject to certain exceptions, from selling any of the Company securities or AD securities that they received pursuant to the Business Combination Agreement, in respect of their GGI Class F Common Stock, which restrictions will expire, and therefore additional Company securities and AD securities are eligible for resale, 180 days after the Closing. Accordingly without giving effect to any issuance of Earn Out Shares and assuming no conversion of the Class C ADSs, up to approximately 2,016 million Shares in the form of American depository securities, including Class A ADSs and Class B ADSs held by the Parent Shareholders and Class A Shares underlying Class A ADSs held by the GGI Initial Stockholders, will be eligible for resale as soon as 180 days after the Closing.</w:t>
      </w:r>
    </w:p>
    <w:p>
      <w:pPr>
        <w:spacing w:after="0" w:line="190"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Upon expiration or waiver of the applicable lock-up periods, and upon effectiveness of the registration statement the Company plans to file pursuant to the Registration Rights Agreement and the Subscription Agreements, or upon satisfaction of the requirements of Rule 144 under the Securities Act,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grant and future exercise of registration rights may adversely affect the market price of the ADSs.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Agreement, the Registration Rights Holders can each demand that Polestar register their registrable securities under certain circumstances and will each also have piggyback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 Additionally, pursuant to the Subscription Agreements and Registration Rights Agreement, Polestar must file a registration statement within 30 days after the consummation of the Business Combination registering up to approximately 2,212 million Class A ADSs held by the PIPE Investors and Class A ADSs held by the Registration Rights Holders.</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registration of these securities will permit the public sale of such securities. The registration and availability of such a significant number of securities for trading in the public market may have an adverse effect on the market price of ADSs.</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C ADSs will be exercisable for the Class A ADSs, which would increase the number of shares eligible for future resale in the public market and result in dilution to its shareholders.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are identical to the GGI Public Warrants sold as part of the GGI public units (consisting of one share of GGI Class A Common Stock and one-fifth of one GGI Public Warrant) except that, so long as they are held by the GGI Sponsor or its permitted transferees: (i) they will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are exercisable on the later of 30 days after the consummation of the Business Combination.</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Item 12 “</w:t>
      </w:r>
      <w:r>
        <w:rPr>
          <w:rFonts w:ascii="Times New Roman" w:cs="Times New Roman" w:eastAsia="Times New Roman" w:hAnsi="Times New Roman"/>
          <w:sz w:val="18"/>
          <w:szCs w:val="18"/>
          <w:i w:val="1"/>
          <w:iCs w:val="1"/>
          <w:color w:val="auto"/>
        </w:rPr>
        <w:t>Description of Securities Other Than Equity Securities</w:t>
      </w:r>
      <w:r>
        <w:rPr>
          <w:rFonts w:ascii="Times New Roman" w:cs="Times New Roman" w:eastAsia="Times New Roman" w:hAnsi="Times New Roman"/>
          <w:sz w:val="18"/>
          <w:szCs w:val="18"/>
          <w:color w:val="auto"/>
        </w:rPr>
        <w:t>.” The Class A ADSs issued upon exercise of the Class C ADSs will result in dilution to then existing Company shareholders and increase the number of shares eligible for resale in the public market. Sales of substantial numbers of such shares in the public market could adversely affect the market price of Class A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Class C ADSs will be in the money at the time they become exercisable, and they may expire worthless.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exercise price for the Class C ADSs is $11.50 per Class C ADS (excluding any fees due to the depository in connection with the conversion of the Class C ADSs and the issuance of the Class A ADSs). There is no guarantee that the Class C ADS will be in the money following the time they become exercisable and prior to their expiration, and as such, the Class C ADSs may expire worthless.</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w:t>
      </w:r>
      <w:r>
        <w:rPr>
          <w:rFonts w:ascii="Times New Roman" w:cs="Times New Roman" w:eastAsia="Times New Roman" w:hAnsi="Times New Roman"/>
          <w:sz w:val="18"/>
          <w:szCs w:val="18"/>
          <w:i w:val="1"/>
          <w:iCs w:val="1"/>
          <w:color w:val="auto"/>
        </w:rPr>
        <w:t>Companies Act</w:t>
      </w:r>
      <w:r>
        <w:rPr>
          <w:rFonts w:ascii="Times New Roman" w:cs="Times New Roman" w:eastAsia="Times New Roman" w:hAnsi="Times New Roman"/>
          <w:sz w:val="18"/>
          <w:szCs w:val="18"/>
          <w:color w:val="auto"/>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redeem unexpired Class C-1 ADSs prior to their exercise at a time that is disadvantageous to holders, thereby making their Class C-1 ADSs worthless.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Report, the Class A ADSs have never traded above $18.00 per share.</w:t>
      </w:r>
    </w:p>
    <w:p>
      <w:pPr>
        <w:spacing w:after="0" w:line="19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Polestar may redeem Class C-1 ADSs after they become exercisable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above $10.00; however, trading prior to the Class C ADSs becoming exercisable is not relevant to the Company’s ability to redeem the Class C-1 ADSs.</w:t>
      </w:r>
    </w:p>
    <w:p>
      <w:pPr>
        <w:spacing w:after="0" w:line="187"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the event Polestar elects to redeem the outstanding Class C-1 ADSs, Polestar will fix a date for the redemption (the “</w:t>
      </w:r>
      <w:r>
        <w:rPr>
          <w:rFonts w:ascii="Times New Roman" w:cs="Times New Roman" w:eastAsia="Times New Roman" w:hAnsi="Times New Roman"/>
          <w:sz w:val="18"/>
          <w:szCs w:val="18"/>
          <w:i w:val="1"/>
          <w:iCs w:val="1"/>
          <w:color w:val="auto"/>
        </w:rPr>
        <w:t>Class C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and provide notice of the redemption to be mailed by first class mail, postage prepaid by Polestar not less than 30 days prior to the Class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Date to the registered holders of the Class C-1 ADSs (who will, in turn, notify the beneficial holders thereof). For addition information regarding the Class C-2 ADSs and the Class C-1 ADSs, please see the applicable sections in the Polestar Articles.</w:t>
      </w:r>
    </w:p>
    <w:p>
      <w:pPr>
        <w:spacing w:after="0" w:line="286"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has not registered the Class A ADSs issuable upon exercise of the Class C-1 ADSs under the Securities Act or any state securities laws at this time, and such registration may not be in place when an investor desires to exercise the Class C-1 ADSs, thus precluding such investor from being able to exercise its Class C-1 ADSs except on a cashless basis and potentially causing such Class C-1 ADSs to expire worthless.</w:t>
      </w:r>
    </w:p>
    <w:p>
      <w:pPr>
        <w:spacing w:after="0" w:line="6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Polestar has not registered the Class A ADSs issuable upon exercise of the Class C-1 ADSs under the Securities Act or any state securities laws at this time. However, Polestar has agreed that, as soon as practicable, but in no event later than 15 business days after the Closing, to use its commercially reasonable efforts to file a registration statement under the Securities Act covering such Class A ADSs and use its best efforts to maintain a current prospectus relating to the Class A ADSs issuable upon exercise of the Class C-1 ADSs until the expiration of the Class C-1 ADSs. Polestar cannot assure you that it will be able to do so if, for example, 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facts or events arise which represent a fundamental change in the information set forth in such registration statement or prospectus, the financial statements contained or incorporated by reference therein are not current or correct or the SEC issues a stop order. If the Class A ADSs issuable upon exercise of the Class C-1 ADSs are not registered under the Securities Act, Polestar will be required to permit holders to exercise their Class C-1 ADSs on a cashless basis. However, no Class C-1 ADSs will be exercisable for cash or on a cashless basis, and the Company will not be obligated to issue any Class A ADSs to holders seeking to exercise their Class C-1 ADSs, unless the issuance of the Class A ADSs upon such exercise is registered or qualified under the securities laws of the state of the exercising holder or an exemption from registration is available. Notwithstanding the above, if the Class A ADSs are at the time of any exercise of a Class C-1 ADSs not listed on a national securities exchange such that it satisfies the definition of a “covered security” under Section 18(b)(1) of the Securities Act, Polestar may, at its option, require holders of Class C-1 ADSs who exercise their Class C-1 ADSs to do so on a “cashless basis” in accordance with Section 3(a)(9) of the Securities Act and, in the event Polestar so elects, Polestar will not be required to file or maintain in effect a registration statement, but Polestar will be required to use its best efforts to register the Class A ADSs under applicable blue sky laws to the extent an exemption is not available.</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no event will Polestar be required to net cash settle any Class C-1 ADSs, or issue securities or other compensation in exchange for the Class C-1 ADSs in the event that it is unable to register or qualify the Class A ADSs underlying the Class C-1 ADSs under applicable state securities laws and there is no exemption available. If the issuance of the Class A ADSs upon exercise of the GGI Public Warrants is not so registered or qualified or exempt from registration or qualification, the holder of such Class C-1 ADS will not be entitled to exercise such Class C-1 ADS and such Class C-1 ADS may have no value and expire worthless. If and when the Class C-1 ADSs become redeemable by Polestar, Polestar may exercise its redemption rights even if it is unable to register or qualify the underlying Class A ADSs for sale under all applicable state securities laws.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issue additional equity securities or convertible debt securities without the approval of the holders of the ADSs, which would dilute ownership interests and may depress the market price of the ADSs.</w:t>
      </w:r>
    </w:p>
    <w:p>
      <w:pPr>
        <w:spacing w:after="0" w:line="5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Polestar will continue to require significant capital investment to support its business, and Polestar may issue additional equity securities or convertible debt securities of equal or senior rank in the future without approval of the holders of the ADSs in certain circumstances.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Polestar’s issuance of additional equity securities or convertible debt securities of equal or senior rank may have the following effects:</w:t>
      </w:r>
    </w:p>
    <w:p>
      <w:pPr>
        <w:spacing w:after="0" w:line="27" w:lineRule="exact"/>
        <w:rPr>
          <w:sz w:val="20"/>
          <w:szCs w:val="20"/>
          <w:color w:val="auto"/>
        </w:rPr>
      </w:pPr>
    </w:p>
    <w:p>
      <w:pPr>
        <w:ind w:left="120" w:right="60" w:hanging="4"/>
        <w:spacing w:after="0" w:line="255"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spacing w:after="0" w:line="18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Furthermore, it is anticipated that employees of Polestar and its subsidiaries will be granted equity awards under the Equity Plan and the Employee Stock Purchase Plan (each as defined below). Holders of ADSs will experience additional dilution when those equity awards become vested and settled or exercised, as applicable, for Company securities. See Item 6.B “</w:t>
      </w:r>
      <w:r>
        <w:rPr>
          <w:rFonts w:ascii="Times New Roman" w:cs="Times New Roman" w:eastAsia="Times New Roman" w:hAnsi="Times New Roman"/>
          <w:sz w:val="18"/>
          <w:szCs w:val="18"/>
          <w:i w:val="1"/>
          <w:iCs w:val="1"/>
          <w:color w:val="auto"/>
        </w:rPr>
        <w:t>Directors, Senior Management and Employees—Historical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 and Director Compensation—Compensation Arrangements after the Business Combination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ADSs may be volatile and could decline significantly.</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The stock markets, including Nasdaq, on which Polestar has listed the Class A ADSs and the Class C-1 ADSs under the symbols “PSNY” and “PSNYW,” respectively, have from time to time experienced significant price and volume fluctuations. Even if an active, liquid and orderly trading market develops and is sustained for the ADSs,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of the ADSs as of the date of the consummation of the Business Combination. Polestar cannot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assure you that the market price of the ADSs will not fluctuate widely or decline significantly in the future in response to a number of factors, including, among others, the following:</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Report;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Polestar’s estimates, or in the estimates of analysts, for Polestar’s revenues, results of operations, level of indebtedness, liquidity or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Company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(including the ongoing COVID-19 pandemic), natural disasters, war, acts of terrorism or responses to these events.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management team has limited experience managing a public company.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Polestar’s resources and distract its management, which could make it difficult to manage its business.</w:t>
      </w:r>
    </w:p>
    <w:p>
      <w:pPr>
        <w:spacing w:after="0" w:line="5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comply with various regulatory and reporting requirements, including those required by the SEC. Complying with these reporting and other regulatory requirements are time-consuming and will result in increased costs to Polestar and could have a negative effect on Polestar’s results of operations, financial condition or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Polestar is subject to the reporting requirements of the Exchange Act and the requirements of the Sarbanes-Oxley Act. These requirements may place a strain on Polestar’s systems and resources. The Exchange Act requires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 implement, maintain and improve the effectiveness of its disclosure controls and procedures, Polestar will need to commit significant resources, hire additional staff and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spacing w:after="0" w:line="28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is a foreign private issuer within the meaning of the rules under the Exchange Act and, as such, it is exempt from certain provisions applicable to United States domestic public companies.</w:t>
      </w:r>
    </w:p>
    <w:p>
      <w:pPr>
        <w:spacing w:after="0" w:line="5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ind w:left="120" w:right="40" w:hanging="4"/>
        <w:spacing w:after="0" w:line="255" w:lineRule="auto"/>
        <w:tabs>
          <w:tab w:leader="none" w:pos="4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8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Polestar is a foreign private issuer and intends to follow certain home country corporate governance practices, its shareholders may not have the same protections afforded to shareholders of companies that are subject to all of Nasdaq’s corporate governance requirements.</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w:t>
      </w:r>
    </w:p>
    <w:p>
      <w:pPr>
        <w:spacing w:after="0" w:line="81" w:lineRule="exact"/>
        <w:rPr>
          <w:sz w:val="20"/>
          <w:szCs w:val="20"/>
          <w:color w:val="auto"/>
        </w:rPr>
      </w:pPr>
    </w:p>
    <w:p>
      <w:pPr>
        <w:ind w:left="1080" w:right="1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Further, by virtue of being a controlled company under Nasdaq listing rules, Polestar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lose its foreign private issuer status in the future, which could result in significant additional costs and expenses.</w:t>
      </w:r>
    </w:p>
    <w:p>
      <w:pPr>
        <w:spacing w:after="0" w:line="121"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2022. In the future, Polestar would lose its foreign private issuer status if</w:t>
      </w:r>
    </w:p>
    <w:p>
      <w:pPr>
        <w:spacing w:after="0" w:line="3" w:lineRule="exact"/>
        <w:rPr>
          <w:sz w:val="20"/>
          <w:szCs w:val="20"/>
          <w:color w:val="auto"/>
        </w:rPr>
      </w:pPr>
    </w:p>
    <w:p>
      <w:pPr>
        <w:ind w:left="120" w:hanging="4"/>
        <w:spacing w:after="0" w:line="251"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an U.S. listed public company that is not a foreign private issuer, Polestar would incur significant additional legal, accounting and other expenses that it will not incur as a foreign private issuer.</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any issuance of Earn Out Shares and assuming no conversion of the Class C ADSs, Parent (of which 42.7% is owned by PSD Investment Limited and 48.8% is owned by Volvo Cars as of March 4, 2022) and its affiliates beneficially hold approximately 99.3% of the outstanding voting power of Polestar. As of March 4, 2022, Mr. Li Shufu controls PSD Investment Limited and owns approximately 91.1% of equity interests in Geely, which owns approximately 82.0% of equity interests in Volvo Cars. Therefore, Mr. Li Shufu, as a controlling equity interest holder in Geely, effectively controls Parent, and beneficially holds approximately 99.3% of the outstanding voting power of Polestar. In addition, under the terms of the Volvo Cars Preference Subscription Agreement, Snita, a wholly-owned subsidiary of Volvo Cars, purchased, substantially concurrently with the Closing, Preference Shares. As of the date hereof, all of the Preference Shares have converted into Class A ADSs, in accordance with, and subject to, the terms of the Preference Shares. As a result, Polestar is a “controlled company” within the meaning of Nasdaq rules, which permit a “controlled company” to elect not to comply with certain corporate governance requirements, including:</w:t>
      </w:r>
    </w:p>
    <w:p>
      <w:pPr>
        <w:spacing w:after="0" w:line="95" w:lineRule="exact"/>
        <w:rPr>
          <w:sz w:val="20"/>
          <w:szCs w:val="20"/>
          <w:color w:val="auto"/>
        </w:rPr>
      </w:pPr>
    </w:p>
    <w:p>
      <w:pPr>
        <w:ind w:left="1080" w:right="34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81"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private company, Polestar has not been required to document and test its internal controls over financial reporting nor has management been required to certify the effectiveness of its internal controls and its auditors have not been required to opine on the effectiveness of its internal control over financial reporting.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it or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their attestation reports.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course of auditing the Polestar Automotive Holding Limited’s financial statements as of and for the years ended December 31, 2021 and 2020, the Polestar Automotive Holding Limited and its independent registered public accounting firm identified material weaknesses in the Polestar Automotive Holding Limited’s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the Polestar Automotive Holding Limited’s annual or interim financial statements will not be prevented or detected on a timely basis. As of December 31, 2020, the material weaknesses identified relate to Polestar failing to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Polestar 4 model.</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a result, the Polestar Group is in the process of designing and implementing the following measures to strengthen its SEC financial reporting capabilities and its internal audit function:</w:t>
      </w:r>
    </w:p>
    <w:p>
      <w:pPr>
        <w:spacing w:after="0" w:line="67" w:lineRule="exact"/>
        <w:rPr>
          <w:sz w:val="20"/>
          <w:szCs w:val="20"/>
          <w:color w:val="auto"/>
        </w:rPr>
      </w:pPr>
    </w:p>
    <w:p>
      <w:pPr>
        <w:ind w:left="1080" w:right="2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hire additional accounting and finance resources with appropriate technical accounting and reporting experience to execute key controls related to various financial reporting processes;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document, evaluate, remediate and test internal controls over financial reporting, including those that operate at a sufficient level of precision and frequency or that evidence the performance of the control; and</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Polestar Group cannot be certain that these measures will successfully remediate the material weakness or that other material weaknesses will not be discovered in the future. If the Polestar Group’s efforts are not successful or other material weaknesses or control deficiencies occur in the future, the Polestar Group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as a U.S. public company is subject to the Sarbanes-Oxley Act.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after Polestar becomes a public company, its reporting obligations may place a significant strain on its management, operational and financial resources and systems for the foreseeable future. Polestar may be unable to timely complete its evaluation testing and any required remediation.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its internal control procedures, in order to satisfy the requirements of Section 404 of the Sarbanes-Oxley Act, Polestar may identify other weaknesses and deficiencies in its internal control over financial reporting. 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or misuse of corporate assets and subject it to potential delisting from the stock exchange on which it lists, regulatory investigations and civil or criminal sanctions.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dual-class voting structure may limit your ability to influence corporate matters and could discourage others from pursuing any change of control transactions that holders of the Company securities or ADSs may view as beneficial.</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Polestar’s authorized and issued ordinary shares are divided into Class A Shares and Class B Shares. Each Class A Share is entitled to one vote, while each Class B Share is entitled to 10 votes. Only the Class A ADSs, which represent an underlying Class A Share, are listed and traded on Nasdaq, and Polestar intends to maintain the dual-class voting structure.</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Parent and its affiliates hold all of the outstanding Class B Shares and have control of the voting power of all outstanding Class B Shares. As a result, without giving effect to any issuance of Earn Out Shares and assuming no conversion of the Class C ADSs, Parent and its affiliates control approximately 99.3% of the total voting power of all issued and outstanding Shares voting together as a single class, even though Parent only owns approximately 94.6% of outstanding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U.K. City Code on Takeovers and Mergers, or the Takeover Code, may apply to Polestar.</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Polestar, the ADS trading prices and trading volumes could decline significantly.</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one or more of the analysts who cover Polestar downgrades their assessment of Polestar or publish inaccurate or unfavorable research about Polestar’s business, the market price and liquidity for the ADSs could be negatively impacted.</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spacing w:after="0" w:line="28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spacing w:after="0" w:line="18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expected that Polestar will pay dividends in the foreseeable future.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Polestar will retain most, if not all, of its available funds and any future earnings to fund the development and growth of its business. As a result, it is not expected that Polestar will pay any cash dividends in the foreseeable future.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after the Business Combination or that the trading price of the ADSs will not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a holding company and will depend on the ability of its subsidiaries to pay dividends.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anticipates granting share-based incentives, which may result in increased share-based compensation expenses.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 has adopted the Equity Plan and the Employee Stock Purchase Plan. Initially, the maximum number of Class A ADSs that may be issued under the Equity Plan is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International Financial Reporting Standards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Initially, the maximum number of Class A ADSs that may be issued under the Employee Stock Purchase Plan is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 Polestar believes the granting of share-based compensation is of significant importance to its ability to attract and retain key employees, and as such, Polestar plans to grant share-based compensation and incur share-based compensation expenses. As a result, expenses associated with share-based compensation may increase, which may have an adverse effect on Polestar’s business and results of operations.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Specifically, Polestar anticipates implementing the following equity programs under the Equity Plan and the Employee Stock Purchase Plan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Business Combination: a Bonus Shares program and awards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and performance stock units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PSUs</w:t>
      </w:r>
      <w:r>
        <w:rPr>
          <w:rFonts w:ascii="Times New Roman" w:cs="Times New Roman" w:eastAsia="Times New Roman" w:hAnsi="Times New Roman"/>
          <w:sz w:val="18"/>
          <w:szCs w:val="18"/>
          <w:color w:val="auto"/>
        </w:rPr>
        <w:t>”), each to be implemented under the Equity Plan, and a Share Purchase and Matching program, to be implemented under the Employee Stock</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Purchase Plan. These programs will become available to eligible Polestar employees following the Closing as permitted by, and subject to, applicable laws. All employees in the relevant jurisdictions will be eligible to participate in the Bonus Shares program, which provides for a one-time issuance of Class A ADSs in a value equal to 4% of the awardee’s base salary (net of applicable taxes), with Bonus Shares to be subject to transfer restrictions until the first anniversary of the Closing (or an earlier change in control). Grants of RSUs and PSUs will be made to certain employees of Polestar as selected by Polestar’s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 (ii) awards of 50% RSUs and 50% PSUs to be granted to other eligible Polestar employees, with such RSUs to vest solely based on continued service and such PSUs to vest based on achievement of certain Polestar performance metrics and continued service. Specifically, it is anticipated that the initial grant of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Purchase and Matching program includes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w:t>
      </w:r>
    </w:p>
    <w:p>
      <w:pPr>
        <w:spacing w:after="0" w:line="300"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Polestar shareholders who hold Company securities directly. Holders of the AD securities are only be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to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Item 12.D in this Report for additional information.</w:t>
      </w:r>
    </w:p>
    <w:p>
      <w:pPr>
        <w:spacing w:after="0" w:line="301"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Deposit Agreements for the AD securities, if any holders of AD securities do not vote their AD securities, the depositary will give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a discretionary proxy to vote the Company securities underlying such AD securities at shareholders’ meetings unless:</w:t>
      </w:r>
    </w:p>
    <w:p>
      <w:pPr>
        <w:spacing w:after="0" w:line="112" w:lineRule="exact"/>
        <w:rPr>
          <w:sz w:val="20"/>
          <w:szCs w:val="20"/>
          <w:color w:val="auto"/>
        </w:rPr>
      </w:pPr>
    </w:p>
    <w:p>
      <w:pPr>
        <w:ind w:left="5540" w:right="2600" w:hanging="4884"/>
        <w:spacing w:after="0" w:line="454" w:lineRule="auto"/>
        <w:tabs>
          <w:tab w:leader="none" w:pos="10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failed to timely provide the depositary with notice of meeting and related voting materials; 72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instructed the depositary that it does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spacing w:after="0" w:line="280" w:lineRule="exact"/>
        <w:rPr>
          <w:sz w:val="20"/>
          <w:szCs w:val="20"/>
          <w:color w:val="auto"/>
        </w:rPr>
      </w:pPr>
    </w:p>
    <w:p>
      <w:pPr>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Polestar Articles and the Deposit Agreements may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spacing w:after="0" w:line="72" w:lineRule="exact"/>
        <w:rPr>
          <w:sz w:val="20"/>
          <w:szCs w:val="20"/>
          <w:color w:val="auto"/>
        </w:rPr>
      </w:pPr>
    </w:p>
    <w:p>
      <w:pPr>
        <w:jc w:val="both"/>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w:t>
      </w:r>
    </w:p>
    <w:p>
      <w:pPr>
        <w:spacing w:after="0" w:line="1" w:lineRule="exact"/>
        <w:rPr>
          <w:sz w:val="20"/>
          <w:szCs w:val="20"/>
          <w:color w:val="auto"/>
        </w:rPr>
      </w:pPr>
    </w:p>
    <w:p>
      <w:pPr>
        <w:ind w:left="380" w:hanging="264"/>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Polestar in its own name or on behalf of Polestar, asserting a claim of breach of any</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fiduciary or other duty owed by any director, officer or other employee of Polestar (including but not limited to duties arising under the Companies Act);</w:t>
      </w:r>
    </w:p>
    <w:p>
      <w:pPr>
        <w:spacing w:after="0" w:line="2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 Polestar Articles or otherwise in any way relating to the constitution or conduct of Polestar; or</w:t>
      </w:r>
    </w:p>
    <w:p>
      <w:pPr>
        <w:spacing w:after="0" w:line="9" w:lineRule="exact"/>
        <w:rPr>
          <w:rFonts w:ascii="Times New Roman" w:cs="Times New Roman" w:eastAsia="Times New Roman" w:hAnsi="Times New Roman"/>
          <w:sz w:val="18"/>
          <w:szCs w:val="18"/>
          <w:color w:val="auto"/>
        </w:rPr>
      </w:pPr>
    </w:p>
    <w:p>
      <w:pPr>
        <w:ind w:left="120" w:right="260" w:hanging="4"/>
        <w:spacing w:after="0" w:line="252" w:lineRule="auto"/>
        <w:tabs>
          <w:tab w:leader="none" w:pos="4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Polestar governed by the internal affairs doctrine (as such concept is recognized under the laws of the United States of America). The Deposit Agreements will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Shares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Agreements, which could result in less favorable results to the plaintiff(s) in any such action.</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ADSs is entitled to charge holders fees for various services, including annual service fees.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other than ADSs and annual service fees. For more information, please see Item 12 “</w:t>
      </w:r>
      <w:r>
        <w:rPr>
          <w:rFonts w:ascii="Times New Roman" w:cs="Times New Roman" w:eastAsia="Times New Roman" w:hAnsi="Times New Roman"/>
          <w:sz w:val="18"/>
          <w:szCs w:val="18"/>
          <w:i w:val="1"/>
          <w:iCs w:val="1"/>
          <w:color w:val="auto"/>
        </w:rPr>
        <w:t>Description of Securities Other Than Equity Securities</w:t>
      </w:r>
      <w:r>
        <w:rPr>
          <w:rFonts w:ascii="Times New Roman" w:cs="Times New Roman" w:eastAsia="Times New Roman" w:hAnsi="Times New Roman"/>
          <w:sz w:val="18"/>
          <w:szCs w:val="18"/>
          <w:color w:val="auto"/>
        </w:rPr>
        <w:t>.”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Item 3.D “</w:t>
      </w:r>
      <w:r>
        <w:rPr>
          <w:rFonts w:ascii="Times New Roman" w:cs="Times New Roman" w:eastAsia="Times New Roman" w:hAnsi="Times New Roman"/>
          <w:sz w:val="18"/>
          <w:szCs w:val="18"/>
          <w:i w:val="1"/>
          <w:iCs w:val="1"/>
          <w:color w:val="auto"/>
        </w:rPr>
        <w:t>Risk Factors—Risks Related to Tax—Transfers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ADSs or the underlying Company securities may be subject to stamp duty or stamp duty reserve tax in the U.K., which would increase the cost of dealing in the Company’s securities</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ADS holders may not receive dividends or other distributions of the Shares and the holders thereof may not receive any value for them, if it is illegal or impractical to make them available to such holders.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Item 12 “</w:t>
      </w:r>
      <w:r>
        <w:rPr>
          <w:rFonts w:ascii="Times New Roman" w:cs="Times New Roman" w:eastAsia="Times New Roman" w:hAnsi="Times New Roman"/>
          <w:sz w:val="18"/>
          <w:szCs w:val="18"/>
          <w:i w:val="1"/>
          <w:iCs w:val="1"/>
          <w:color w:val="auto"/>
        </w:rPr>
        <w:t>Descriptions of Securities Other Than Equity Securities</w:t>
      </w:r>
      <w:r>
        <w:rPr>
          <w:rFonts w:ascii="Times New Roman" w:cs="Times New Roman" w:eastAsia="Times New Roman" w:hAnsi="Times New Roman"/>
          <w:sz w:val="18"/>
          <w:szCs w:val="18"/>
          <w:color w:val="auto"/>
        </w:rPr>
        <w:t>.” 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experience dilution of their holdings due to their inability to participate in rights offerings.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transfer of their ADSs.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131"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legal name of the Company is “Polestar Automotive Holding UK PLC.” The Company was incorporated under the laws of England and Wales as a company limited by shares on September 15, 2021 and was re-registered as a public limited company under the laws of England and Wales in connection with the Business Combination. The Company’s registered office in England is Suite 1, 3rd Floor, 11-12 St James’s Square, London SW1Y 4LB. The address of the principal executive office of the Company is Assar Gabrielssons Väg 9 405 31 Göteborg, Sweden, and the telephone number of the Company is (949) 735-1834.</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Explanatory Note</w:t>
      </w:r>
      <w:r>
        <w:rPr>
          <w:rFonts w:ascii="Times New Roman" w:cs="Times New Roman" w:eastAsia="Times New Roman" w:hAnsi="Times New Roman"/>
          <w:sz w:val="18"/>
          <w:szCs w:val="18"/>
          <w:color w:val="auto"/>
        </w:rPr>
        <w:t>” in this Report for additional information regarding the Company and the Business Combination. The material terms of the Business Combination are also described in Item 10.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of this Report.</w:t>
      </w:r>
    </w:p>
    <w:p>
      <w:pPr>
        <w:spacing w:after="0" w:line="16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spacing w:after="0" w:line="17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website address of the Company is https://www.polestar.com/us/. The information contained on the website does not form a part of, and is not incorporated by reference into, this Report.</w:t>
      </w:r>
    </w:p>
    <w:p>
      <w:pPr>
        <w:spacing w:after="0" w:line="306" w:lineRule="exact"/>
        <w:rPr>
          <w:sz w:val="20"/>
          <w:szCs w:val="20"/>
          <w:color w:val="auto"/>
        </w:rPr>
      </w:pPr>
    </w:p>
    <w:p>
      <w:pPr>
        <w:ind w:left="120" w:right="9120" w:hanging="4"/>
        <w:spacing w:after="0" w:line="378" w:lineRule="auto"/>
        <w:tabs>
          <w:tab w:leader="none" w:pos="55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Summary</w:t>
      </w: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Polestar is a pure play, premium electric performance car brand headquartered in Sweden, designing products that are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Newton-metre (Nm) of torque. Production of the Polestar 1 ceased at the end of 2021.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Today Polestar’s cars are on the road in nineteen markets across Europe, North America, China and Asia Pacific. Polestar intends to continue its rapid market expansion with the aim that its cars will be available in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aggregate of 30 markets by the end of 2023. Polestar also plans to introduce three new electric vehicles by 2024; Polestar 3, an aerodynamically optimized SUV; Polestar 4, a sporty SUV coupe and Polestar 5, a luxury 4 door GT.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68"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has also established an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w:t>
      </w:r>
    </w:p>
    <w:p>
      <w:pPr>
        <w:ind w:left="120"/>
        <w:spacing w:after="0" w:line="253" w:lineRule="auto"/>
        <w:rPr>
          <w:sz w:val="20"/>
          <w:szCs w:val="20"/>
          <w:color w:val="auto"/>
        </w:rPr>
      </w:pPr>
      <w:r>
        <w:rPr>
          <w:rFonts w:ascii="Times New Roman" w:cs="Times New Roman" w:eastAsia="Times New Roman" w:hAnsi="Times New Roman"/>
          <w:sz w:val="18"/>
          <w:szCs w:val="18"/>
          <w:color w:val="auto"/>
        </w:rPr>
        <w:t>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preliminary estimated global volume data for the three months ended March 31, 2022 and the month of April 2022 are prepared based upon Polestar management’s current best estimates and are subject to risks and uncertainties. The global volume data discussed below should be read in conjunction with the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sections and the Polestar Financial Statements and the related notes thereto included elsewhere in this Report. Polestar’s actual results may differ from the preliminary estimates and could vary by up to 2%. The data has been prepared by and is the responsibility of Polestar management. Deloitte has not audited, reviewed, compiled or performed 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procedures with respect to any of the data set forth in this section. Accordingly, Deloitte does not express an opinion or any other form of assurance with respect thereto.</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2022, Polestar estimates it delivered approximately 9,500 vehicles of which approximately 440 vehicles are subject to buy-back agreements and approximately 460 vehicles were internal vehicle deliveries. This compares with estimated deliveries of 4,500 vehicles during the three months ended March 31, 2021, during which Polestar did not sell any vehicles subject to buy-back agreements and approximately 160 vehicles were internal vehicle deliveries. Internal vehicle deliveries are vehicles transferred for demonstration and commercial purposes as well as vehicles transferred to Polestar employees at the time of registration. Transferred vehicles for demonstration and commercial purposes are owned by Polestar and included in Inventory. The estimated deliveries during the three months ended March 31,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See Item 5 “</w:t>
      </w:r>
      <w:r>
        <w:rPr>
          <w:rFonts w:ascii="Times New Roman" w:cs="Times New Roman" w:eastAsia="Times New Roman" w:hAnsi="Times New Roman"/>
          <w:sz w:val="18"/>
          <w:szCs w:val="18"/>
          <w:i w:val="1"/>
          <w:iCs w:val="1"/>
          <w:color w:val="auto"/>
        </w:rPr>
        <w:t>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Review and Prospects—Polestar Automotive Holding Limited—Factors Affecting Future Results of Operations</w:t>
      </w:r>
      <w:r>
        <w:rPr>
          <w:rFonts w:ascii="Times New Roman" w:cs="Times New Roman" w:eastAsia="Times New Roman" w:hAnsi="Times New Roman"/>
          <w:sz w:val="18"/>
          <w:szCs w:val="18"/>
          <w:color w:val="auto"/>
        </w:rPr>
        <w:t>,” Item 3.D “</w:t>
      </w:r>
      <w:r>
        <w:rPr>
          <w:rFonts w:ascii="Times New Roman" w:cs="Times New Roman" w:eastAsia="Times New Roman" w:hAnsi="Times New Roman"/>
          <w:sz w:val="18"/>
          <w:szCs w:val="18"/>
          <w:i w:val="1"/>
          <w:iCs w:val="1"/>
          <w:color w:val="auto"/>
        </w:rPr>
        <w:t>Risk Factors— Risks 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global COVID-19 outbreak and the global response could continue to affect Polestar’s business and operations.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April 2022, Polestar estimates that it delivered approximately 4,100 vehicles, of which approximately 120 vehicles are subject</w:t>
      </w:r>
    </w:p>
    <w:p>
      <w:pPr>
        <w:spacing w:after="0" w:line="27"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to buy-back agreements and approximately 100 vehicles were internal vehicle deliveries, compared to an estimated 1,600 vehicles delivered during April 2021, when no vehicles included buy-back agreements and approximately 100 vehicles were internal vehicle deliveries.</w:t>
      </w:r>
    </w:p>
    <w:p>
      <w:pPr>
        <w:spacing w:after="0" w:line="18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of June 15, 2022, Polestar had received total customer orders of over 32,000 vehicles, an increase of approximately 290% versus the same period last year. Total customer orders include orders placed since January 1, 2022 through June 15, 2022, which have been delivered or are yet to be delivered. The orders may be cancelled, and any deposit, where applicable, returned.</w:t>
      </w:r>
    </w:p>
    <w:p>
      <w:pPr>
        <w:spacing w:after="0" w:line="176"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As of June 15, 2022, Polestar operated in 25 markets, up from 19 markets as of December 31, 2021. This increase reflects Polestar’s efforts to continue its rapid market expansion with the aim that its cars will be available in an aggregate of 30 markets by the end of 2023. Polestar expects to enter new markets this year in Europe, including Spain, Portugal and Italy, and the Middle East, including Israel.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and that in addition, Hertz is now adding the Polestar 1 electric performance hybrid to their Dream fleet as well.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w:t>
      </w:r>
      <w:r>
        <w:rPr>
          <w:rFonts w:ascii="Times New Roman" w:cs="Times New Roman" w:eastAsia="Times New Roman" w:hAnsi="Times New Roman"/>
          <w:sz w:val="18"/>
          <w:szCs w:val="18"/>
          <w:i w:val="1"/>
          <w:iCs w:val="1"/>
          <w:color w:val="auto"/>
        </w:rPr>
        <w:t>Declarations of Intent</w:t>
      </w:r>
      <w:r>
        <w:rPr>
          <w:rFonts w:ascii="Times New Roman" w:cs="Times New Roman" w:eastAsia="Times New Roman" w:hAnsi="Times New Roman"/>
          <w:sz w:val="18"/>
          <w:szCs w:val="18"/>
          <w:color w:val="auto"/>
        </w:rPr>
        <w: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Item 3.D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to Financing and Strategic Transactions—Polestar will require additional capital to support business growth, and this capital might not be available on commercially reasonable terms, or at all” </w:t>
      </w:r>
      <w:r>
        <w:rPr>
          <w:rFonts w:ascii="Times New Roman" w:cs="Times New Roman" w:eastAsia="Times New Roman" w:hAnsi="Times New Roman"/>
          <w:sz w:val="18"/>
          <w:szCs w:val="18"/>
          <w:color w:val="auto"/>
        </w:rPr>
        <w:t>and Item 7.B “</w:t>
      </w:r>
      <w:r>
        <w:rPr>
          <w:rFonts w:ascii="Times New Roman" w:cs="Times New Roman" w:eastAsia="Times New Roman" w:hAnsi="Times New Roman"/>
          <w:sz w:val="18"/>
          <w:szCs w:val="18"/>
          <w:i w:val="1"/>
          <w:iCs w:val="1"/>
          <w:color w:val="auto"/>
        </w:rPr>
        <w:t>Major Shareholders and Related Party Transactions—Related Party Transactions —Declarations of Intent by Snita and PSD Investment Limited</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Polestar’s Strategy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global car industry is undergoing a fundamental transformation and Polestar believes it is optimally positioned at the forefront of this change. The premium luxury electric vehicle segment is one of the fastest 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growth in the premium luxury electric vehicle segment to significantly outpace overall premium vehicle growth and estimate the global electric vehicle segment will represent a $280 billion to $320 billion market segment by 2025 based on management estimates. In order to capitalize on these trends, Polestar intends to implement the following strategy.</w:t>
      </w:r>
    </w:p>
    <w:p>
      <w:pPr>
        <w:spacing w:after="0" w:line="91" w:lineRule="exact"/>
        <w:rPr>
          <w:sz w:val="20"/>
          <w:szCs w:val="20"/>
          <w:color w:val="auto"/>
        </w:rPr>
      </w:pPr>
    </w:p>
    <w:p>
      <w:pPr>
        <w:ind w:left="1080" w:right="60" w:hanging="424"/>
        <w:spacing w:after="0" w:line="25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international sales, support and manufacturing presence. </w:t>
      </w:r>
      <w:r>
        <w:rPr>
          <w:rFonts w:ascii="Times New Roman" w:cs="Times New Roman" w:eastAsia="Times New Roman" w:hAnsi="Times New Roman"/>
          <w:sz w:val="18"/>
          <w:szCs w:val="18"/>
          <w:color w:val="auto"/>
        </w:rPr>
        <w:t>With global sales from day one, Polestar intends to continue its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expansion aiming to be present in an aggregate of 30 markets by the end of 2023. Polestar’s expansion plans include building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Locations. At December 31, 2020 Polestar had 26 permanent Polestar Locations (and a further 14 temporary or “pop up” locations). Currently Polestar has over 40 permanent Polestar Locations (and over 60 temporary or “pop up” locations). Polestar plans to extend its retail locations to a total of over 150 in existing and new markets by the end of 2023.</w:t>
      </w:r>
    </w:p>
    <w:p>
      <w:pPr>
        <w:spacing w:after="0" w:line="78" w:lineRule="exact"/>
        <w:rPr>
          <w:rFonts w:ascii="Times New Roman" w:cs="Times New Roman" w:eastAsia="Times New Roman" w:hAnsi="Times New Roman"/>
          <w:sz w:val="18"/>
          <w:szCs w:val="18"/>
          <w:color w:val="auto"/>
        </w:rPr>
      </w:pPr>
    </w:p>
    <w:p>
      <w:pPr>
        <w:ind w:left="1100" w:right="3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Polestar currently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31" w:lineRule="exact"/>
        <w:rPr>
          <w:rFonts w:ascii="Times New Roman" w:cs="Times New Roman" w:eastAsia="Times New Roman" w:hAnsi="Times New Roman"/>
          <w:sz w:val="18"/>
          <w:szCs w:val="18"/>
          <w:color w:val="auto"/>
        </w:rPr>
      </w:pPr>
    </w:p>
    <w:p>
      <w:pPr>
        <w:ind w:left="110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intends to expand its manufacturing presence to facilities in the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560"/>
        <w:spacing w:after="0" w:line="282" w:lineRule="auto"/>
        <w:rPr>
          <w:sz w:val="20"/>
          <w:szCs w:val="20"/>
          <w:color w:val="auto"/>
        </w:rPr>
      </w:pPr>
      <w:r>
        <w:rPr>
          <w:rFonts w:ascii="Times New Roman" w:cs="Times New Roman" w:eastAsia="Times New Roman" w:hAnsi="Times New Roman"/>
          <w:sz w:val="18"/>
          <w:szCs w:val="18"/>
          <w:color w:val="auto"/>
        </w:rPr>
        <w:t>and in Europe, in each case operated by Volvo Cars. For example, Polestar intends to produce the Polestar 3 in Volvo Cars’ plant in Charleston, South Carolina as well as in China.</w:t>
      </w:r>
    </w:p>
    <w:p>
      <w:pPr>
        <w:spacing w:after="0" w:line="65" w:lineRule="exact"/>
        <w:rPr>
          <w:sz w:val="20"/>
          <w:szCs w:val="20"/>
          <w:color w:val="auto"/>
        </w:rPr>
      </w:pPr>
    </w:p>
    <w:p>
      <w:pPr>
        <w:ind w:left="1080" w:hanging="424"/>
        <w:spacing w:after="0" w:line="25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Polestar’s portfolio of vehicles. </w:t>
      </w:r>
      <w:r>
        <w:rPr>
          <w:rFonts w:ascii="Times New Roman" w:cs="Times New Roman" w:eastAsia="Times New Roman" w:hAnsi="Times New Roman"/>
          <w:sz w:val="18"/>
          <w:szCs w:val="18"/>
          <w:color w:val="auto"/>
        </w:rPr>
        <w:t>Polestar currently intends to launch three additional vehicles by 2024. Polestar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launch Polestar 3, an electric performance SUV, in 2022 and to launch Polestar 4, an electric SUV coupe in 2023. In addition, Polestar currently plans to launch Polestar 5, a premium electric 4 door GT, in 2024. Polestar believes that expanding its product line-up with these vehicles will enable us to compete in segments constituting almost 80% of the global premium luxury vehicle market by volume of units sold. Polestar believes the premium luxury vehicle segment is one of the fastest growing vehicle segments, and Polestar expects the electric-only vehicle portion of this segment to grow at a faster rate than the overall segment.</w:t>
      </w:r>
    </w:p>
    <w:p>
      <w:pPr>
        <w:spacing w:after="0" w:line="87"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sustainable electric vehicle technologies as well as separately monetizing Polestar’s investment in research and development. </w:t>
      </w:r>
      <w:r>
        <w:rPr>
          <w:rFonts w:ascii="Times New Roman" w:cs="Times New Roman" w:eastAsia="Times New Roman" w:hAnsi="Times New Roman"/>
          <w:sz w:val="18"/>
          <w:szCs w:val="18"/>
          <w:color w:val="auto"/>
        </w:rPr>
        <w:t>Polestar intends to continue to develop technologies to mitigate its environmental impact from vehicle concept through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production techniques. Polestar’s Polestar 0 project, which aims to develop a truly climate neutral car by the end of 2030 will be a significant focus of Polestar’s research and development activities, including through the development of new interior materials and structural components designed to further reduce Polestar’s environmental impact. See Item 4.B “</w:t>
      </w:r>
      <w:r>
        <w:rPr>
          <w:rFonts w:ascii="Times New Roman" w:cs="Times New Roman" w:eastAsia="Times New Roman" w:hAnsi="Times New Roman"/>
          <w:sz w:val="18"/>
          <w:szCs w:val="18"/>
          <w:i w:val="1"/>
          <w:iCs w:val="1"/>
          <w:color w:val="auto"/>
        </w:rPr>
        <w:t>Information On The Company—Business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 Research and Development and Sustainability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Polestar will continue to focus on developing cutting-edge technology, including bonded aluminum chassis architectures and their manufacture and the complimentary development of a high-performance electric motor. Polestar will also continue its efforts on battery management and</w:t>
      </w:r>
    </w:p>
    <w:p>
      <w:pPr>
        <w:spacing w:after="0" w:line="1"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its bi-directional battery pack (400V and 800V) systems and onboard bi-directional 22 kW Charger. Polestar also intends to take the opportunity to monetize these new technologies through sales and licensing arrangements with other market participants.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Polestar’s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it benefits from a number of competitive advantages:</w:t>
      </w:r>
    </w:p>
    <w:p>
      <w:pPr>
        <w:spacing w:after="0" w:line="129" w:lineRule="exact"/>
        <w:rPr>
          <w:sz w:val="20"/>
          <w:szCs w:val="20"/>
          <w:color w:val="auto"/>
        </w:rPr>
      </w:pPr>
    </w:p>
    <w:p>
      <w:pPr>
        <w:ind w:left="108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operates in one of the fastest-growing market segments of the industry. </w:t>
      </w:r>
      <w:r>
        <w:rPr>
          <w:rFonts w:ascii="Times New Roman" w:cs="Times New Roman" w:eastAsia="Times New Roman" w:hAnsi="Times New Roman"/>
          <w:sz w:val="18"/>
          <w:szCs w:val="18"/>
          <w:color w:val="auto"/>
        </w:rPr>
        <w:t>Polestar expects growth in the premium luxury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segment to outpace overall premium vehicle growth and estimates the electric vehicle segment will represent a $280 billion to $320 billion market segment by 2025 based on management estimates. Polestar believes its ability to leverage a global manufacturing footprint and expanding market coverage coupled with a scalable and asset light business model means it is well positioned to capitalize on this growing market. Polestar started selling electric cars globally in August 2020 and its plan is to grow from selling approximately 10,000 cars in 2020 to sales of approximately 290,000 cars in 2025.</w:t>
      </w:r>
    </w:p>
    <w:p>
      <w:pPr>
        <w:spacing w:after="0" w:line="8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is one of only two global premium electric vehicle manufacturers already in mass production. </w:t>
      </w:r>
      <w:r>
        <w:rPr>
          <w:rFonts w:ascii="Times New Roman" w:cs="Times New Roman" w:eastAsia="Times New Roman" w:hAnsi="Times New Roman"/>
          <w:sz w:val="18"/>
          <w:szCs w:val="18"/>
          <w:color w:val="auto"/>
        </w:rPr>
        <w:t>Currently, Polestar and Tesla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distinct culture with a focus on innovation and an experienced management team. </w:t>
      </w:r>
      <w:r>
        <w:rPr>
          <w:rFonts w:ascii="Times New Roman" w:cs="Times New Roman" w:eastAsia="Times New Roman" w:hAnsi="Times New Roman"/>
          <w:sz w:val="18"/>
          <w:szCs w:val="18"/>
          <w:color w:val="auto"/>
        </w:rPr>
        <w:t>Polestar has a distinct corporate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Cars’s recent award-winning design renaissance. Chief financial officer Johan Malmqvist has broad experience across multiple sectors including in the United States and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312" w:lineRule="auto"/>
        <w:rPr>
          <w:sz w:val="20"/>
          <w:szCs w:val="20"/>
          <w:color w:val="auto"/>
        </w:rPr>
      </w:pPr>
      <w:r>
        <w:rPr>
          <w:rFonts w:ascii="Times New Roman" w:cs="Times New Roman" w:eastAsia="Times New Roman" w:hAnsi="Times New Roman"/>
          <w:sz w:val="17"/>
          <w:szCs w:val="17"/>
          <w:color w:val="auto"/>
        </w:rPr>
        <w:t>publicly listed companies. Chief operating officer Dennis Nobelius is the previous chief executive officer of assisted and autonomous driving software provider Zenuity, a business whose technology Polestar intends to utilize in future vehicles, starting with the Polestar 3.</w:t>
      </w:r>
    </w:p>
    <w:p>
      <w:pPr>
        <w:spacing w:after="0" w:line="43" w:lineRule="exact"/>
        <w:rPr>
          <w:sz w:val="20"/>
          <w:szCs w:val="20"/>
          <w:color w:val="auto"/>
        </w:rPr>
      </w:pPr>
    </w:p>
    <w:p>
      <w:pPr>
        <w:ind w:left="1080" w:right="20" w:hanging="424"/>
        <w:spacing w:after="0" w:line="25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scalable, asset-light business model with immediate operating leverage. </w:t>
      </w:r>
      <w:r>
        <w:rPr>
          <w:rFonts w:ascii="Times New Roman" w:cs="Times New Roman" w:eastAsia="Times New Roman" w:hAnsi="Times New Roman"/>
          <w:sz w:val="18"/>
          <w:szCs w:val="18"/>
          <w:color w:val="auto"/>
        </w:rPr>
        <w:t>Polestar has a scalable, asset-light business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digital-first, direct to consumer approach with a differentiated distribution and service model. </w:t>
      </w:r>
      <w:r>
        <w:rPr>
          <w:rFonts w:ascii="Times New Roman" w:cs="Times New Roman" w:eastAsia="Times New Roman" w:hAnsi="Times New Roman"/>
          <w:sz w:val="18"/>
          <w:szCs w:val="18"/>
          <w:color w:val="auto"/>
        </w:rPr>
        <w:t>Polestar’s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model is focused on a direct customer experience, reducing multiple traditional inefficiencies coupled with a differentiated distribution. Using the Polestar mobile application (the “</w:t>
      </w:r>
      <w:r>
        <w:rPr>
          <w:rFonts w:ascii="Times New Roman" w:cs="Times New Roman" w:eastAsia="Times New Roman" w:hAnsi="Times New Roman"/>
          <w:sz w:val="18"/>
          <w:szCs w:val="18"/>
          <w:i w:val="1"/>
          <w:iCs w:val="1"/>
          <w:color w:val="auto"/>
        </w:rPr>
        <w:t>Polestar App</w:t>
      </w:r>
      <w:r>
        <w:rPr>
          <w:rFonts w:ascii="Times New Roman" w:cs="Times New Roman" w:eastAsia="Times New Roman" w:hAnsi="Times New Roman"/>
          <w:sz w:val="18"/>
          <w:szCs w:val="18"/>
          <w:color w:val="auto"/>
        </w:rPr>
        <w:t>”) or other digital connections, clients can discover Polestar’s products, configure and personalize them, choose a financing option and purchase on-line, creating a seamless experience. Complementing this digital experience, customers can see, feel and test drive our vehicles, at one of the Polestar Locations prior to making</w:t>
      </w: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purchase. Polestar believes this combination of digital and physical retail presence serves to deliver a seamless experience for its customers. Polestar’s customers benefit from a comprehensive service network which leverages the existing Volvo Cars service center network.</w:t>
      </w:r>
    </w:p>
    <w:p>
      <w:pPr>
        <w:spacing w:after="0" w:line="89"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Polestar’s design-led focus on sustainability</w:t>
      </w:r>
      <w:r>
        <w:rPr>
          <w:rFonts w:ascii="Times New Roman" w:cs="Times New Roman" w:eastAsia="Times New Roman" w:hAnsi="Times New Roman"/>
          <w:sz w:val="18"/>
          <w:szCs w:val="18"/>
          <w:color w:val="auto"/>
        </w:rPr>
        <w:t>. Polestar believes that its emphasis on environmentally sustainable products,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Scandinavian avant-garde design and high tech minimalism engages and attracts customers who share its ethos and design aesthetic. Polestar’s brand and product designs have received multiple global awards since the launch of the Polestar 1 in 2019 including Red Dot’s Brand of the Year as well as Best of the Best Product Design for Polestar 2. Polestar Precept has also captured imaginations most recently winning three of the four 2021 EyesOn Design awards. Sustainability remains a core principal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w:t>
      </w:r>
    </w:p>
    <w:p>
      <w:pPr>
        <w:spacing w:after="0" w:line="9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Polestar’s proprietary technology. </w:t>
      </w:r>
      <w:r>
        <w:rPr>
          <w:rFonts w:ascii="Times New Roman" w:cs="Times New Roman" w:eastAsia="Times New Roman" w:hAnsi="Times New Roman"/>
          <w:sz w:val="18"/>
          <w:szCs w:val="18"/>
          <w:color w:val="auto"/>
        </w:rPr>
        <w:t>Polestar believes its proprietary electric vehicle technology provides it with a substantial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For example, Polestar is developing one of the most powerful electric motors in the market, the P10, which will be capable of delivering as much as 450kW of power, or 600hp alone and even more power when coupled with a front motor. Our state-of-the-art 800V battery pack technology is expected to be included in the Polestar 5 when launched in 2024.</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Polestar’s Vehicles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1</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 Combined output is 609 hp and 1,000 Nm of torque. With three battery packs totaling 34 kWh, Polestar 1 features an all-electric range of 124 km–the longest electric range of any plug-in hybrid in the world to date.</w:t>
      </w:r>
    </w:p>
    <w:p>
      <w:pPr>
        <w:spacing w:after="0" w:line="17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body of Polestar 1 is made from carbon fibre reinforced polymer (“</w:t>
      </w:r>
      <w:r>
        <w:rPr>
          <w:rFonts w:ascii="Times New Roman" w:cs="Times New Roman" w:eastAsia="Times New Roman" w:hAnsi="Times New Roman"/>
          <w:sz w:val="18"/>
          <w:szCs w:val="18"/>
          <w:i w:val="1"/>
          <w:iCs w:val="1"/>
          <w:color w:val="auto"/>
        </w:rPr>
        <w:t>CFRP</w:t>
      </w:r>
      <w:r>
        <w:rPr>
          <w:rFonts w:ascii="Times New Roman" w:cs="Times New Roman" w:eastAsia="Times New Roman" w:hAnsi="Times New Roman"/>
          <w:sz w:val="18"/>
          <w:szCs w:val="18"/>
          <w:color w:val="auto"/>
        </w:rPr>
        <w:t>”) which lowers the vehicle’s weight as well as its center of gravity. The CFRP body also allowed the car’s designers to create truly emotive and sharp styling cues that cannot be stamped into traditional metal body panels. Under the surface, the CFRP body features a carbon fibre “dragonfly” between the front seats and the rear of the vehicle, further reinforcing the car’s chassis.</w:t>
      </w:r>
    </w:p>
    <w:p>
      <w:pPr>
        <w:spacing w:after="0" w:line="18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fitment of the two rear electric motors, each with a planetary gear set, allowed engineers to develop real torque vectoring algorithms for Polestar 1. The effects of this are particularly evident during cornering – rather than slowing down the inner wheel, the outer wheel is accelerated to help the car turn more sharply. The torque vectoring also allows the driver to apply power earlier than expected on the exit of a corner, resulting in a truly exhilarating experience.</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Featuring Pure, Hybrid and Power drive modes, Polestar 1 can be driven in different ways depending on the driver needs and preference. In Pure mode, the combustion engine is shut off and Polestar 1 operates as a fully electric vehicle. The two rear electric motors generate total power of 170 kW and torque of 492 Nm. In Hybrid mode, Polestar 1 utilizes the electric motors and petrol engine according to demand from the driver, seamlessly switching between the two as needed. In Power mode, both the electric motors and combustion engine are utilized at all times, allowing the driver to take advantage of the full 609 hp and 1,000 Nm of torque, along with sharper responses from the throttle, steering and gearbox. Top speed is limited to 155 mph and the 0-62 mph sprint takes 4.2 seconds.</w:t>
      </w:r>
    </w:p>
    <w:p>
      <w:pPr>
        <w:spacing w:after="0" w:line="187"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Polestar 1 went into production at Polestar’s Chengdu, China facility in 2019. The facility was the only Leadership in Energy and Environmental Design, or LEED, Gold accredited automotive manufacturing facility in China. With a planned three year production run and a limited build capacity of up to 500 units per year, production of the car ceased in 2021. The car retails in Polestar’s original launch markets in Europe, North America and China.</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2</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 2 model range includes three variants – Long range dual motor (300 kW (408 hp)/ 660 Nm), Long range single motor (170 kW (231 hp)/ 330Nm) and Standard range single motor (165 kW (224 hp)/ 330 Nm) – combined with three optional packages – Pilot, Plus and Performance – to provide consumers with the perfect Polestar 2 for their needs. Pilot and Plus packages encompass driver convenience and comfort features, while the Performance package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2 was the first car in the world to feature an infotainment system powered by Google’s Android Automotive OS, with</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Google built-in. Developed in collaboration with Google, the Android system revolutionizes the way car infotainment system can be integrated, and with Google Assistant, Google Maps and the Google Play Store integrated, owners can benefit from one of the best voice and navigation systems in the world.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w:t>
      </w:r>
    </w:p>
    <w:p>
      <w:pPr>
        <w:spacing w:after="0" w:line="19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with a call to the industry at large for a uniformly open and transparent way of disclosing the carbon footprint of electric vehicles from all manufacturers. In early 2021, Polestar took this transparency a step further by integrating a Product Sustainability Declaration into Polestar Locations and on its website and will continue to disclose such information going forward. See Item 4.B “</w:t>
      </w:r>
      <w:r>
        <w:rPr>
          <w:rFonts w:ascii="Times New Roman" w:cs="Times New Roman" w:eastAsia="Times New Roman" w:hAnsi="Times New Roman"/>
          <w:sz w:val="18"/>
          <w:szCs w:val="18"/>
          <w:i w:val="1"/>
          <w:iCs w:val="1"/>
          <w:color w:val="auto"/>
        </w:rPr>
        <w:t>Information On The Company—Business Overview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Sustainability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 Future Vehicles and Polestar 0 project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March 2020, Polestar revealed Polestar Precept, a design study intended to showcase Polestar’s vision of the brand’s future, demonstrating innovation and ambition across three focus areas—design, technology and sustainability.</w:t>
      </w:r>
    </w:p>
    <w:p>
      <w:pPr>
        <w:spacing w:after="0" w:line="162"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Polestar Precept was created as the manifesto for and design direction of Polestar’s future models. By the end of 2024, Polestar currently intends to have launched three new vehicles; Polestar 3, an electric performance SUV; Polestar 4, a SUV coupe and Polestar 5—a luxury electric 4 door GT.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Precept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October 2020, Polestar announced at the Shanghai Motor Show that it would aim to produce a luxury 4 door GT based on the Precept concept; this will be the Polestar 5.</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design of the Precept’s interior is defined by sustainability and offered an opportunity to work with new materials and processes. Similarly, the design seeks to capitalize on the evolution of the Human Machine Interface (“</w:t>
      </w:r>
      <w:r>
        <w:rPr>
          <w:rFonts w:ascii="Times New Roman" w:cs="Times New Roman" w:eastAsia="Times New Roman" w:hAnsi="Times New Roman"/>
          <w:sz w:val="18"/>
          <w:szCs w:val="18"/>
          <w:i w:val="1"/>
          <w:iCs w:val="1"/>
          <w:color w:val="auto"/>
        </w:rPr>
        <w:t>HMI</w:t>
      </w:r>
      <w:r>
        <w:rPr>
          <w:rFonts w:ascii="Times New Roman" w:cs="Times New Roman" w:eastAsia="Times New Roman" w:hAnsi="Times New Roman"/>
          <w:sz w:val="18"/>
          <w:szCs w:val="18"/>
          <w:color w:val="auto"/>
        </w:rPr>
        <w:t>”) based on Polestar 3 interactions and Google Android Automotive to deliver an enhanced customer experience.</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40"/>
          </w:cols>
          <w:pgMar w:left="320" w:top="455" w:right="5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sculpted form of the Polestar Precept sets the tone for future Polestar vehicles. The vehicle’s proportions define its presence with restrained surfacing and a focus on aerodynamic efficiency.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 definition camera are located behind a transparent panel. In addition, a light detection and ranging (“</w:t>
      </w:r>
      <w:r>
        <w:rPr>
          <w:rFonts w:ascii="Times New Roman" w:cs="Times New Roman" w:eastAsia="Times New Roman" w:hAnsi="Times New Roman"/>
          <w:sz w:val="18"/>
          <w:szCs w:val="18"/>
          <w:i w:val="1"/>
          <w:iCs w:val="1"/>
          <w:color w:val="auto"/>
        </w:rPr>
        <w:t>LiDAR</w:t>
      </w:r>
      <w:r>
        <w:rPr>
          <w:rFonts w:ascii="Times New Roman" w:cs="Times New Roman" w:eastAsia="Times New Roman" w:hAnsi="Times New Roman"/>
          <w:sz w:val="18"/>
          <w:szCs w:val="18"/>
          <w:color w:val="auto"/>
        </w:rPr>
        <w:t>”) sensor, mounted atop the glass roof, is given optimal visibility as a next step towards increased driving assistance. The Thor’s Hammer LED headlight signature evolves with separated elements, taking on a dynamic and brand-defining interpretation.</w:t>
      </w:r>
    </w:p>
    <w:p>
      <w:pPr>
        <w:spacing w:after="0" w:line="183"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 – another aerodynamic feature and a nod to light weight design.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Show cars, concept cars and vision statements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w:t>
      </w:r>
    </w:p>
    <w:p>
      <w:pPr>
        <w:spacing w:after="0" w:line="76" w:lineRule="exact"/>
        <w:rPr>
          <w:sz w:val="20"/>
          <w:szCs w:val="20"/>
          <w:color w:val="auto"/>
        </w:rPr>
      </w:pPr>
    </w:p>
    <w:p>
      <w:pPr>
        <w:ind w:left="120" w:right="100" w:firstLine="440"/>
        <w:spacing w:after="0" w:line="224" w:lineRule="auto"/>
        <w:rPr>
          <w:sz w:val="20"/>
          <w:szCs w:val="20"/>
          <w:color w:val="auto"/>
        </w:rPr>
      </w:pPr>
      <w:r>
        <w:rPr>
          <w:rFonts w:ascii="Times New Roman" w:cs="Times New Roman" w:eastAsia="Times New Roman" w:hAnsi="Times New Roman"/>
          <w:sz w:val="18"/>
          <w:szCs w:val="18"/>
          <w:color w:val="auto"/>
        </w:rPr>
        <w:t>On March 2, 2022, Polestar revealed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a new concept car to demonstrate Polestar’s vision of a sports roadster with open-top performance—with all the benefits of electric mobility. The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concept car is related to the Polestar Precept concept car but with its own distinct character. The look of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3</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expects to launch the Polestar 3 in 2022. Polestar 3 will be a luxurious electric performance SUV with seating for five and design direction previewed by Precept. It is an aerodynamically-optimized using multiple design features to smooth airflow and reduce drag. The two seating rows in Polestar 3 stretch out between the long wheelbase offering luxurious and spacious legroom for the rear passengers even when the tallest driver is sitting in the front seat. Polestar 3 will define the SUV for the electric era by combining the high seating position favored by customers with a highly efficient aerodynamic silhouette.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Priced in the range of a Porsche Cayenne – it will be Polestar’s first product with centralized computing, powered by Nvidia, and with redundant system possibilities. Polestar expects to include a variety of technological advances in Polestar 3 over time. These features will include unsupervised highway piloting by software from Zenseact (an autonomous driving software development subsidiary of Volvo Cars), and the best-in-class LiDAR sensor pod from Luminar, all of which is expected to be fully implemented in Polestar 3 vehicles by 2024.</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4</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Priced in the range of the Porsche Macan, Polestar 4 will aim to offer driving dynamics and minimalist style to a larger market segment.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5</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the Polestar 5 in 2024. Polestar 5 will be an epic 4 door grand tourer that most closely follows inspiration from the Precept. Priced to compete with a Porsche Panamera, the vehicle will introduce new in-house aluminum body and chassis and powertrain architectures.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Polestar expects that Polestar 5 will be manufactured at a new state-of-the-art plant in China, built by Geely and to be operated by Polestar. The plant will meet a high standard of sustainability, aiming for LEED Gold accreditation.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0 project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April 2021, Polestar announced an important goal of creating a truly climate-neutral car by 2030 a significant and necessary step to reach its goal of becoming a climate neutral company by 2040.</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Today, an electric car manufactured and charged on the current global electricity infrastructure mix has a smaller carbon footprint than an internal combustion engine car through its useful life. However, Polestar has set a target of producing a car by 2030 that is truly climate neutral when it rolls out of Polestar’s factories’ gates.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For the Polestar 2, that carbon footprint was 26.2 tons in 2020 with most of the impact coming from three categories: aluminum, batteries and steel. Together they account for 75% of the 24 tons attributable to materials production and battery modules. Add electronics and polymers and the total is 92%. While a lot of focus naturally will be on those categories, the goal is to reduce all to zero, including Polestar’s manufacturing footprint.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Design, Research and Development and Sustainability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w:t>
      </w:r>
    </w:p>
    <w:p>
      <w:pPr>
        <w:spacing w:after="0" w:line="17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UK and in Sweden.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Polestar’s research and development teams are located in Sweden and the United Kingdom. In Sweden,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has a philosophy to design towards zero, actively using Scandinavian minimalist design to engage customers and minimize our environmental impact. Polestar seeks to achieve its clear sustainability goals by establishing concrete targets focusing on four pillars of its sustainability approach:</w:t>
      </w:r>
    </w:p>
    <w:p>
      <w:pPr>
        <w:spacing w:after="0" w:line="81" w:lineRule="exact"/>
        <w:rPr>
          <w:sz w:val="20"/>
          <w:szCs w:val="20"/>
          <w:color w:val="auto"/>
        </w:rPr>
      </w:pPr>
    </w:p>
    <w:p>
      <w:pPr>
        <w:ind w:left="1080" w:hanging="424"/>
        <w:spacing w:after="0" w:line="271" w:lineRule="auto"/>
        <w:tabs>
          <w:tab w:leader="none" w:pos="10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Climate Neutrality</w:t>
      </w:r>
      <w:r>
        <w:rPr>
          <w:rFonts w:ascii="Times New Roman" w:cs="Times New Roman" w:eastAsia="Times New Roman" w:hAnsi="Times New Roman"/>
          <w:sz w:val="17"/>
          <w:szCs w:val="17"/>
          <w:color w:val="auto"/>
        </w:rPr>
        <w:t>: Combating the emission of greenhouse gases is one of the top priorities of Polestar. Most greenhouse gas emissions associated with its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78" w:lineRule="exact"/>
        <w:rPr>
          <w:rFonts w:ascii="Times New Roman" w:cs="Times New Roman" w:eastAsia="Times New Roman" w:hAnsi="Times New Roman"/>
          <w:sz w:val="17"/>
          <w:szCs w:val="17"/>
          <w:color w:val="auto"/>
        </w:rPr>
      </w:pPr>
    </w:p>
    <w:p>
      <w:pPr>
        <w:ind w:left="1080" w:right="60" w:hanging="424"/>
        <w:spacing w:after="0" w:line="25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Circularity</w:t>
      </w:r>
      <w:r>
        <w:rPr>
          <w:rFonts w:ascii="Times New Roman" w:cs="Times New Roman" w:eastAsia="Times New Roman" w:hAnsi="Times New Roman"/>
          <w:sz w:val="18"/>
          <w:szCs w:val="18"/>
          <w:color w:val="auto"/>
        </w:rPr>
        <w:t>: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 strategy, procurement process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81" w:lineRule="exact"/>
        <w:rPr>
          <w:sz w:val="20"/>
          <w:szCs w:val="20"/>
          <w:color w:val="auto"/>
        </w:rPr>
      </w:pPr>
    </w:p>
    <w:p>
      <w:pPr>
        <w:ind w:left="1080" w:right="6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Transparency</w:t>
      </w:r>
      <w:r>
        <w:rPr>
          <w:rFonts w:ascii="Times New Roman" w:cs="Times New Roman" w:eastAsia="Times New Roman" w:hAnsi="Times New Roman"/>
          <w:sz w:val="18"/>
          <w:szCs w:val="18"/>
          <w:color w:val="auto"/>
        </w:rPr>
        <w:t>: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Life Cycle Analysis (“</w:t>
      </w:r>
      <w:r>
        <w:rPr>
          <w:rFonts w:ascii="Times New Roman" w:cs="Times New Roman" w:eastAsia="Times New Roman" w:hAnsi="Times New Roman"/>
          <w:sz w:val="18"/>
          <w:szCs w:val="18"/>
          <w:i w:val="1"/>
          <w:iCs w:val="1"/>
          <w:color w:val="auto"/>
        </w:rPr>
        <w:t>LCA</w:t>
      </w:r>
      <w:r>
        <w:rPr>
          <w:rFonts w:ascii="Times New Roman" w:cs="Times New Roman" w:eastAsia="Times New Roman" w:hAnsi="Times New Roman"/>
          <w:sz w:val="18"/>
          <w:szCs w:val="18"/>
          <w:color w:val="auto"/>
        </w:rPr>
        <w:t>”)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w:t>
      </w:r>
    </w:p>
    <w:p>
      <w:pPr>
        <w:spacing w:after="0" w:line="79" w:lineRule="exact"/>
        <w:rPr>
          <w:rFonts w:ascii="Times New Roman" w:cs="Times New Roman" w:eastAsia="Times New Roman" w:hAnsi="Times New Roman"/>
          <w:sz w:val="18"/>
          <w:szCs w:val="18"/>
          <w:color w:val="auto"/>
        </w:rPr>
      </w:pPr>
    </w:p>
    <w:p>
      <w:pPr>
        <w:ind w:left="110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constantly looking to be honest with itself and its stakeholders and improve. For example, Polestar recognizes it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93" w:lineRule="exact"/>
        <w:rPr>
          <w:rFonts w:ascii="Times New Roman" w:cs="Times New Roman" w:eastAsia="Times New Roman" w:hAnsi="Times New Roman"/>
          <w:sz w:val="18"/>
          <w:szCs w:val="18"/>
          <w:color w:val="auto"/>
        </w:rPr>
      </w:pPr>
    </w:p>
    <w:p>
      <w:pPr>
        <w:ind w:left="1080" w:right="380" w:hanging="424"/>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Inclusion</w:t>
      </w:r>
      <w:r>
        <w:rPr>
          <w:rFonts w:ascii="Times New Roman" w:cs="Times New Roman" w:eastAsia="Times New Roman" w:hAnsi="Times New Roman"/>
          <w:sz w:val="18"/>
          <w:szCs w:val="18"/>
          <w:color w:val="auto"/>
        </w:rPr>
        <w:t>: Inclusion is diversity, representation and equality working in harmony. By committing to this strategic focus area, Polestar stands up for the rights of people throughout its value chain – from the workers producing the material of its cars, to its employees in factories or spaces, to customers and consumers around the world. Departments like Human Resources, Customer Experience and Procurement drive strategic initiatives on human rights and inclusion, addressing Polestar’s role as a responsible brand, employer, and procurer.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Polestar commenced commercial sales of its vehicles with the Polestar 1, followed in 2020 with the Polestar 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comprised of Polestar Spaces, Polestar Destinations and Polestar Test Drive Centers referred to as Polestar Locations. Polestar Spaces are typically smaller Polestar showrooms located in urban areas, whereas Polestar Destinations and Polestar Test Drive Centers are typically larger Polestar showrooms located in peri-urban areas. Polestar Locations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Currently, Polestar has over 40 permanent Polestar Locations (plus over 60 temporary or “pop up” locations) and expects to have an aggregate of 150 retail locations in existing and new markets by the end of 2023. In addition, as Polestar continues with its international expansion, it will use third party importers to give it access to lower volume markets, rapidly and with lower investment.</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Polestar enters into agreements with independent investors to establish Polestar Locations. These investors do not carry any inventory of cars for sale, but rather hold demonstration vehicles and provide potential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Polestar aims to deliver leading aftermarket services to its customers by leveraging Volvo Cars’ global service and repair network. Polestar is cooperating with Volvo Cars to develop their service center network, including the introduction of digital service boking, fault tracing, diagnostics and software download (Over The Air and in workshop). Polestar also utilizes the Volvo Cars service center network to supply its customers with a spare parts infrastructure. Polestar currently leverages the Volvo Cars service center network to provide access to over 800 customer service points worldwide in support of Polestar’s international expansion. Polestar does not have a direct contractual relationship with the operators of its service points. Rather, Polestar relies on the existing network of Volvo Cars who signs, enters into, or amend, existing service contracts with Volvo Cars to add the service of Polestar vehicles to the scope of their dealer agreement.</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Item 3.D “</w:t>
      </w:r>
      <w:r>
        <w:rPr>
          <w:rFonts w:ascii="Times New Roman" w:cs="Times New Roman" w:eastAsia="Times New Roman" w:hAnsi="Times New Roman"/>
          <w:sz w:val="18"/>
          <w:szCs w:val="18"/>
          <w:i w:val="1"/>
          <w:iCs w:val="1"/>
          <w:color w:val="auto"/>
        </w:rPr>
        <w:t>Risk Factors—Risks Related to Polestar’s Business and Industry—Polestar faces risks associated with international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including tariffs and unfavorable regulatory, political, tax and labor conditions, which could materially and adversely affects its business, financial condition, results of operations and prospects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 specific to China.</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Battery suppliers</w:t>
      </w:r>
    </w:p>
    <w:p>
      <w:pPr>
        <w:spacing w:after="0" w:line="121"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w:t>
      </w:r>
    </w:p>
    <w:p>
      <w:pPr>
        <w:spacing w:after="0" w:line="1" w:lineRule="exact"/>
        <w:rPr>
          <w:sz w:val="20"/>
          <w:szCs w:val="20"/>
          <w:color w:val="auto"/>
        </w:rPr>
      </w:pPr>
    </w:p>
    <w:p>
      <w:pPr>
        <w:ind w:left="120" w:right="320"/>
        <w:spacing w:after="0" w:line="253" w:lineRule="auto"/>
        <w:rPr>
          <w:sz w:val="20"/>
          <w:szCs w:val="20"/>
          <w:color w:val="auto"/>
        </w:rPr>
      </w:pPr>
      <w:r>
        <w:rPr>
          <w:rFonts w:ascii="Times New Roman" w:cs="Times New Roman" w:eastAsia="Times New Roman" w:hAnsi="Times New Roman"/>
          <w:sz w:val="18"/>
          <w:szCs w:val="18"/>
          <w:color w:val="auto"/>
        </w:rPr>
        <w:t>a non-binding memorandum of understanding with battery developer and manufacturer Northvolt. This memorandum of understanding covers the supply of battery cells and joint ventures regarding research and development and production of battery cells that are tailored to power the next generation of fully electric Volvo Cars cars and Polestar cars. Polestar has also entered into a non-binding letter of intent to secure batteries from SK Innovation, expected to power the Polestar 5. Polestar continues to evaluate potential up and coming startups in this area.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Agreements with Volvo Cars and Geely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directive. Polestar has also established a number of steering committees to monitor compliance and performance of its agreements related to development, manufacturing, or service contracts with related parties.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2021, 2020 and 2019, see note disclosure 23 to the Polestar Financial Statements as of December 31, 2021 and 2020 and for the fiscal years ended December 31, 2021, 2020 and 2019 included elsewhere herein. Any further related party transactions in the fiscal years ended December 31, 2021, 2020 and 2019 were both immaterial and no more than incidental in nature. For a further description of our contracts with related parties, see Item 7.B “</w:t>
      </w:r>
      <w:r>
        <w:rPr>
          <w:rFonts w:ascii="Times New Roman" w:cs="Times New Roman" w:eastAsia="Times New Roman" w:hAnsi="Times New Roman"/>
          <w:sz w:val="18"/>
          <w:szCs w:val="18"/>
          <w:i w:val="1"/>
          <w:iCs w:val="1"/>
          <w:color w:val="auto"/>
        </w:rPr>
        <w:t>Major Shareholders And Related Party Transactions—Related Party Transactions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Polestar’s agreements with Volvo Cars cover research and development services and intellectual property licenses, purchasing, manufacturing engineering and logistics engineering and manufacturing with respect to the</w:t>
      </w:r>
    </w:p>
    <w:p>
      <w:pPr>
        <w:ind w:left="120"/>
        <w:spacing w:after="0"/>
        <w:rPr>
          <w:sz w:val="20"/>
          <w:szCs w:val="20"/>
          <w:color w:val="auto"/>
        </w:rPr>
      </w:pPr>
      <w:r>
        <w:rPr>
          <w:rFonts w:ascii="Times New Roman" w:cs="Times New Roman" w:eastAsia="Times New Roman" w:hAnsi="Times New Roman"/>
          <w:sz w:val="18"/>
          <w:szCs w:val="18"/>
          <w:color w:val="auto"/>
        </w:rPr>
        <w:t>Polestar 1, Polestar 2 and Polestar 3. Polestar has also entered into a design services agreement with Volvo Cars</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Item 7.B “</w:t>
      </w:r>
      <w:r>
        <w:rPr>
          <w:rFonts w:ascii="Times New Roman" w:cs="Times New Roman" w:eastAsia="Times New Roman" w:hAnsi="Times New Roman"/>
          <w:sz w:val="17"/>
          <w:szCs w:val="17"/>
          <w:i w:val="1"/>
          <w:iCs w:val="1"/>
          <w:color w:val="auto"/>
        </w:rPr>
        <w:t>Major Shareholders And Related Party Transactions—Related Party Transactions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10, 2021, Volvo Cars announced that it had become aware that one of its code and file repositories had been illegally accessed by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third party. Volvo Cars noted that the breach resulted in the theft of research and development information that may have an impact on its operations.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Volvo Cars stated in the press release that they did not believe, based on information currently available to them, that the breach would have any impact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safety or security of its customers’ cars or their personal data. In connection with their investigation into this breach, Volvo Cars has informed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that information on a Volvo Cars server that shared information relevant to Polestar had been among those compromised. Polestar has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concluded that certain items such as specifications, source code and test data related to its vehicles had been illegally accessed. Polestar has been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collaborating closely with Volvo Cars and has established an internal task force to work with its counterparts at Volvo Cars to determine the full scope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breach and to implement remedial processes and procedures. The investigation is ongoing and has so far not found any further indications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compromise. The Polestar task force agrees with the Volvo Cars assessment and does not believe, based on currently available information, that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breach has had any impact on the safety or security of its customers’ cars or their personal data. Polestar currently understands that no individual privacy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data for Polestar has been compromised. In relation to the proprietary intellectual property for Polestar, investigations are ongoing. Polestar has entered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into a number of agreements with Volvo Cars covering research and development services, intellectual property licenses, purchasing, manufacturing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engineering and logistics engineering and manufacturing with respect to the Polestar 1, Polestar 2 and Polestar 3. See Item 7.B “</w:t>
      </w:r>
      <w:r>
        <w:rPr>
          <w:rFonts w:ascii="Times New Roman" w:cs="Times New Roman" w:eastAsia="Times New Roman" w:hAnsi="Times New Roman"/>
          <w:sz w:val="18"/>
          <w:szCs w:val="18"/>
          <w:i w:val="1"/>
          <w:iCs w:val="1"/>
          <w:color w:val="auto"/>
        </w:rPr>
        <w:t>Major Shareholders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And Related Party Transactions—Related Party Transactions</w:t>
      </w:r>
      <w:r>
        <w:rPr>
          <w:rFonts w:ascii="Times New Roman" w:cs="Times New Roman" w:eastAsia="Times New Roman" w:hAnsi="Times New Roman"/>
          <w:sz w:val="18"/>
          <w:szCs w:val="18"/>
          <w:color w:val="auto"/>
        </w:rPr>
        <w:t>.” These agreements necessarily include shared access to Volvo Cars’ IT systems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Polestar remains vulnerable to cybersecurity breaches not only of its own IT systems, but of those of Volvo Cars as well. See Item 3.D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Factors—Risks Related to Cybersecurity and Data Privacy—Polestar relies on its and Volvo Cars’ IT systems and any material disruption to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 Volvo Cars’ IT systems could have a material adverse effect on Polestar</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 and intellectual property licenses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Polestar has or is about to enter into a number of agreements and licensing agreements with Volvo Cars with respect to research and development services and licensing of intellectual property in connection with the development and manufacture of the Polestar 1, Polestar 2, Polestar 3, Polestar 4 and Polestar 5. These agreements provide Polestar will pay development costs (either a fixed fee or as a volume share of development costs). The development cost is calculated based on actual cost and an arm’s length hourly rate. For Polestar 3 Polestar will pay a fixed price for the technology license and development services (either a fixed fee or as a volume share of development costs). For example,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development service agreement with Geely for the Polestar 4 during 2021.</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has entered into several sourcing service agreements and maintenance agreements with Volvo Cars in connection with both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engineering and logistics engineering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has entered into manufacturing engineering service agreements with Volvo Cars in connection with the production of Polestar 1, Polestar 2 and Polestar 3. These agreements provide that Volvo Cars will support Polestar with the development and implementation of quality-assured manufacturing solutions for Polestar’s plant in Chengdu as well as providing industrial engineering services and manufacturing services with respect to the Polestar 1,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the manufacturing of Polestar 1 Polestar has entered into agreements with Volvo Cars to provide certain services such as electrocoating for Polestar 1 cars and certain pre-delivery manufacturing services in the Volvo Cars facility in Ghent. In addition, Polestar has entered into component supply agreements with Volvo Cars for Polestar 1. For the manufacturing of Polestar 2 cars Polestar has entered into contract manufacturing agreements with the Luqiao plant, which is owned and operated by Volvo Cars and which Volvo Cars renamed “Taizhou” after acquiring the plant from Geely in December 2021. Further, Polestar has entered into a financial undertaking agreements with Volvo Cars for investments for Polestar 3 production in a Volvo Cars plant in Chengdu China as well as at a plant in Charleston, South Carolina. Production in Chengdu is planned to early 2023, and Polestar has signed an agreement relating to the production in Charleston, which is to (i) serve as a binding commitment for Polestar to the scope set out in the agreement and (ii) confirm both parties’ intentions to enter into a more detailed agreement for production of Polestar 3 at Volvo Cars’s Chengdu and Charleston plants not later than 1 year before start of production. Both parties have committed to certain investments necessary to manufacture and assemble Polestar 3 at Volvo Cars’s Chengdu and Charleston plant prior to the parties entering into the definitive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Polestar has entered into several agreements regarding Outbound logistics according to which Volvo Cars support with supply chain related services for the supply of Polestar vehicles. Polestar has also entered into agreement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Charging Network</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provide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w:t>
      </w: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towards low-emission, zero-emission or carbon neutral solutions. In addition, numerous manufacturers offer hybrid vehicles, including plug-in versions, with which Polestar’s vehicles also compete.</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Item 3.D “</w:t>
      </w:r>
      <w:r>
        <w:rPr>
          <w:rFonts w:ascii="Times New Roman" w:cs="Times New Roman" w:eastAsia="Times New Roman" w:hAnsi="Times New Roman"/>
          <w:sz w:val="18"/>
          <w:szCs w:val="18"/>
          <w:i w:val="1"/>
          <w:iCs w:val="1"/>
          <w:color w:val="auto"/>
        </w:rPr>
        <w:t>Risk Factors—Risks Related to the Polestar’s Business and Industry—Polestar operates in an intensely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r>
        <w:rPr>
          <w:rFonts w:ascii="Times New Roman" w:cs="Times New Roman" w:eastAsia="Times New Roman" w:hAnsi="Times New Roman"/>
          <w:sz w:val="18"/>
          <w:szCs w:val="18"/>
          <w:color w:val="auto"/>
        </w:rPr>
        <w:t>.”). Polestar believes it is differentiated from its competitors due to its focus on design, technology and sustainability its global presence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leverage an established production ecosystem due to its relationships with its founding partners.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a global basis, Polestar’s principal competitor is Tesla.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 competitor to Polestar 2, with some cross-relevance in the recently launched Model Y, a crossover SUV based on the Model 3. Lucid, a US vertically-integrated technology and automotive company headquartered in California is a potential competitor. While Lucid is engaged in the design, engineering, and construction of electric vehicles, electric vehicle powertrains and battery systems its Lucid Air handovers only started at the end of October 2021. In addition, Lucid does not currently have an SUV model and has focused recent efforts on promoting the Lucid Air, its sedan offering that is being offered at higher price points than many Polestar offerings.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Porsche is also a benchmark brand for future Polestar vehicles in terms of size and segments.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competition within the electric vehicle segment of the market, includes two pure play electric vehicle producers, Nio and Xpeng.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are one of Polestar’s core competencies and Polestar’s developments in areas such as lightweight chassis architectures, drivetrains, electric motors, bi-directional compatible battery packs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its proprietary technology and other intellectual property. Polestar relies on a combination of patents and trademarks to protect and preserve its proprietary technology and intellectual property. In addition, Polestar enters into employee, contractor, consultant and third-party nondisclosure and invention assignment agreements and other contractual arrangements.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2021, Polestar owned 110 issued U.S. patents and 93, 56, and 180 issued patents in the EU, China and other jurisdictions, respectively. Those patents are related to Polestar’s core proprietary technology. In addition, Polestar has 76 pending U.S. patent applications and 38, 32 and 21 pending patent applications in the EU, China and other jurisdictions, respectively. In addition to patents covering Polestar’s core proprietary technology, Polestar has 125 pending U.S. design patent applications, plus 21, 67 and 28 issued design or industrial design patents in the U.S., EU and China, respectively. Another 14 and 2 design applications are pending in the EU and China, respectively. As of December 31, 2021, Polestar owned 6 registered U.S. trademarks, 11 pending U.S. trademark applications, as well as 12 and 20 registered trademarks in the EU and China, respectively. Further, 5 and 19 trademark applications are pending in the EU and China, respectively.</w:t>
      </w:r>
    </w:p>
    <w:p>
      <w:pPr>
        <w:spacing w:after="0" w:line="18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Intellectual Property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Item 3.D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 for additional information regarding these and other risks related to Polestar’s intellectual property portfolio and their potential effect on Polestar.</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Polestar’s proprietary technology and intellectual property, it has also acquired, licensed or sub-licensed intellectual property from Volvo Cars. For example, it has acquired intellectual property with respect to motor vehicle drive units with electric vehicle motors, motor assemblies for operating electric powertrains, and structures specifically designed to protect electric vehicle components. Polestar has also entered into agreements providing for a license relating to certain technology and features to be introduced in its model year programs for the Polestar 2.</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Polestar’s products are designed to comply with all applicable regulations in the markets where it operates. Currently, Polestar is present in nineteen markets in Europe,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that the following regulations are material to its business: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World Forum for Harmonization of Vehicle Regulations of the United Nations Economic Commission for Europe (the “</w:t>
      </w:r>
      <w:r>
        <w:rPr>
          <w:rFonts w:ascii="Times New Roman" w:cs="Times New Roman" w:eastAsia="Times New Roman" w:hAnsi="Times New Roman"/>
          <w:sz w:val="18"/>
          <w:szCs w:val="18"/>
          <w:i w:val="1"/>
          <w:iCs w:val="1"/>
          <w:color w:val="auto"/>
        </w:rPr>
        <w:t>UNECE</w:t>
      </w:r>
      <w:r>
        <w:rPr>
          <w:rFonts w:ascii="Times New Roman" w:cs="Times New Roman" w:eastAsia="Times New Roman" w:hAnsi="Times New Roman"/>
          <w:sz w:val="18"/>
          <w:szCs w:val="18"/>
          <w:color w:val="auto"/>
        </w:rPr>
        <w:t>”)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Manufacturers of passenger vehicles in the EU that wish to benefit from the Single Market are required to comply with EU Regulation 2018/858 (the Whole Vehicle Type Approval), which requires that vehicles that are 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Polestar’s vehicles fulfill the applicable product requirements stipulated by the NHTSA and the EPA on a federal level, and similarly the CARB who is a major regulator on state level.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regulatory system in China applies type approval for Polestar’s vehicles under three regulatory bodies:</w:t>
      </w:r>
    </w:p>
    <w:p>
      <w:pPr>
        <w:spacing w:after="0" w:line="129" w:lineRule="exact"/>
        <w:rPr>
          <w:sz w:val="20"/>
          <w:szCs w:val="20"/>
          <w:color w:val="auto"/>
        </w:rPr>
      </w:pPr>
    </w:p>
    <w:p>
      <w:pPr>
        <w:ind w:left="5540" w:right="2200" w:hanging="4884"/>
        <w:spacing w:after="0" w:line="456" w:lineRule="auto"/>
        <w:tabs>
          <w:tab w:leader="none" w:pos="10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Industry and Information Technology (“</w:t>
      </w:r>
      <w:r>
        <w:rPr>
          <w:rFonts w:ascii="Times New Roman" w:cs="Times New Roman" w:eastAsia="Times New Roman" w:hAnsi="Times New Roman"/>
          <w:sz w:val="18"/>
          <w:szCs w:val="18"/>
          <w:i w:val="1"/>
          <w:iCs w:val="1"/>
          <w:color w:val="auto"/>
        </w:rPr>
        <w:t>MIIT</w:t>
      </w:r>
      <w:r>
        <w:rPr>
          <w:rFonts w:ascii="Times New Roman" w:cs="Times New Roman" w:eastAsia="Times New Roman" w:hAnsi="Times New Roman"/>
          <w:sz w:val="18"/>
          <w:szCs w:val="18"/>
          <w:color w:val="auto"/>
        </w:rPr>
        <w:t>”)—regulates the approval to manufacture vehicles; 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Administration for Market Regulation (“</w:t>
      </w:r>
      <w:r>
        <w:rPr>
          <w:rFonts w:ascii="Times New Roman" w:cs="Times New Roman" w:eastAsia="Times New Roman" w:hAnsi="Times New Roman"/>
          <w:sz w:val="18"/>
          <w:szCs w:val="18"/>
          <w:i w:val="1"/>
          <w:iCs w:val="1"/>
          <w:color w:val="auto"/>
        </w:rPr>
        <w:t>SAMR</w:t>
      </w:r>
      <w:r>
        <w:rPr>
          <w:rFonts w:ascii="Times New Roman" w:cs="Times New Roman" w:eastAsia="Times New Roman" w:hAnsi="Times New Roman"/>
          <w:sz w:val="18"/>
          <w:szCs w:val="18"/>
          <w:color w:val="auto"/>
        </w:rPr>
        <w:t>”)—regulates vehicle safety;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Ecology and Environment (“</w:t>
      </w:r>
      <w:r>
        <w:rPr>
          <w:rFonts w:ascii="Times New Roman" w:cs="Times New Roman" w:eastAsia="Times New Roman" w:hAnsi="Times New Roman"/>
          <w:sz w:val="18"/>
          <w:szCs w:val="18"/>
          <w:i w:val="1"/>
          <w:iCs w:val="1"/>
          <w:color w:val="auto"/>
        </w:rPr>
        <w:t>MEP</w:t>
      </w:r>
      <w:r>
        <w:rPr>
          <w:rFonts w:ascii="Times New Roman" w:cs="Times New Roman" w:eastAsia="Times New Roman" w:hAnsi="Times New Roman"/>
          <w:sz w:val="18"/>
          <w:szCs w:val="18"/>
          <w:color w:val="auto"/>
        </w:rPr>
        <w:t>”)—regulates range and energy efficiency.</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Further, in order to be able to operate in China, Polestar and its subsidiaries are subject to permission requirements from the following regulatory bodies:</w:t>
      </w:r>
    </w:p>
    <w:p>
      <w:pPr>
        <w:spacing w:after="0" w:line="67"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of Customs.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and its subsidiaries have received all requisite permissions to operate in China and have not been denied any permissions in the past.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permissions include the following:</w:t>
      </w:r>
    </w:p>
    <w:p>
      <w:pPr>
        <w:spacing w:after="0" w:line="112"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Pollutants Discharge Permit;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Declaration Registration Certificate or Customs Declaration Enterprise Record Receipt.</w:t>
      </w:r>
    </w:p>
    <w:p>
      <w:pPr>
        <w:spacing w:after="0" w:line="223"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See Item 3.D “</w:t>
      </w:r>
      <w:r>
        <w:rPr>
          <w:rFonts w:ascii="Times New Roman" w:cs="Times New Roman" w:eastAsia="Times New Roman" w:hAnsi="Times New Roman"/>
          <w:sz w:val="17"/>
          <w:szCs w:val="17"/>
          <w:i w:val="1"/>
          <w:iCs w:val="1"/>
          <w:color w:val="auto"/>
        </w:rPr>
        <w:t>Risk Factors—Risks Related to Polestar’s Business and Industry—Polestar and its subsidiaries (i) may not receive or maintain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r>
        <w:rPr>
          <w:rFonts w:ascii="Times New Roman" w:cs="Times New Roman" w:eastAsia="Times New Roman" w:hAnsi="Times New Roman"/>
          <w:sz w:val="17"/>
          <w:szCs w:val="17"/>
          <w:color w:val="auto"/>
        </w:rPr>
        <w:t>” for more information regarding risks associated with Polestar’s and its subsidiaries’ operations in China.</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Safety, Security and Privacy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March 2021, the United Nations announced UN R155—a regulation on cybersecurity and cybersecurity management systems. The regulation requires that, from July 2022, all new vehicles types and, from July 2024, all registered vehicles must prove that their product development is based on a systematic approach to risks associate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UNECE umbrella, UN R138 regulates the minimum sound emission of quiet vehicles, intended to protect persons with impaired vision around the vehicle.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EU overhauled its safety regulations in 2009 by adopting Regulation 661/2009, replacing more than fifty previously existing safety directives with one overarching safety regulation which included requirements on seat belts and child restraint systems for example. This regulation was in turn revised in 2019 by the adoption of Regulation 2019/2144 (the “</w:t>
      </w:r>
      <w:r>
        <w:rPr>
          <w:rFonts w:ascii="Times New Roman" w:cs="Times New Roman" w:eastAsia="Times New Roman" w:hAnsi="Times New Roman"/>
          <w:sz w:val="17"/>
          <w:szCs w:val="17"/>
          <w:i w:val="1"/>
          <w:iCs w:val="1"/>
          <w:color w:val="auto"/>
        </w:rPr>
        <w:t>General Safety Regulation</w:t>
      </w:r>
      <w:r>
        <w:rPr>
          <w:rFonts w:ascii="Times New Roman" w:cs="Times New Roman" w:eastAsia="Times New Roman" w:hAnsi="Times New Roman"/>
          <w:sz w:val="17"/>
          <w:szCs w:val="17"/>
          <w:color w:val="auto"/>
        </w:rPr>
        <w:t>”). The General Safety Regulation includes, for example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 The new safety features will become mandatory from 2022, except for certain requirements that will follow later.</w:t>
      </w:r>
    </w:p>
    <w:p>
      <w:pPr>
        <w:spacing w:after="0" w:line="17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Since the entry into force on May 25, 2018, of the General Data Protection Regulation 2016/679 (the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processing of personal data of individuals located in the European Economic Area (the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Polestar to mitigate potential data breaches and to, unless the data breach leads to a low risk for the rights and freedoms of data subjects, report data breaches to the data protection supervisory authority within 72 hours. In order to meet the requirements of the GDPR and similar data privacy frameworks, Polestar has established a data privacy compliance program, including but not limited to policies, guidelines, impact and risk assessments, as well as training measures to ensure compliance with regard to personal data Polestar processes. 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(the “</w:t>
      </w:r>
      <w:r>
        <w:rPr>
          <w:rFonts w:ascii="Times New Roman" w:cs="Times New Roman" w:eastAsia="Times New Roman" w:hAnsi="Times New Roman"/>
          <w:sz w:val="18"/>
          <w:szCs w:val="18"/>
          <w:i w:val="1"/>
          <w:iCs w:val="1"/>
          <w:color w:val="auto"/>
        </w:rPr>
        <w:t>Safety Act</w:t>
      </w:r>
      <w:r>
        <w:rPr>
          <w:rFonts w:ascii="Times New Roman" w:cs="Times New Roman" w:eastAsia="Times New Roman" w:hAnsi="Times New Roman"/>
          <w:sz w:val="18"/>
          <w:szCs w:val="18"/>
          <w:color w:val="auto"/>
        </w:rPr>
        <w:t>”) requires cars and equipment sold in the United States to fulfill safety standards that are continuously updated to meet new technologies and needs.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Safety Act prohibits the sale in the United States of any new vehicle or equipment that does not conform to applicable vehicle safety standards established by NHTSA. Manufacturers are required to notify owners of any defects in vehicle safety and remedy such defects through vehicle recalls. The Safety Act also authorizes NHTSA to investigate complaints relating to vehicle safety.</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NHTSA’s safety standards cover a variety of matters and are updated frequently. The 2000 Transportation Recall Enhancement, Accountability and Documentation Act (“</w:t>
      </w:r>
      <w:r>
        <w:rPr>
          <w:rFonts w:ascii="Times New Roman" w:cs="Times New Roman" w:eastAsia="Times New Roman" w:hAnsi="Times New Roman"/>
          <w:sz w:val="18"/>
          <w:szCs w:val="18"/>
          <w:i w:val="1"/>
          <w:iCs w:val="1"/>
          <w:color w:val="auto"/>
        </w:rPr>
        <w:t>TREAD Act</w:t>
      </w:r>
      <w:r>
        <w:rPr>
          <w:rFonts w:ascii="Times New Roman" w:cs="Times New Roman" w:eastAsia="Times New Roman" w:hAnsi="Times New Roman"/>
          <w:sz w:val="18"/>
          <w:szCs w:val="18"/>
          <w:color w:val="auto"/>
        </w:rPr>
        <w:t>”) required NHTSA to regulate vehicle rollover, impose more stringent tire safety standards and gather additional information relating to potential car defects. The TREAD Act also substantially increased NHTSA’s authority to impose both civil and criminal penalties for non-compliance with regulatory requirements. In addition, manufacturers are required to report to regulators certain information relating to customer complaints, warranty claims, field reports, and notices and claims involving property damage, injuries and fatalities in the United States and claims involving fatalities outside the United States. Manufacturers are also required to report certain information concerning safety recalls and other safety campaigns outside the United States.</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NHTSA issued in 2016 and updated in 2020, non-binding guidelines for addressing cybersecurity issues in the design and manufacture of new motor vehicles, as well as guidance for the investigation and validation of cybersecurity measures.</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a new Federal Motor Vehicle Safety Standard requiring artificial sound in electric, and hybrid electric vehicles has taken effect for new motor vehicles built on or after March 1, 2021. The artificial sound is intended to provide audible notice of the presence of the electric or hybrid electric vehicle to persons with impaired vision.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On July 24, 2020, MIIT revised the 2017 Administrative Provisions on the Admission of New Energy Vehicle Manufacturing Enterprises and Products (the “</w:t>
      </w:r>
      <w:r>
        <w:rPr>
          <w:rFonts w:ascii="Times New Roman" w:cs="Times New Roman" w:eastAsia="Times New Roman" w:hAnsi="Times New Roman"/>
          <w:sz w:val="17"/>
          <w:szCs w:val="17"/>
          <w:i w:val="1"/>
          <w:iCs w:val="1"/>
          <w:color w:val="auto"/>
        </w:rPr>
        <w:t>2020 Admission Provisions</w:t>
      </w:r>
      <w:r>
        <w:rPr>
          <w:rFonts w:ascii="Times New Roman" w:cs="Times New Roman" w:eastAsia="Times New Roman" w:hAnsi="Times New Roman"/>
          <w:sz w:val="17"/>
          <w:szCs w:val="17"/>
          <w:color w:val="auto"/>
        </w:rPr>
        <w:t>”), and the 2020 Admission Provisions set out the safety requirements for new energy vehicles, such as the standards for vehicle-mounted rechargeable electrical energy storage system, operation safety and fault protection and protection against electric shock.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policies in China</w:t>
      </w:r>
    </w:p>
    <w:p>
      <w:pPr>
        <w:spacing w:after="0" w:line="12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In July 2021, China’s State Council issued Opinions on Strictly Cracking Down on Illegal Securities Activities, a policy that calls for strengthening enforcement and improving laws and regulations on cross-border data transfer and data security. On July 30, 2021, the Ministry of Industry and Information Technology of China issued the Opinion on Strengthening the Management of Connected Vehicle Manufacturers and Product Access. The opinion requires companies to strengthen their data security management capacity, such as establishing data classification management, enhancing data security protection measures, conducting self-assessment to identify risks related to data and reporting data security incident to local authorities. It also specifically provides that companies should store personal information and important data collected and generated during its operation in China within the territory of China; and if there is any need to export data, these companies are required to conduct security assessment.</w:t>
      </w:r>
    </w:p>
    <w:p>
      <w:pPr>
        <w:spacing w:after="0" w:line="17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Data Security Law, which was promulgated by the Standing Committee of the National People’s Congress of China in June 2021 and entered into force in September 2021, imposes data security and privacy obligations on entities and individuals carrying out data activities, requires a national security review of data activities that may affect national security and imposes export restrictions on certain data and information. The Chinese Data Security Law has extraterritorial effect that data processing activities carried out outside of China that damage the national security and public interests of China, or the legitimate rights and interests of Chinese citizens and organizations will give rise to legal liabilities.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May 12, 2021, the CAC released a draft of Several Administrative Provisions on Automobile Data Security. Following the draft, the Several Measures on the Automobile Data Security Management was promulgated in August 2021 and entered into force on October 1, 2021. The regulation applies to the operators engaged in automobile design, manufacturing and providing relevant services, including automobile manufacturers, providers of component and software, dealers, repairers, ride-hailing companies and insurance companies. The regulation requires the operators to comply with certain requirements in relation to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in accordance with such laws; and if there is actual need to provide such data overseas, the operator is required to go through the data export security assessment organized by the CAC in accordance with such laws.</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August 2021, the Chinese Personal Information Protection Law was passed and has been entered into force on November 1, 2021. The law provides further detailed rules for processing personal information and emphasizes its extraterritorial effect. It shall apply to the processing of personal information carried out outside of China of natural persons who are within the territory of China where (i) such processing is for the purpose of providing products or services for natural persons within China, (ii) such processing is to analyze or evaluate the behavior of natural persons within China or (iii) there are any other circumstances stipulated by laws and administrative regulations.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foregoing, on July 10, 2021, the CRO under the CAC promulgated a draft administrative measure relating to cybersecurity, which further restates and expands the rules of cybersecurity review in China. Pursuant to the administrative measure, critical information infrastructure operators that intend to purchase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network products and services and data processors engaging in data processing activities that affect or may affect Chinese national security must be subject to cybersecurity review. The administrative measure specifically requires data processors in China who hold more than one million users’ personal information and plan to list on a stock exchange in a foreign country to apply for a cybersecurity review. Moreover, under the administrative measure, the CRO can initiate cybersecurity review under certain situations, for example, if a regulatory agency within the cyber-security review coordination mechanism believes a network product or service, data processing activity, or stock exchange listing activity outside of China impacts or might impact Chinese national security. As of the date of this Report, it is uncertain if and when this draft regulation will enter into force, and it remains unclear whether the formal version adopted in the future will have any further material changes (see also Item 3.D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and Data Privacy</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AD/ADAS Regulations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Polestar’s ambition is to meet relevant requirements for each product, market, and time frame.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Environmental Regulations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operates in an industry that is subject to extensive sustainability and environmental related regulations, which have become more stringent over time. The laws and regulations to which Polestar is or may become subject govern, among other things, water use; air emissions; use of recycled materials; energy sources; the storage, handling, treatment, transportation and disposal of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Polestar’s competitors, by contrast, will need to reconcile an expensive infrastructure with factories and equipment tailored for production of internal combustion engine (“</w:t>
      </w:r>
      <w:r>
        <w:rPr>
          <w:rFonts w:ascii="Times New Roman" w:cs="Times New Roman" w:eastAsia="Times New Roman" w:hAnsi="Times New Roman"/>
          <w:sz w:val="18"/>
          <w:szCs w:val="18"/>
          <w:i w:val="1"/>
          <w:iCs w:val="1"/>
          <w:color w:val="auto"/>
        </w:rPr>
        <w:t>ICE</w:t>
      </w:r>
      <w:r>
        <w:rPr>
          <w:rFonts w:ascii="Times New Roman" w:cs="Times New Roman" w:eastAsia="Times New Roman" w:hAnsi="Times New Roman"/>
          <w:sz w:val="18"/>
          <w:szCs w:val="18"/>
          <w:color w:val="auto"/>
        </w:rPr>
        <w:t>”) vehicles, along with workforces trained to produce ICE vehicles and intellectual property portfolios geared for ICE vehicles.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UNECE has developed certain international rules and regulations in the area of environment, range and energy consumption under the 1958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are required to comply with EU Regulation 715/2007 – the Worldwide harmonized Light vehicles Test Procedure on Energy Consumption and Range, and Directive 2005/64/EC—Recyclability, Recoverability, Reusability.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EPA is the federal regulator within this field, but the CARB is recognized in the federal Clean Air Act and has autonomous local regulations impacting air quality control. Polestar fulfills the applicable federal regulations under 40 CFR and the California state regulations under CCR 13.</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MEP (formerly the Ministry of Environmental Protection) regulates range and energy efficiency for automotive products. It establishes and improves all fundamental systems in China with respect to the environment.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Emissions Credits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manufacturers are required to comply with the applicable emission regulations in each jurisdiction in which they operate. Furthermore, since Polestar’s electric vehicles have zero or limited emissions compared to internal combustion engine vehicles, it earns emission grams or credits that may be sold to and used by other manufacturers to cover or offset their emissions footprint.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Recall activities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pacing w:after="0" w:line="306"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diagram depicts the organizational structure of the Company as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111875" cy="2374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187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issued to GGI Sponsor.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and Class A Shares converted from Preference Shares issued to Snita.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Subscription Shares issued to GGI Sponsor and Snita.</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significant subsidiaries of the Company after Closing are listed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Proportion of Ordinary</w:t>
            </w:r>
          </w:p>
        </w:tc>
        <w:tc>
          <w:tcPr>
            <w:tcW w:w="0" w:type="dxa"/>
            <w:vAlign w:val="bottom"/>
          </w:tcPr>
          <w:p>
            <w:pPr>
              <w:spacing w:after="0"/>
              <w:rPr>
                <w:sz w:val="1"/>
                <w:szCs w:val="1"/>
                <w:color w:val="auto"/>
              </w:rPr>
            </w:pPr>
          </w:p>
        </w:tc>
      </w:tr>
      <w:tr>
        <w:trPr>
          <w:trHeight w:val="148"/>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900" w:type="dxa"/>
            <w:vAlign w:val="bottom"/>
            <w:vMerge w:val="restart"/>
          </w:tcPr>
          <w:p>
            <w:pPr>
              <w:spacing w:after="0"/>
              <w:rPr>
                <w:sz w:val="12"/>
                <w:szCs w:val="12"/>
                <w:color w:val="auto"/>
              </w:rPr>
            </w:pPr>
          </w:p>
        </w:tc>
        <w:tc>
          <w:tcPr>
            <w:tcW w:w="1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900" w:type="dxa"/>
            <w:vAlign w:val="bottom"/>
            <w:vMerge w:val="restart"/>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 the</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Holding AB</w:t>
            </w:r>
          </w:p>
        </w:tc>
        <w:tc>
          <w:tcPr>
            <w:tcW w:w="9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Pte.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Performance AB</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Canada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Canada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USA Inc.</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Gores Guggenheim, Inc.</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Belgium BV</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Germany GmbH</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Netherlands BV</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Sweden AB</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Austria GmbH</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Denmark ApS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Finland Oy</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Switzerland GmbH</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Norway A/S</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Korea Limited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Australia PTY Ltd</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Distribution Pte.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Ireland Limited</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Ireland</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PLSTR Automotive Portugal Unipessoal Lda</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Poland sp. zo. o</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UK Limited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Spain S.L</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Luxembourg SARL</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Czech Republic s.r.o</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Shanghai Co.,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New Energy Vehicle Co., Ltd.</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Consulting Service (Shanghai) Co., Ltd.</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(Chongqing) Co.,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Jing’an Branch</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Shenzhen Branch</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Distribution (Taizhou) Co., Ltd.</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Chaoyang Branch</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Shunyi Branch</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Branch</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Tianhe Branch</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65"/>
        </w:trPr>
        <w:tc>
          <w:tcPr>
            <w:tcW w:w="648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Proportion of 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5740" w:type="dxa"/>
            <w:vAlign w:val="bottom"/>
            <w:vMerge w:val="restart"/>
          </w:tcPr>
          <w:p>
            <w:pPr>
              <w:spacing w:after="0"/>
              <w:rPr>
                <w:sz w:val="12"/>
                <w:szCs w:val="12"/>
                <w:color w:val="auto"/>
              </w:rPr>
            </w:pPr>
          </w:p>
        </w:tc>
        <w:tc>
          <w:tcPr>
            <w:tcW w:w="288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 the</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5740" w:type="dxa"/>
            <w:vAlign w:val="bottom"/>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16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0"/>
        </w:trPr>
        <w:tc>
          <w:tcPr>
            <w:tcW w:w="6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Chengdu Branch</w:t>
            </w:r>
          </w:p>
        </w:tc>
        <w:tc>
          <w:tcPr>
            <w:tcW w:w="198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vMerge w:val="continue"/>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People’s Republic of China</w:t>
            </w:r>
          </w:p>
        </w:tc>
        <w:tc>
          <w:tcPr>
            <w:tcW w:w="90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Hangzhou Branch</w:t>
            </w:r>
          </w:p>
        </w:tc>
        <w:tc>
          <w:tcPr>
            <w:tcW w:w="28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Minhang Branch</w:t>
            </w:r>
          </w:p>
        </w:tc>
        <w:tc>
          <w:tcPr>
            <w:tcW w:w="2880" w:type="dxa"/>
            <w:vAlign w:val="bottom"/>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Branch</w:t>
            </w:r>
          </w:p>
        </w:tc>
        <w:tc>
          <w:tcPr>
            <w:tcW w:w="28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6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Polestar Automotive China Distribution Co., Ltd. Shanghai Pudong Jinqiao</w:t>
            </w:r>
          </w:p>
        </w:tc>
        <w:tc>
          <w:tcPr>
            <w:tcW w:w="1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Branch</w:t>
            </w:r>
          </w:p>
        </w:tc>
        <w:tc>
          <w:tcPr>
            <w:tcW w:w="2880" w:type="dxa"/>
            <w:vAlign w:val="bottom"/>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Polestar is headquartered in Göteborg, Sweden. Polestar’s research and development teams are located in Sweden and the United Kingdom. In Sweden, Polestar’s headquarters and research and development team are located in Göteborg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87"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Polestar uses a digital first, direct to consumer approach that enables its customers to browse Polestar’s products, configure their preferred vehicle and, where permitted, place their order on-line. Alternatively, Polestar Locations are where customers can see, feel and test drive Polestar’s vehicles prior to making an on-line purchase.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68"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 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to meet our needs for the immediate future and that suitable additional space will be procured to accommodate any expansion of our operations, as needed.</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includes information that Polestar’s management believes is relevant to an assessment and understanding of Polestar’s financial condition and results of operations.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On June 23, 2022, Polestar closed the Business Combination and the related transactions described elsewhere in this Report. The discussion should be read together with (i) the financial statements of Polestar Automotive Holding Limited as of December 31, 2021 and 2020, and for each of the three years in the period ended December 31, 2021, and (ii) the financial statements of Polestar Automotive Holding UK PLC (formerly known as Polestar Automotive Holding UK Limited) as of September 15, 2021 and December 31, 2021 and for the period September 15, 2021 to December 31, 2021, and the related notes thereto, included elsewhere in this Report. The discussion and review should also be read together with Polestar’s unaudited pro forma financial information as of and for the year ended December 31, 2021. See Item 8.A “Financial Information—Consolidated Statements and Other Financial Information—Unaudited Pro Forma Condensed Combined Financial Information.”</w:t>
      </w:r>
    </w:p>
    <w:p>
      <w:pPr>
        <w:spacing w:after="0" w:line="18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Polestar’s actual results may differ materially from those anticipated in these forward-looking statements as a result of various factors, including those discussed in the sections titled “Risk Factors” (see Item 3.D) and “Cautionary Note Regarding Forward-Looking Statements” included elsewhere in this Report. Certain amounts may not foot due to rounding.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Parent and its subsidiaries are collectively referred to herein as “Polestar,” “we,” “our,” or “us.”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is a pure play, premium electric performance vehicle brand headquartered in Sweden, designing products that are engineered to excite consumers and drive change. Polestar defines market-leading standards in design, technology and sustainability. Polestar was established as a premium electric vehicle brand by Volvo Cars and Geely in 2017. Polestar benefits from the technological, engineering and manufacturing capabilities of these established global vehicle manufacturers. Polestar has an asset-light, highly scalable business model with immediate operating leverage. While Polestar has historically offered two performance vehicle models; Polestar 1 and Polestar 2, production of the Polestar 1 ceased during the year ended December 31, 2021.</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Under contract manufacturing agreements, Polestar intends to expand its manufacturing presence to facilities in the U.S. and in Europe, in each case operated by Volvo Cars. For example, Polestar intends to produce the Polestar 3 in Volvo Cars’ plant in Charleston, South Carolina as well as in Chengdu, China. Polestar’s ability to leverage the manufacturing footprint of both Volvo Cars and Geely gives Polestar’s highly scalable business model immediate operating leverage.</w:t>
      </w:r>
    </w:p>
    <w:p>
      <w:pPr>
        <w:spacing w:after="0" w:line="18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(i.e., Polestar uses the dealer model only in the U.S. and Canada). This approach also differs in sales to fleet customers where ordering configured vehicles via the online platform is impracticable. Instead, sales are facilitated through Polestar fleet account managers.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Alternatively, Polestar Locations are where customers can see, feel and test drive Polestar’s vehicles prior to making an online purchase. Polestar believes this combination of digital and physical retail presence delivers a seamless experience for its customers.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Polestar’s customer experience is further enhanced by its comprehensive service network that leverages the existing Volvo Cars service center network. Polestar currently has over 40 permanent Polestar Locations (and over 60 temporary or “pop-up” locations). Polestar plans to extend its retail locations in existing and new markets to total over 150 by the end of 2023. In addition, Polestar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During 2020, Polestar developed a sustainability strategy to support the vision of sustainable mobility. The strategy builds on the material issues Polestar faces and comprises four focus areas: climate neutrality, circularity, transparency and inclusion.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Climate neutrality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Combating the emission of greenhouse gases is one of Polestar’s top priorities. Most greenhouse gas emissions associated with Polestar’s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Polestar’s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Circularity</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affects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Transparency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their complex supply chain and lack of reliable chain of custody methods. Polestar requires its suppliers to implement responsible sourcing practices to mitigate the risk of human rights violations. Polestar partners with Circulor, a traceability-as-a-service provider, which utilizes blockchain technology to trace the origins of many of the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Inclusion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Inclusion is diversity, representation, and equality working in harmony. By committing to this strategic focus area, Polestar stands up for the rights of people throughout its value chain – from the workers producing the material of its vehicles, to its employees in factories or spaces, to customers and consumers around the world. Departments like Human Resources, Customer Experience and Procurement drive strategic initiatives on human rights and inclusion, addressing Polestar’s role as a responsible brand, employer, and procurer.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performance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Polestar’s growth and success over the past five years has depended on numerous factors and trends. While these factors and trends provide opportunities for Polestar, they also pose risks and challenges such as those discussed in the section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following paragraphs explain the key factors that continue to have a notable impact on Polestar.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Partnerships with Volvo Cars and Geely</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Polestar’s relationship with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Innovative automotive technologies and design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Precept and P10 electric powertrain have advanced Polestar’s organic intellectual property. Further, Polestar continues to display ambition to create industry-leading technologies through partnerships with Volvo Cars, Geely, Nvidia, Luminar, Waymo, and Zenseact,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In the years ended December 31, 2021, 2020 and 2019, $462,731, $338,093 and $349,653, respectively, were invested in new intellectual property. These investments have primarily impacted Polestar’s results of operations through higher amortization expense.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Direct-to-consumer business model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operates a direct-to-consumer business model for sales of vehicles, which allows it to create a tailored experience for customers based on their individual preferences. Polestar cultivates this experience through Polestar Locations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original equipment manufacturer (“</w:t>
      </w:r>
      <w:r>
        <w:rPr>
          <w:rFonts w:ascii="Times New Roman" w:cs="Times New Roman" w:eastAsia="Times New Roman" w:hAnsi="Times New Roman"/>
          <w:sz w:val="18"/>
          <w:szCs w:val="18"/>
          <w:i w:val="1"/>
          <w:iCs w:val="1"/>
          <w:color w:val="auto"/>
        </w:rPr>
        <w:t>OEM</w:t>
      </w:r>
      <w:r>
        <w:rPr>
          <w:rFonts w:ascii="Times New Roman" w:cs="Times New Roman" w:eastAsia="Times New Roman" w:hAnsi="Times New Roman"/>
          <w:sz w:val="18"/>
          <w:szCs w:val="18"/>
          <w:color w:val="auto"/>
        </w:rPr>
        <w:t>”) dealer model.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Direct-to-business model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although dealers are entitled to negotiate final sale prices with their end customers.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Fleet sales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Polestar and its subsidiaries’ direct-to-consumer and direct-to-business models, vehicles are also sold to various fleet customers (e.g., rental car companies and corporate fleet managers). As an incentive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high-volume purchases, sales to fleet customers often include certain discounts in the form of annual rebates based on the number of vehicles ordered during the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Polestar has modified its business practices, including the implementation of work-from-home arrangements for employees able to perform their duties remotely and limiting the number of employees allowed to be in the office at once to uphold safe social distancing protocols. While the pandemic has not resulted in an apparent slowdown in Polestar’s operating activities, it may have impacted the ability of customers to access Polestar Locations and test drive vehicles. The Polestar sales model via the Polestar App and website helps mitigate the risk of COVID-19, as customers configure and order their vehicles online. Because Polestar’s commercialization phase commenced in the midst of COVID-19, distinguishing consequences of COVID-19 versus consequences of other, external factors is difficult as there is</w:t>
      </w:r>
    </w:p>
    <w:p>
      <w:pPr>
        <w:spacing w:after="0" w:line="5"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no pre-COVID-19, comparative historical performance. Therefore, Polestar cannot determine the independent impact of COVID-19 on its overall financial performance.</w:t>
      </w:r>
    </w:p>
    <w:p>
      <w:pPr>
        <w:spacing w:after="0" w:line="18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Beginning in the first quarter of 2021, there has been a trend in many parts of the world of increasing availability and administration of vaccines against COVID-19, as well as an easing of restrictions on social, business, travel and government activities and functions. Despite the increasing availability of vaccination programs and easing of restrictions, Polestar cannot currently predict if the recent emergence of new strains or continued infections and fatalities will cause governments to re-impose prior or impose new restrictive measures. The negative economic effects of the continuing pandemic could have an adverse impact on Polestar’s operating activities in the future, and an adverse impact on company growth from potential delays on the Polestar Group’s ability to recruit and train staff. COVID-19 could also affect the operations of suppliers and business partners, which may result in delays or disruptions in the supply chain of Polestar’s components and delay the development and rollout of future vehicles. 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in the volumes previously anticipated by Polestar. For additional information, see Item 4.B “</w:t>
      </w:r>
      <w:r>
        <w:rPr>
          <w:rFonts w:ascii="Times New Roman" w:cs="Times New Roman" w:eastAsia="Times New Roman" w:hAnsi="Times New Roman"/>
          <w:sz w:val="18"/>
          <w:szCs w:val="18"/>
          <w:i w:val="1"/>
          <w:iCs w:val="1"/>
          <w:color w:val="auto"/>
        </w:rPr>
        <w:t>Information On The Company—Business Overview—Recent Developments</w:t>
      </w:r>
      <w:r>
        <w:rPr>
          <w:rFonts w:ascii="Times New Roman" w:cs="Times New Roman" w:eastAsia="Times New Roman" w:hAnsi="Times New Roman"/>
          <w:sz w:val="18"/>
          <w:szCs w:val="18"/>
          <w:color w:val="auto"/>
        </w:rPr>
        <w:t>” and the section below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Affecting Future Results of Operations.</w:t>
      </w:r>
      <w:r>
        <w:rPr>
          <w:rFonts w:ascii="Times New Roman" w:cs="Times New Roman" w:eastAsia="Times New Roman" w:hAnsi="Times New Roman"/>
          <w:sz w:val="18"/>
          <w:szCs w:val="18"/>
          <w:color w:val="auto"/>
        </w:rPr>
        <w:t>” Polestar will continue to closely monitor the effects of the pandemic. Refer to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 on risks posed by COVID-19.</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Russia and Ukraine conflict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February 2022, Russia invaded Ukraine. Uncertain geopolitical conditions, sanctions, and other potential impacts on the global economic environment resulting from Russia’s invasion of Ukraine could weaken demand for Polestar’s vehicles, which could make it difficult for Polestar to forecast its financial results and manage inventory levels. The uncertainty surrounding these conditions and the current, and potentially expanded, scope of international sanctions against Russia could cause unanticipated changes in customers’ buying patterns, adversely impact operations of Polestar’s suppliers, or interrupt Polestar’s ability to source products from these regions. Sanctions have also created global supply chain disruptions, logistical constraints and inflation that have impacted, and may continue to impact, Polestar’s operations and could create or exacerbate risks facing Polestar’s business. For additional information, see Item 4.B “</w:t>
      </w:r>
      <w:r>
        <w:rPr>
          <w:rFonts w:ascii="Times New Roman" w:cs="Times New Roman" w:eastAsia="Times New Roman" w:hAnsi="Times New Roman"/>
          <w:sz w:val="18"/>
          <w:szCs w:val="18"/>
          <w:i w:val="1"/>
          <w:iCs w:val="1"/>
          <w:color w:val="auto"/>
        </w:rPr>
        <w:t>Information On The Company—Business Overview—Recent Developments.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Polestar understands that Volvo Cars does not directly conduct any business (i.e., Tier 1 supplier) with suppliers from Russia, there can be no assurance that all parts of the supply chain are devoid of any exposure to disruptions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60"/>
          </w:cols>
          <w:pgMar w:left="320" w:top="455" w:right="5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caused by the Russia and Ukraine conflict.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Polestar will continue to closely monitor the effect of the conflict between Russia and Ukraine. Refer to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information on risks posed by the Russia and Ukraine conflict.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Broader impacts of COVID-19 and the Russia and Ukraine conflict have included inflationary pressures on prices of components, materials, labor and equipment used in the production of Polestar vehicles. Particularly increases in battery prices due to the increase of lithium, cobalt and nickel costs are expected to lead to higher capital expenditures. It is uncertain whether the inflationary pressure on such prices and costs will persist in the future.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Polestar conducts business under one operating segment with primary commercial operations in Europe and the U.S. While Europe and the U.S. represent Polestar’s primary geographic markets, Polestar’s presence is quickly expanding in Asia. Refer to “</w:t>
      </w:r>
      <w:r>
        <w:rPr>
          <w:rFonts w:ascii="Times New Roman" w:cs="Times New Roman" w:eastAsia="Times New Roman" w:hAnsi="Times New Roman"/>
          <w:sz w:val="18"/>
          <w:szCs w:val="18"/>
          <w:i w:val="1"/>
          <w:iCs w:val="1"/>
          <w:color w:val="auto"/>
        </w:rPr>
        <w:t>Note 1—Significant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judgements</w:t>
      </w:r>
      <w:r>
        <w:rPr>
          <w:rFonts w:ascii="Times New Roman" w:cs="Times New Roman" w:eastAsia="Times New Roman" w:hAnsi="Times New Roman"/>
          <w:sz w:val="18"/>
          <w:szCs w:val="18"/>
          <w:color w:val="auto"/>
        </w:rPr>
        <w:t>” in Polestar’s Consolidated Financial Statements for more information on the basis of presentation and segment reporting.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paragraphs describe the key components of revenue and expenses as presented in our Consolidated Statement of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primarily from sales of the Polestar 2. Polestar’s main customers for electric vehicles consists of private individuals, fleet management companies, dealers, and our related parties, Volvo Cars and Geely.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in partnership with Volvo Cars. Vehicle leasing revenue is derived from the Polestar Group’s operating lease arrangements. Other revenue is derived from sales of automotive research and development services and intellectual property licensed to Volvo Cars enabling Volvo Cars to source and sell Polestar parts and accessories.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Cost of sales primarily consists of contract manufacturing costs associated with the production of the Polestar 2, which is outsourced to Volvo Cars (previously outsourced to Geely), depreciation of tooling equipment, amortization of intangible assets related to manufacturing engineering, warehousing and transportation costs for inventory, customs duties, and charges to write down the carrying value of inventory when it exceeds the estimated net realizable value. Costs of sales also include costs related to direct parts and materials, direct labor, and manufacturing overhead for the Polestar 1, which was manufactured at Polestar’s facility in Chengdu, China.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audit, information technology, and accounting services, as well as expenses for facilities, general software costs and licenses, depreciation, amortization, and travel. Personnel-related expenses consist of salaries, benefits, social security contributions, and incentive programs.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personnel expenses for Polestar’s internal engineering, research, and development functions, amortization of intangible assets related to intellectual property used in Polestar’s electric vehicles and internal development programs, and expenses for direct materials and facilities used by research and development personnel.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 that is expected to provide future economic benefit to Polestar.</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 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income and expenses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Finance income consist of interest income on bank deposits associated with Polestar’s short-term financing facilities and net foreign exchange rate gains on financial activities. Finance expenses are comprised of interest expenses associated with Polestar’s short and long-term financing facilities, including amounts owed to related parties, net foreign exchange rate losses on financial activities, and interest expenses associated with lease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expenses consist of current and deferred income tax expenses. Current income tax expenses primarily represent income taxes generated on income sourced in multiple foreign jurisdictions. Deferred income tax expenses represent differences generated between book accounting figures and tax figures.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Future Results of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Impact of COVID-19, Inflation and Supply Chain Disruptions and Carbon Credits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For additional information, see Item 4.B “</w:t>
      </w:r>
      <w:r>
        <w:rPr>
          <w:rFonts w:ascii="Times New Roman" w:cs="Times New Roman" w:eastAsia="Times New Roman" w:hAnsi="Times New Roman"/>
          <w:sz w:val="18"/>
          <w:szCs w:val="18"/>
          <w:i w:val="1"/>
          <w:iCs w:val="1"/>
          <w:color w:val="auto"/>
        </w:rPr>
        <w:t>Information On The Company—Business Overview—Recent Developments</w:t>
      </w:r>
      <w:r>
        <w:rPr>
          <w:rFonts w:ascii="Times New Roman" w:cs="Times New Roman" w:eastAsia="Times New Roman" w:hAnsi="Times New Roman"/>
          <w:sz w:val="18"/>
          <w:szCs w:val="18"/>
          <w:color w:val="auto"/>
        </w:rPr>
        <w:t>.” While Polestar expects total revenue from sales of vehicles for the year ending December 31, 2022 to be higher than for the year ended December 31, 2021, Polestar anticipates that supply chain disruptions will limit the number of vehicles we are able to deliver and sell and will have a negative impact on revenue during the year ending December 31, 2022. Polestar cannot anticipate whether the COVID-19 outbreak, the impact of inflation on prices of components, materials, labor and equipment used in the production of vehicles and the supply chain disruptions that occurred in the first half of 2022 will persist in the future.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due to decreased market demand for carbon credits, Polestar’s revenue from the sale of carbon credits was approximately $6.3 million for the year ended December 31, 2021 as compared to $27.1 million during the year ended December 31, 2020. Based on prevailing market conditions for carbon credits and the level of demand for carbon credits during the year ended December 31, 2021, Polestar also expects revenue from the sale of carbon credits for the year ending December 31, 2022 to be negligible, and that demand for carbon credits from Volvo Cars and third party OEMs will remain low in the future.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Profit Impact of COVID-19, Inflation and Supply Chain Disruptions, Carbon Credits and Sales Mix</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delivered 28,677 vehicles during the year ended December 31, 2021 of which 2,836 vehicles included buyback agreements and 2,081 internal vehicle deliveries. The abovementioned impact of COVID-19, inflation and supply chain disruptions on global volumes are expected to have a corresponding impact on total cost of goods sold and gross profit for the year ending December 31, 2022. Since it is uncertain whether the lockdowns driven by COVID-19 outbreaks, the impact of inflation on prices of components, materials, labor and equipment used in the production of vehicles and the supply chain disruptions that occurred in the first half of 2022 will continue to occur, Polestar cannot anticipate whether similar impacts on total cost of goods sold and gross profit will persist in the future.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Due to these uncertainties Polestar reevaluated its assumptions on sales mix by geography, sales with buyback agreements, product configuration (e.g., single-motor vs. dual-motor) and channel (e.g., private consumer vs. fleet sales). As a result, Polestar expects the combined impact of COVID-19, inflation and supply chain disruptions on global volumes, the reduction of revenue from the sale of carbon credits and changes in sales mix described above will reduce gross profit for the year ending December 31, 2022. The reduction of revenue from the sale of carbon credits is also expected to reduce gross profit in future years as described above.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associated with the Business Combination and Listing on Nasdaq</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Costs associated with the Business Combination and on-going costs associated with being a Nasdaq listed foreign private issuer after the completion of the Business Combination, including Sarbanes Oxley compliance, digital capabilities and D&amp;O insurance premiums, will be reflected in Polestar’s results of operations for the year ending December 31, 2022 and future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Expenditures</w:t>
      </w:r>
    </w:p>
    <w:p>
      <w:pPr>
        <w:spacing w:after="0" w:line="11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continue to rapidly increase the pace of its market expansion plans during 2022 and further invest in the development of its technology, sales locations and digital capabilities to provide customers with enhanced purchasing and ownership experiences. As a result, Polestar expects operating expenditures to increase for the year ended December 31, 2022 and future years.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2020 and 2019</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reading this comparative analysis, readers should note that Polestar commenced commercial deliveries of the Polestar 2 in August 2020, which impacts the comparability of financial performance between the periods presented. The following table summarizes Polestar’s historical Consolidated Statement of Loss for the years ended December 31, 2021, 2020 and 2019:</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10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1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3100" w:type="dxa"/>
            <w:vAlign w:val="bottom"/>
            <w:gridSpan w:val="6"/>
            <w:vMerge w:val="continue"/>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2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610,245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92,415</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726,936</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517,830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(1,336,321)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(553,724)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(39,790)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(782,597)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(513,934)</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56,521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52,625</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(55,661)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3,896</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(399,798)</w:t>
            </w: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(104,354)</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(232,922)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(183,849)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(34,386)</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(49,073)</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(149,463)</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(48,053)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1,766</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1,339</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(49,819)</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(2,821)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(190,994)</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(554,351)</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(249,494)</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(34,034)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(21,192)</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(11,215)</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(12,842)</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(535,795)</w:t>
            </w: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(275,363)</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(13,535)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(2,015)</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13,199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(11,520)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(522,596)</w:t>
            </w: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(286,883)</w:t>
            </w: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Polestar’s revenue increased by $726,936, or 119%, from $610,245 for the year ended December 31, 2020 to $1,337,181 for the year ended December 31, 2021. Revenue from related parties decreased by $18,475, or 13%, from $147,455 for the year ended December 31, 2020 to $128,980 for the year ended December 31, 2021. Polestar’s revenue increased by $517,830, or 560%, from $92,415 for the year ended December 31, 2019 to $610,245 for the year ended December 31, 2020. Revenue from related parties increased by $55,068, or 60%, from $92,387 for the year ended December 31, 2019 to $147,455 for the year ended December 31, 2020. The following table summarizes changes in the components of revenue and related changes between annual periods: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8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880" w:type="dxa"/>
            <w:vAlign w:val="bottom"/>
            <w:gridSpan w:val="6"/>
            <w:vMerge w:val="continue"/>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w w:val="98"/>
              </w:rPr>
              <w:t>US’Thousand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US’Thousand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Sales of vehicles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1,290,031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542,783</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747,248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138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542,783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25,881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35,434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73,107</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(9,553)</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(37,673)</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27,141</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(20,842)</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27,141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6,217</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6,217</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100</w:t>
            </w:r>
          </w:p>
        </w:tc>
        <w:tc>
          <w:tcPr>
            <w:tcW w:w="10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92,415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726,936</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119</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517,830</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560</w:t>
            </w:r>
          </w:p>
        </w:tc>
        <w:tc>
          <w:tcPr>
            <w:tcW w:w="0" w:type="dxa"/>
            <w:vAlign w:val="bottom"/>
          </w:tcPr>
          <w:p>
            <w:pPr>
              <w:spacing w:after="0"/>
              <w:rPr>
                <w:sz w:val="1"/>
                <w:szCs w:val="1"/>
                <w:color w:val="auto"/>
              </w:rPr>
            </w:pPr>
          </w:p>
        </w:tc>
      </w:tr>
      <w:tr>
        <w:trPr>
          <w:trHeight w:val="372"/>
        </w:trPr>
        <w:tc>
          <w:tcPr>
            <w:tcW w:w="5140" w:type="dxa"/>
            <w:vAlign w:val="bottom"/>
          </w:tcPr>
          <w:p>
            <w:pPr>
              <w:spacing w:after="0"/>
              <w:rPr>
                <w:sz w:val="24"/>
                <w:szCs w:val="24"/>
                <w:color w:val="auto"/>
              </w:rPr>
            </w:pPr>
          </w:p>
        </w:tc>
        <w:tc>
          <w:tcPr>
            <w:tcW w:w="8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Sales of vehicles increased by $747,248, or 138%, from $542,783 for the year ended December 31, 2020 to $1,290,031 for the year ended December 31, 2021. As referenced earlier, this increase is primarily due to a full year of commercial sales in 2021, compared to three months in 2020 (as commercialization of the Polestar 2 didn’t commence until Q4 2020), as well as Polestar’s further expansion into new markets in 2021. Sales of vehicles increased by $542,783, or 100%, from nil for the year ended December 31, 2019 to $542,783 for the year ended December 31, 2020. The increase was due to the first commercial deliveries of the Polestar 1 and Polestar 2 to customers during the year ended December 31, 2020.</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Sales of software and performance engineered kits decreased by $9,553, or 27%, from $35,434 for the year ended December 31, 2020 to $25,881 for the year ended December 31, 2021. This decrease is a result of Polestar moving towards a focus on vehicle sales and Volvo Cars offering Polestar’s performance engineered kits at a reduced price. Sales of software and performance engineered kits decreased by $37,673, or 52%, from $73,107 for the year ended December 31, 2019 to $35,434 for the year ended December 31, 2020. The decrease is mainly an effect of the termination of the performance engineered kits agreement in March 2019. A new performance engineered kits agreement was not signed until December 2020, at which point in time Volvo Cars resumed offering Polestar’s performance engineered kits to its customers, but at a reduced price.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carbon credits decreased by $20,842, or 77%, from $27,141 for the year ended December 31, 2020 to $6,299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This decrease is due to prevailing market conditions and lower demand for carbon credits from Volvo Cars and third party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OEMs. Sales of carbon credits increased by $27,141, or 100%, from nil for the year ended for the year ended December 31, 2019 to $27,141 for the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2020 as this was the first year Polestar sold carbon credits. The carbon credit arrangement with Volvo Cars was executed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2020 as the year ended December 31, 2020 was Polestar’s first year selling vehicles and generating carbon credits.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Vehicle leasing revenue increased by $6,217, or 100%, from nil for the year ended December 31, 2020 to $6,217 for the year ended December 31, 2021. The increase was the result of Polestar entering into operating leases for the first time in 2021.</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Other revenue increased by $3,866, or 79%, from $4,887 for the year ended December 31, 2020 to $8,753 for the year ended December 31, 2021. This increase was primarily the result of sales-based royalties received from Volvo Cars on sales of parts and accessories for Polestar vehicles which Volvo Cars began selling to Polestar customers during 2021. Other revenue decreased by $14,421, or 75%, from $19,308 for the year ended December 31, 2019 to $4,887 for the year ended December 31, 2020. The decrease was primarily the result of a reduction in research and development services provided to Volvo Cars during the year ended December 31, 2020 .</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sales and gross profit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Cost of sales increased by $782,597, or 141%, from $553,724 for the year ended December 31, 2020 to $1,336,321 for the year ended December 31, 2021. This increase was primarily driven by expanded production and commercialization of Polestar 2 vehicles and a deterioration of the SEK/CNY exchange rate throughout 2021. Specifically, sales volume growth in the United States resulted in higher customs import duties and Polestar’s SEK/CNY transaction exchange losses on contract manufacturing invoices paid to Geely contributed to higher overall costs of sales. Cost of sales increased by $513,934, from $39,790 for the year ended December 31, 2019 to $553,724 for the year ended December 31, 2020. The increase in cost of sales was driven by deliveries of the Polestar 1 and Polestar 2. Prior to the year ended December 31, 2020, the Polestar 1 and Polestar 2 were only available for pre-order.</w:t>
      </w:r>
    </w:p>
    <w:p>
      <w:pPr>
        <w:spacing w:after="0" w:line="18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Gross profit decreased by $55,661, or 98%, from $56,521 for the year ended December 31, 2020 to $860 for the year ended December 31, 2021. This decrease was primarily due to a negative gross profit impact of $20,842 related to reduced sales of carbon credits, a negative gross profit impact of $9,553 related to reduced sales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software and performance engineered kits and a negative gross profit impact of $4,887 related to reduced sales of research and development services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parties. Gross profit increased by $3,896, or 7%, from $52,625 for the year ended December 31, 2019 to $56,521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2020. The increase in gross profit was reflective of cost efficiencies from contract manufacturing afforded by Polestar 2 manufacturing 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large scale.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by $399,798, or 127%, from $314,926 for the year ended December 31, 2020 to $714,724 for the year ended December 31, 2021. This increase was primarily driven by continued investments in advertising, marketing, and promotional activities as part of Polestar’s commercial expansion across geographic markets such as the U.S., UK, Germany and China, increased professional service fees related to accounting, finance, and information technology, and higher wages and salaries associated with scaling headcount of Polestar’s sales and administrative personnel to meet the demands of the growing business. Selling, general and administrative expenses increased by $104,354, or 50%, from $210,572 for the year ended December 31, 2019 to $314,926 for the year ended December 31, 2020. The increase was primarily due to increased investments in advertising, marketing, and promotional activities as part of Polestar’s commercial expansion across geographic markets such as the United States and China, increased professional service fees related to accounting, finance, and information technology, and higher wages and salaries associated with scaling headcount of Polestar’s sales and administrative personnel to meet the demands of the growing business.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$49,073, or 27%, from $183,849 for the year ended December 31, 2020 to $232,922 for the year ended December 31, 2021. This increase was primarily due to increased product development costs related to future vehicles and electronic vehicles technologies and a full year of amortization of capitalized research and development expenses in 2021 related to Polestar 2, as compared to ten months of amortization in 2020. Research and development expenses increased by $149,463, or 435%, from $34,386 for the year ended December 31, 2019 to $183,849 for the year ended December 31, 2020. The increase was the result of amortization of intangible assets related to the Polestar 1 and Polestar 2, which commenced in December 2019 and March 2020, respectively, and higher wages and salaries associated with scaling Polestar’s research and development personnel to pursue new electric vehicle technologies, software, and processes.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income and expenses, net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Other operating income and expenses, net decreased by $49,819 from $1,766 for the year ended December 31, 2020 to $(48,053) for the year ended December 31, 2021. This decrease was primarily due to an increase in unrealized foreign exchange losses on conversions from the SEK and the Chinese Yuan (“</w:t>
      </w:r>
      <w:r>
        <w:rPr>
          <w:rFonts w:ascii="Times New Roman" w:cs="Times New Roman" w:eastAsia="Times New Roman" w:hAnsi="Times New Roman"/>
          <w:sz w:val="18"/>
          <w:szCs w:val="18"/>
          <w:i w:val="1"/>
          <w:iCs w:val="1"/>
          <w:color w:val="auto"/>
        </w:rPr>
        <w:t>CNY</w:t>
      </w:r>
      <w:r>
        <w:rPr>
          <w:rFonts w:ascii="Times New Roman" w:cs="Times New Roman" w:eastAsia="Times New Roman" w:hAnsi="Times New Roman"/>
          <w:sz w:val="18"/>
          <w:szCs w:val="18"/>
          <w:color w:val="auto"/>
        </w:rPr>
        <w:t>”) related to Polestar’s contract manufacturing agreements in China. Other operating income and expenses, net increased by $427, or 32%, from $1,339 for the year ended December 31, 2019 to $1,766 for the year ended December 31, 2020. The increase primarily reflected higher unrealized foreign exchange gains on operating activities associated with Polestar’s commercial expansion in Europe, Asia, and other geographic markets.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income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Finance income increased by $29,771, or 931%, from $3,199 for the year ended December 31, 2020 to $32,970 for the year ended December 31, 2021. This increase was primarily driven by net foreign exchange gains on financial activities. Finance income decreased by $13,027, or 80%, from $16,226 for the year ended December 31, 2019 to $3,199 for the year ended December 31, 2020. The decrease was primarily related to lower interest income on bank deposits required by Polestar’s short-term credit facilities.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Finance expenses increased by $11,215, or 33%, from $34,034 for the year ended December 31, 2020 to $45,249 for the year ended December 31, 2021. This increase was primarily driven by interest expense on past due payables to Geely and Volvo Cars and interest expense on related party loans with Volvo Cars. Finance expenses increased by $12,842, or 61%, from $21,192 for the year ended December 31, 2019 to $34,034 for the year ended December 31, 2020. The increase was primarily related to higher interest charges related to Polestar’s related party loans with Volvo Cars and foreign exchange losses associated with Polestar’s short-term credit facilities.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Income tax expense decreased by $13,199, or 98%, from $13,535 for the year ended December 31, 2020 to $336 for the year ended December 31, 2021. This decrease was primarily driven by a decrease in deferred taxes related to foreign currency translation adjustments, coupled with lower withholding taxes in China due to reduced distributions for the period. This was offset by higher income tax expenses generated from the significant increase in Polestar’s sales volumes for the year ended December 31, 2021. Income tax expense increased by $11,520, or 572%, from $2,015 for the year ended December 31, 2019 to $13,535 for the year ended December 31, 2020. The increase was primarily due to higher deferred tax expenses related to internally developed intellectual property that were capitalized for book purposes and expensed for tax purposes, higher withholding taxes in China, and income tax expenses generated in Polestar’s sales units. Additionally, higher pre-tax book losses in the year ended December 31, 2020 as compared to the year ended December 31, 2019 generated in Sweden and China provided no corresponding tax benefit as deferred tax assets do not meet the accounting recognition criteria in these jurisdictions.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finances its operations primarily through the issuance of equity instruments, various short-term credit facilities, including working capital facilities, term loans with related parties, sale leaseback arrangements, and extended trade credit with related parties. The principal uses for liquidity and capital are funding operations, research and development expenditures, and sustaining access to additional capital via the repayment of existing credit facilities. Polestar is currently in the process of expanding operations in Europe, North America, and Asia, which has resulted in increased advertising, marketing, and promotional costs.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Polestar vehicles will continue to require substantial expenditures and Polestar is reliant upon continued investments from existing and new shareholders to fund operations. These conditions raised substantial doubt about Polestar’s ability to continue as a going concern. Refer to “</w:t>
      </w:r>
      <w:r>
        <w:rPr>
          <w:rFonts w:ascii="Times New Roman" w:cs="Times New Roman" w:eastAsia="Times New Roman" w:hAnsi="Times New Roman"/>
          <w:sz w:val="18"/>
          <w:szCs w:val="18"/>
          <w:i w:val="1"/>
          <w:iCs w:val="1"/>
          <w:color w:val="auto"/>
        </w:rPr>
        <w:t>Note 1—Significant accounting policies and judgements</w:t>
      </w:r>
      <w:r>
        <w:rPr>
          <w:rFonts w:ascii="Times New Roman" w:cs="Times New Roman" w:eastAsia="Times New Roman" w:hAnsi="Times New Roman"/>
          <w:sz w:val="18"/>
          <w:szCs w:val="18"/>
          <w:color w:val="auto"/>
        </w:rPr>
        <w:t>” in the accompanying Consolidated Financial Statements.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and 2020, Polestar had cash and cash equivalents of $756,677 and $316,424, respectively. Cash and cash equivalents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consist of cash in banks with an original term of three months or less. As of December 31, 2021 and 2020, Polestar had restricted cash of nil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$50,206, respectively. Restricted cash consists of cash collateral held by financial institutions that provide Polestar’s short-term working capital loans.</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 pro forma basis, following the redemptions by the public stockholders of GGI, Polestar estimated that it would have cash and cash equivalents of approximately $1,552,413 on hand at December 31, 2021. Polestar believes its existing cash and cash equivalents, current, refinanced and new short-term credit facilities, current working capital arrangements with related parties, existing shareholders’ declarations of intent to subscribe to future equity offerings from related party owners, and the net proceeds from the Business Combination would be sufficient to meet its anticipated cash needs for at least 12 months from the date the accompanying Polestar Financial Statements were issued.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Polestar’s pro forma cash resources, including the proceeds of the Business Combination, are insufficient to finance its future cash requirements, Polestar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and equity financing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2020, Polestar issued 14,371,808 ordinary shares to Polestar’s principal owners at $6.15 per share for total proceeds of $438,340. Polestar also issued 18,032,787 Class B ordinary shares to third party investors in March 2021 at $30.50 per share for total proceeds of $550,000. In July 2021, 17,345,079 Class A ordinary shares were converted to Class B ordinary shares. Following these events, total Class A and Class B ordinary shares issued and outstanding were 232,404,595, with each share valued at $8.04. During the periods presented in the accompanying Consolidated Financial Statements, Polestar utilized several short-term working capital loans, none of which require it to meet any material debt covenants. All short-term working capital loans that have come due during the periods presented have been repaid on-time. These loans are further detailed as follows:</w:t>
      </w:r>
    </w:p>
    <w:p>
      <w:pPr>
        <w:spacing w:after="0" w:line="93"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2019, Polestar entered into a 12-month unsecured working capital loan with a bank in China.</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balance as of December 31, 2019 was $146,520. The loan carried interest at the latest interbank loan prime rate minus 0.1775%. This loan was fully repaid as of December 31, 2020.</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Polestar entered into a 12-month unsecured working capital loan with a bank in China. The outstanding principal balance as of December 31, 2019 was $131,730. The loan carried interest at the LIBOR 3-month term rate plus 0.68657%. This loan was fully repaid as of December 31, 2020.</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Polestar entered into a 12-month unsecured working capital loan with a bank in China. The outstanding principal balance as of December 31, 2019 was $112,195. The loan carried interest at the LIBOR 3-month term rate plus 2.1%. This loan was fully repaid as of December 31, 2020.</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Polestar entered into a 12-month unsecured working capital loan with a bank in China. The outstanding principal balance as of December 31, 2020 was $150,735. The loan carried interest at the interbank loan prime rate plus 0.065%. This loan was fully repaid as of December 31, 2021.</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Polestar entered into a 3-month related party loan with Volvo Cars. The loan’s principal balance of $214,950 was fully repaid as of December 31, 2020. The loan carried interest at 3.48%.</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Polestar entered into a 6-month unsecured working capital loan with a bank in China. The outstanding principal balance as of December 31, 2020 was $45,930. The loan carried interest at the latest 12-month national interbank loan prime rate minus 0.37%. This loan was fully repaid as of December 31, 2021.</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Polestar entered into a 6-month uncommitted facility with a bank in the United Kingdom. The outstanding principal balance as of December 31, 2020 was $148,082. The loan carried interest at 2.1% per annum over the relevant interbank offered rate, plus a flat arrangement fee of 0.25% to be paid on the value of the facility payable. This loan was fully repaid as of December 31, 2021.</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Polestar entered into a 12-month unsecured working capital loan agreement with a bank in China. The outstanding principal balance as of December 31, 2021 was $78,650. The loan carries interest at the latest 12-month national interbank loan prime offer rate plus 1.1%.</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Polestar entered into a 12-month unsecured working capital loan agreement with a bank in China. The outstanding principal balance as of December 31, 2021 was $130,559. The loan carries interest at a rate of 3.915% per annum.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Polestar entered into a 9-month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As discussed in “</w:t>
      </w:r>
      <w:r>
        <w:rPr>
          <w:rFonts w:ascii="Times New Roman" w:cs="Times New Roman" w:eastAsia="Times New Roman" w:hAnsi="Times New Roman"/>
          <w:sz w:val="18"/>
          <w:szCs w:val="18"/>
          <w:i w:val="1"/>
          <w:iCs w:val="1"/>
          <w:color w:val="auto"/>
        </w:rPr>
        <w:t>Note 18—Equity of the accompanying Consolidated Financial Statements</w:t>
      </w:r>
      <w:r>
        <w:rPr>
          <w:rFonts w:ascii="Times New Roman" w:cs="Times New Roman" w:eastAsia="Times New Roman" w:hAnsi="Times New Roman"/>
          <w:sz w:val="18"/>
          <w:szCs w:val="18"/>
          <w:color w:val="auto"/>
        </w:rPr>
        <w:t>,” these convertible notes may not be cash settled and may only be settled via the automatic conversion to Class B common stock upon the occurrence of a qualifying conversion event, or at-will by Polestar, prior to a qualifying conversion event. As of December 31, 2021, no qualifying conversion event had occurred, and Polestar has not converted any of the convertible notes at-will. Therefore, all $35,231 of the convertible note remained outstanding.</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and December 31, 2020, Polestar entered into contracts to sell vehicles and then lease-back such vehicles for a period of up to 12 months, with an obligation to repurchase the vehicle at the end of the lease-back period. As of December 31, 2021 and 2020, $14,465 and $17,398 of the financing obligation related to these sale lease-backs was outstanding, respectively.</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Polestar enters into multiple low-value working capital credit facilities with various financial service providers across the Polestar Group’s multiple markets. These facilities are used to ensure the Polestar Group can meet vehicle demand and fund operations related to vehicle sales. As of December 31, 2021 and 2020, $32,453 and $1,345 of these working capital credit facilities were outstanding, respectively.</w:t>
      </w:r>
    </w:p>
    <w:p>
      <w:pPr>
        <w:spacing w:after="0" w:line="15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Under both arrangements, Polestar has the ability to repay lenders or repurchase vehicles at its convenience. Due to these circumstances, these arrangements are accounted for as short-term financing instead of revenue generating sales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0"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7620</wp:posOffset>
            </wp:positionV>
            <wp:extent cx="2160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6980"/>
        <w:spacing w:after="0"/>
        <w:tabs>
          <w:tab w:leader="none" w:pos="8260" w:val="left"/>
          <w:tab w:leader="none" w:pos="95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-3175</wp:posOffset>
            </wp:positionV>
            <wp:extent cx="21602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ind w:left="6740"/>
        <w:spacing w:after="0" w:line="232" w:lineRule="auto"/>
        <w:tabs>
          <w:tab w:leader="none" w:pos="8000" w:val="left"/>
          <w:tab w:leader="none" w:pos="9300" w:val="left"/>
        </w:tabs>
        <w:rPr>
          <w:sz w:val="20"/>
          <w:szCs w:val="20"/>
          <w:color w:val="auto"/>
        </w:rPr>
      </w:pPr>
      <w:r>
        <w:rPr>
          <w:rFonts w:ascii="Times New Roman" w:cs="Times New Roman" w:eastAsia="Times New Roman" w:hAnsi="Times New Roman"/>
          <w:sz w:val="14"/>
          <w:szCs w:val="14"/>
          <w:i w:val="1"/>
          <w:iCs w:val="1"/>
          <w:color w:val="auto"/>
        </w:rPr>
        <w:t>US’Thousand</w:t>
      </w:r>
      <w:r>
        <w:rPr>
          <w:sz w:val="20"/>
          <w:szCs w:val="20"/>
          <w:color w:val="auto"/>
        </w:rPr>
        <w:tab/>
      </w:r>
      <w:r>
        <w:rPr>
          <w:rFonts w:ascii="Times New Roman" w:cs="Times New Roman" w:eastAsia="Times New Roman" w:hAnsi="Times New Roman"/>
          <w:sz w:val="14"/>
          <w:szCs w:val="14"/>
          <w:i w:val="1"/>
          <w:iCs w:val="1"/>
          <w:color w:val="auto"/>
        </w:rPr>
        <w:t>US’Thousand</w:t>
      </w:r>
      <w:r>
        <w:rPr>
          <w:sz w:val="20"/>
          <w:szCs w:val="20"/>
          <w:color w:val="auto"/>
        </w:rPr>
        <w:tab/>
      </w:r>
      <w:r>
        <w:rPr>
          <w:rFonts w:ascii="Times New Roman" w:cs="Times New Roman" w:eastAsia="Times New Roman" w:hAnsi="Times New Roman"/>
          <w:sz w:val="14"/>
          <w:szCs w:val="14"/>
          <w:i w:val="1"/>
          <w:iCs w:val="1"/>
          <w:color w:val="auto"/>
        </w:rPr>
        <w:t>US’Thousand</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2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(312,156)</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(57,050)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(129,672)</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(243,707)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(285,448)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909,572</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359,643</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475,407</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for operating activities increased from $57,050 for the year ended December 31, 2020 to $312,156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The change was primarily the result of Polestar fulfilling its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provisions related to warranties, employee benefits, and other provisions, increased prepaid expenses, and higher levels of inventory due to market expansion, partially offset by higher collections of trade receivables from related parties.</w:t>
      </w:r>
    </w:p>
    <w:p>
      <w:pPr>
        <w:spacing w:after="0" w:line="162"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Cash used for operating activities decreased from $190,059 for the year ended December 31, 2019 to $57,050 for the year ended December 31, 2020. The change was primarily the result of increased trade payables to Polestar’s related parties, Volvo Cars and Geely, and accrued expenses, partially offset by higher trade receivables and inventories associated with the commencement of commercialization of the Polestar 2 in August 2020.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decreased from $243,707 for the year ended December 31, 2020 to $129,672 for the year ended December 31, 2021. The change was primarily the result of a decrease in cash payments for investments in property, plant and equipment and lower cash payments for intangible assets in accordance with the terms of agreements with Volvo Cars.</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decreased from $285,448 for the year ended December 31, 2019 to $243,707 for the year ended December 31, 2020. The change was primarily the result of fewer additions of property, plant and equipment and investments in intellectual property related to the Polestar 1, Polestar 2 and Polestar 3 that had not yet been cash settled with Volvo Cars, partially offset by initial capitalization of investments in intellectual property under various internal development programs.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 increased from $359,643 for the year ended December 31, 2020 to $909,572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The change was primarily the result of the issuance of Class B common shares to third-party investors, the issuance of convertible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and increased short-term borrowings, partially offset by principal repayments related to existing short-term credit facilities.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 decreased from $475,407 for the year ended December 31, 2019 to $359,643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2020. The change was primarily the result of a decrease in restricted cash deposits and principal repayments related to existing short-term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facilities, partially offset by the issuance of Class A common shares of Polestar to Polestar’s principal owners.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w:t>
      </w:r>
      <w:r>
        <w:rPr>
          <w:rFonts w:ascii="Times New Roman" w:cs="Times New Roman" w:eastAsia="Times New Roman" w:hAnsi="Times New Roman"/>
          <w:sz w:val="18"/>
          <w:szCs w:val="18"/>
          <w:i w:val="1"/>
          <w:iCs w:val="1"/>
          <w:color w:val="auto"/>
        </w:rPr>
        <w:t>Note 9—Leases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Note 21—Liabilities to credit institutions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Note 24—Commitments and contingencies</w:t>
      </w:r>
      <w:r>
        <w:rPr>
          <w:rFonts w:ascii="Times New Roman" w:cs="Times New Roman" w:eastAsia="Times New Roman" w:hAnsi="Times New Roman"/>
          <w:sz w:val="18"/>
          <w:szCs w:val="18"/>
          <w:color w:val="auto"/>
        </w:rPr>
        <w:t>” in the accompanying Consolidated financial statements for more detail on contractual obligations and commitments.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Polestar’s estimated future cash expenditures related to contractual obligations and commitments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 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4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US Thousand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763,780</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437,947</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298,833</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 including sale leasebacks</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642,338</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642,338</w:t>
            </w: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89,329</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10,250</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72,718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1,468,447</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1,090,535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371,551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 prepares its Consolidated Financial Statements in accordance with the IFRS issued by the International Accounting Standards Board (“</w:t>
      </w:r>
      <w:r>
        <w:rPr>
          <w:rFonts w:ascii="Times New Roman" w:cs="Times New Roman" w:eastAsia="Times New Roman" w:hAnsi="Times New Roman"/>
          <w:sz w:val="18"/>
          <w:szCs w:val="18"/>
          <w:i w:val="1"/>
          <w:iCs w:val="1"/>
          <w:color w:val="auto"/>
        </w:rPr>
        <w:t>IASB</w:t>
      </w:r>
      <w:r>
        <w:rPr>
          <w:rFonts w:ascii="Times New Roman" w:cs="Times New Roman" w:eastAsia="Times New Roman" w:hAnsi="Times New Roman"/>
          <w:sz w:val="18"/>
          <w:szCs w:val="18"/>
          <w:color w:val="auto"/>
        </w:rPr>
        <w:t>”). The preparation of our 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 assumptions, and judgments which may impact the comparability of Polestar’s Consolidated Financial Statements to those of other companies.</w:t>
      </w:r>
    </w:p>
    <w:p>
      <w:pPr>
        <w:spacing w:after="0" w:line="185" w:lineRule="exact"/>
        <w:rPr>
          <w:sz w:val="20"/>
          <w:szCs w:val="20"/>
          <w:color w:val="auto"/>
        </w:rPr>
      </w:pPr>
    </w:p>
    <w:p>
      <w:pPr>
        <w:ind w:left="120" w:right="380" w:firstLine="440"/>
        <w:spacing w:after="0" w:line="290" w:lineRule="auto"/>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Note 1—Significant accounting policies and judgements</w:t>
      </w:r>
      <w:r>
        <w:rPr>
          <w:rFonts w:ascii="Times New Roman" w:cs="Times New Roman" w:eastAsia="Times New Roman" w:hAnsi="Times New Roman"/>
          <w:sz w:val="17"/>
          <w:szCs w:val="17"/>
          <w:color w:val="auto"/>
        </w:rPr>
        <w:t>” 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 and that require significant, difficult, subjective, or complex judgements.</w:t>
      </w:r>
    </w:p>
    <w:p>
      <w:pPr>
        <w:spacing w:after="0" w:line="263"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i w:val="1"/>
          <w:iCs w:val="1"/>
          <w:color w:val="auto"/>
        </w:rPr>
        <w:t>Revenue recognition—determining the transaction price of performance obligations included with sales of vehicles and variable consideration for volume related discounts to fleet customers</w:t>
      </w:r>
    </w:p>
    <w:p>
      <w:pPr>
        <w:spacing w:after="0" w:line="5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Included with the sale of each Polestar vehicle are stand-ready obligations for the provision of certain services and maintenance (e.g., connected services and certified vehicle maintenance). Polestar utilizes an expected cost-plus margin approach for estimating the transaction price associated with these services as this is determined to be the most suitable method for estimating stand-alone selling price due to the materiality and the nature of the services. The residual amount of the transaction price is allocated to the performance obligation associated with the delivery of the vehicle because</w:t>
      </w:r>
    </w:p>
    <w:p>
      <w:pPr>
        <w:spacing w:after="0" w:line="3" w:lineRule="exact"/>
        <w:rPr>
          <w:sz w:val="20"/>
          <w:szCs w:val="20"/>
          <w:color w:val="auto"/>
        </w:rPr>
      </w:pPr>
    </w:p>
    <w:p>
      <w:pPr>
        <w:ind w:left="120" w:hanging="4"/>
        <w:spacing w:after="0" w:line="252"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 represents the most valuable component of the contract, (ii) Polestar’s vehicles are not sold on a stand-alone basis such that an established price exists separate from the Services and Maintenance and (iii) there is wide variation in market price among the limited competitors in this new space. The estimated transaction price allocated to each stand-ready obligation is recognized over time in accordance with the term of each service while the transaction price allocated to the delivery of the vehicle is recognized at a point in time on the delivery date. The majority of Polestar’s revenue recognized from the sale of vehicles during the year ended December 31, 2021 was related to transaction price allocated using the residual approach. Polestar has continued to evaluate and monitor the number of observable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also offers volume related discounts to fleet customers which impacts its estimation of the consideration it will be entitled to in exchange for the delivery of vehicles. Due to its lack of experience engaging with fleet customers and competitive pressures from more established original equipment vehicle manufacturers, Polestar utilizes the most-likely amount method for estimating volume related discounts instead of the expected value method. Polestar’s estimations under the most-likely amount method will improve as Polestar builds more relationships with fleet customers and gathers more reliable data over time.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Intangible assets—capitalizing internally developed intellectual property and determining the useful lives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 conducts various internal development programs for projects such as the Polestar Precept and the P10 electric propulsion system. Programs are divided into the concept 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 significant amount of estimation with regards to its future cash benefit expected to stem from such project.</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 pressures that influence technological advancements and obsolescence in the electric vehicle industry. The estimation of useful life ultimately impacts the amortization expense associated with intangible assets.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testing</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Polestar conducts routine evaluations of intangible assets and goodwill for evidence of impairment indicators. At least annually and when impairment indicators exist, Polestar conducts an impairment test at the cash generating unit level. The recoverable amount for cash generating units is established through a calculation of value in use under a discounted future cash flow model that uses significant estimations regarding future cash flows as seen in the 2022-2025 business plan, a terminal growth rate of 2.0% for cash flows through the next ten years, and an after-tax discount rate of 10.1%.</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of loss carry-forwards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recognition of deferred tax assets requires estimates to be made about the level of future taxable income and the timing of recovery of deferred tax assets. These estimates take into consideration forecasted taxable 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 they can be used.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Certain new accounting standards and interpretations have been issued by the IASB but are not yet effective for the December 31, 2021 reporting period and have not been early adopted by the Polestar Group. These standards are not expected to have a material impact on Polestar’s Consolidated Financial Statements in current or future reporting periods. Refer to “</w:t>
      </w:r>
      <w:r>
        <w:rPr>
          <w:rFonts w:ascii="Times New Roman" w:cs="Times New Roman" w:eastAsia="Times New Roman" w:hAnsi="Times New Roman"/>
          <w:sz w:val="18"/>
          <w:szCs w:val="18"/>
          <w:i w:val="1"/>
          <w:iCs w:val="1"/>
          <w:color w:val="auto"/>
        </w:rPr>
        <w:t>Note 1—Significant accounting policies and judgements</w:t>
      </w:r>
      <w:r>
        <w:rPr>
          <w:rFonts w:ascii="Times New Roman" w:cs="Times New Roman" w:eastAsia="Times New Roman" w:hAnsi="Times New Roman"/>
          <w:sz w:val="18"/>
          <w:szCs w:val="18"/>
          <w:color w:val="auto"/>
        </w:rPr>
        <w:t>” in the accompanying Consolidated Financial Statements for information on the new standards.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Polestar is exposed to certain market risks in the ordinary course of business. These risks primarily consist of foreign exchange risk, interest rate risk, credit risk, and liquidity risk. Refer to “</w:t>
      </w:r>
      <w:r>
        <w:rPr>
          <w:rFonts w:ascii="Times New Roman" w:cs="Times New Roman" w:eastAsia="Times New Roman" w:hAnsi="Times New Roman"/>
          <w:sz w:val="18"/>
          <w:szCs w:val="18"/>
          <w:i w:val="1"/>
          <w:iCs w:val="1"/>
          <w:color w:val="auto"/>
        </w:rPr>
        <w:t>Note 2—Financial risk management</w:t>
      </w:r>
      <w:r>
        <w:rPr>
          <w:rFonts w:ascii="Times New Roman" w:cs="Times New Roman" w:eastAsia="Times New Roman" w:hAnsi="Times New Roman"/>
          <w:sz w:val="18"/>
          <w:szCs w:val="18"/>
          <w:color w:val="auto"/>
        </w:rPr>
        <w:t>” in the accompanying Consolidated Financial Statements for detailed discussion of these risks and sensitivity analyses.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global nature of Polestar’s business exposes cash flows to risks arising from fluctuations in exchange rates. Relative changes in the currency rates have a direct impact on Polestar’s operating income, finance income, finance expense, Consolidated Statement of Financial Position and Consolidated Statement of Cash Flows. To mitigate the impact of currency exchange rate fluctuations for the business operations, Polestar continually assesses its exposure to exchange rate risks.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At each reporting date, assets and liabilities denominated in a foreign currency are translated to the functional currency using the closing exchange rate and items of income and expense are translated at the monthly average exchange rate. Such currency effect is recorded in the Consolidated Statement of Comprehensive Loss. Polestar is primarily exposed to currency translation risk from subsidiaries with functional currencies in SEK, the EUR and the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CNY/SEK, USD/SEK and EUR/SEK due to trade receivables, trade payables and short-term credit facilities.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Polestar’s main interest rate risk arises from short-term liabilities to credit institutions with variable rates, which exposes Polestar to cash flow interest rate risk. As of December 31, 2021 and 2020, the nominal amount of liabilities to credit institutions with floating interest rates was $642,338 and $363,490, respectively. Polestar closely monitors the effects of changes in the interest rates on its interest rate risk exposures, but Polestar currently does not take any measures to hedge interest rate risks. Interest rate risk associated with these loans is limited given their short-term duration.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will incur losses as a result of non-payment by counterparties related to Polestar’s bank accounts, bank deposits, derivative transactions,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other liquid assets. In order to minimize financial credit risk, Polestar has adopted a policy of dealing with only well-established international banks or 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2021, 2020 and 2019 were in the range of BBB to 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 default risk of customers. Polestar evaluates for concentrations of credit risk at the customer level based on the outstanding trade receivables balance of each respective customer account. As of December 31, 2021, an unrelated customer accounted for $23,031 (12.54%) of the Polestar Group’s total trade receivables (i.e., trade receivables plus trade receivables—related parties). As of December 31, 2020, Volvo Cars accounted for $194,503 (63.21%) of the Polestar Group’s total trade receivables and an unrelated customer accounted for $32,392 (10.53%). Refer to “</w:t>
      </w:r>
      <w:r>
        <w:rPr>
          <w:rFonts w:ascii="Times New Roman" w:cs="Times New Roman" w:eastAsia="Times New Roman" w:hAnsi="Times New Roman"/>
          <w:sz w:val="18"/>
          <w:szCs w:val="18"/>
          <w:i w:val="1"/>
          <w:iCs w:val="1"/>
          <w:color w:val="auto"/>
        </w:rPr>
        <w:t>Note 23—Related party transactions</w:t>
      </w:r>
      <w:r>
        <w:rPr>
          <w:rFonts w:ascii="Times New Roman" w:cs="Times New Roman" w:eastAsia="Times New Roman" w:hAnsi="Times New Roman"/>
          <w:sz w:val="18"/>
          <w:szCs w:val="18"/>
          <w:color w:val="auto"/>
        </w:rPr>
        <w:t>” in the accompanying Consolidated Financial Statements for more details on related parties. Historically, Polestar has not incurred any losses from these customers, and it does not have any contractual right to off-set its payables and receivables.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(i) end customers who pay up-front for vehicles, (ii) fleet customers,</w:t>
      </w:r>
    </w:p>
    <w:p>
      <w:pPr>
        <w:spacing w:after="0" w:line="27" w:lineRule="exact"/>
        <w:rPr>
          <w:sz w:val="20"/>
          <w:szCs w:val="20"/>
          <w:color w:val="auto"/>
        </w:rPr>
      </w:pPr>
    </w:p>
    <w:p>
      <w:pPr>
        <w:ind w:left="120" w:right="60" w:hanging="4"/>
        <w:spacing w:after="0" w:line="252" w:lineRule="auto"/>
        <w:tabs>
          <w:tab w:leader="none" w:pos="4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(iv) financial service providers. All credit risk related to sales to end customers who pay up-front for vehicles is eliminated due to the nature of the payment. To mitigate risk related to fleet customers, credit risk reviews are performed prior to entering into related sales agreements. Depending on the creditworthiness of its customers, Polestar may establish credit limits to reduce credit risks. Polestar sells vehicles to financial service providers, who then form separate contractual relationships with end customers. To reduce the risk related to such financial service providers, Polestar has selected a few credible financing providers in each market. Credit risk reviews, establishment of credit limits, and selection of credible financial service providers must be strictly followed and monitored, globally. The maximum amount exposed to credit risk is the carrying amount of trade receivables.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Liquidity risk is the risk that Polestar is unable to meet ongoing financial obligations on time. Polestar faces liquidity risk as all loans from financial institutions are short-term in nature, generally with a credit term of one year or less.</w:t>
      </w:r>
    </w:p>
    <w:p>
      <w:pPr>
        <w:spacing w:after="0" w:line="162"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Trade payables with related parties represent working capital arrangements under which Polestar’s liquidity needs are highly dependent on the continued flexible payment terms offered to Polestar by its related parties. These flexible payment terms are not a contractual right and may be called upon in the future. Refer to “</w:t>
      </w:r>
      <w:r>
        <w:rPr>
          <w:rFonts w:ascii="Times New Roman" w:cs="Times New Roman" w:eastAsia="Times New Roman" w:hAnsi="Times New Roman"/>
          <w:sz w:val="18"/>
          <w:szCs w:val="18"/>
          <w:i w:val="1"/>
          <w:iCs w:val="1"/>
          <w:color w:val="auto"/>
        </w:rPr>
        <w:t>Note 23—Related party transactions</w:t>
      </w:r>
      <w:r>
        <w:rPr>
          <w:rFonts w:ascii="Times New Roman" w:cs="Times New Roman" w:eastAsia="Times New Roman" w:hAnsi="Times New Roman"/>
          <w:sz w:val="18"/>
          <w:szCs w:val="18"/>
          <w:color w:val="auto"/>
        </w:rPr>
        <w:t>” in the accompanying Consolidated Financial Statements for additional information on these arrangements.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Polestar needs to have adequate cash and highly liquid assets on hand to ensure it can meet its short-term financing obligations and other working capital needs. Polestar manages its liquidity by holding adequate volumes of liquid assets such as cash, cash equivalents and accounts receivable, by maintaining credit facilities in addition to the cash inflows generated by its business operations, and through capital contributions from private equity investors.</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Polestar held cash and cash equivalents of $756,677 and $316,424, respectively, that were available for managing liquidity risk. Polestar entered into short-term financing arrangements with credit institutions to enhance short term liquidity and financing needs. Refer to “</w:t>
      </w:r>
      <w:r>
        <w:rPr>
          <w:rFonts w:ascii="Times New Roman" w:cs="Times New Roman" w:eastAsia="Times New Roman" w:hAnsi="Times New Roman"/>
          <w:sz w:val="18"/>
          <w:szCs w:val="18"/>
          <w:i w:val="1"/>
          <w:iCs w:val="1"/>
          <w:color w:val="auto"/>
        </w:rPr>
        <w:t>Note 21—</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Liabilities to credit institutions</w:t>
      </w:r>
      <w:r>
        <w:rPr>
          <w:rFonts w:ascii="Times New Roman" w:cs="Times New Roman" w:eastAsia="Times New Roman" w:hAnsi="Times New Roman"/>
          <w:sz w:val="18"/>
          <w:szCs w:val="18"/>
          <w:color w:val="auto"/>
        </w:rPr>
        <w:t>” in the accompanying Consolidated Financial Statements for further details on short-term borrowings. Polestar’s short-term and mid-term liquidity management takes into account the maturities of financial assets and financial liabilities and estimates of cash flows from business operations.</w:t>
      </w:r>
    </w:p>
    <w:p>
      <w:pPr>
        <w:spacing w:after="0" w:line="1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Polestar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private company, Polestar is not required to evaluate internal control over financial reporting in a manner that meets the standards of publicly traded companies required by Section 404(a) of the Sarbanes-Oxley Act, or Section 404. As a result of becoming a public company, Polestar will be required, pursuant to Section 404, to furnish a report by our management on, among other things, the effectiveness of our internal control over financial reporting for its annual report on Form 20-F. This assessment will need to include disclosures of any material weaknesses identified by Polestar’s management in its internal control over financial reporting.</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Polestar’s Consolidated Financial Statements for the years ended December 31, 2021 and 2020, Polestar identified material weaknesses in its internal control over financial reporting.</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2020, Polestar’s management determined Polestar did not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management determined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model Polestar 4.</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and control activities resulted in adjustments to certain accounts and disclosures. The deficiencies associated with the IT environment and lack of SEC technical accounting expertise did not result in any material adjustments to Polestar’s Consolidated Financial Statements; however, such deficiencies could result in misstatements potentially impacting financial statement accounts and disclosures that would not be prevented or detected in a timely manner. The deficiency related to revenue recognition in accordance with agreements with customers resulted in material adjustments that were corrected prior to the issuance of Polestar’s Consolidated Financial Statements for the year ended December 31, 2021. Lastly, the deficiency related to the proper recognition period of an intangible asset resulted in a material adjustment to the Consolidated Statement of Financial Position that was corrected prior to the issuance of Polestar’s Consolidated Financial Statements for the year ended December 31, 2021.</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5"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Polestar is in the process of designing and implementing measures to improve its control environment and internal control over financial reporting. To remediate these material weaknesses, Polestar has taken and plans to take the following actions:</w:t>
      </w:r>
    </w:p>
    <w:p>
      <w:pPr>
        <w:spacing w:after="0" w:line="67" w:lineRule="exact"/>
        <w:rPr>
          <w:sz w:val="20"/>
          <w:szCs w:val="20"/>
          <w:color w:val="auto"/>
        </w:rPr>
      </w:pPr>
    </w:p>
    <w:p>
      <w:pPr>
        <w:ind w:left="1080" w:right="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hiring additional accounting and finance resources with appropriate technical accounting and reporting experience to execute key controls related to various financial reporting processes;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document, evaluate, remediate, and test internal controls over financial reporting, including those that operate at a sufficient level of precision and frequency or that evidence the performance of the control;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and its independent registered public accounting firm were not required to, and did not, perform an evaluation of Polestar’s internal controls over financial reporting as of December 31, 2021 or any prior period in accordance with the provisions of the Sarbanes-Oxley Act. Accordingly, Polestar cannot assure that it has identified all, or that it will not in the future have additional, material weaknesses. Material weaknesses may still exist when the Company reports on the effectiveness of internal controls over financial reporting as required under Section 404 of the Sarbanes-Oxley Act after the completion of the Business Combination.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will monitor the effectiveness of internal control over financial reporting in the areas affected by the material weaknesses described above and will continue to perform additional procedures prescribed by management. Refer to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 on risks related to material weakness in Polestar’s internal controls.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Polestar Automotive Holding UK Limited was incorporated as a private company under the laws of England and Wales on September 15, 2021 as a direct wholly owned subsidiary of Parent. Polestar Automotive Holding UK Limited is registered as a USD company. As of December 31, 2021, Polestar Automotive Holding UK Limited had no operating activities and only nominal capitalization.</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Polestar Automotive Holding UK Limited was formed for the purpose of becoming the ultimate parent company in the Polestar Group following the transactions contemplated in the Business Combination Agreement by and among Polestar Automotive Holding UK Limited, Polestar Group and GGI. Merger Sub is Polestar Automotive Holding UK Limited’s only direct wholly owned subsidiary and was incorporated on September 15, 2021 to facilitate the consummation of the Business Combination Agreement. At December 31, 2021, Merger Sub had no assets, liabilities or operations.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Polestar Automotive Holding UK Limited re-registered as a public limited company under the laws of England and Wales with the name “Polestar Automotive Holding UK PLC.” Merger Sub merged with and into GGI, pursuant to which the separate corporate existence of Merger Sub ceased, with GGI being the surviving corporation and becoming a wholly owned subsidiary of the Company. Following the consummation of the transactions contemplated by the Business Combination Agreement, the Company became the surviving publicly-traded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had no operating activities.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cash or cash equivalents.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did not have any operating, investing, or financing cash flows.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Polestar Automotive Holding UK Limited had no contractual obligations and commitments outside of our related party transaction with Polestar Group. Refer to “</w:t>
      </w:r>
      <w:r>
        <w:rPr>
          <w:rFonts w:ascii="Times New Roman" w:cs="Times New Roman" w:eastAsia="Times New Roman" w:hAnsi="Times New Roman"/>
          <w:sz w:val="18"/>
          <w:szCs w:val="18"/>
          <w:i w:val="1"/>
          <w:iCs w:val="1"/>
          <w:color w:val="auto"/>
        </w:rPr>
        <w:t>Note 2—Related Party Transaction with Polestar Group</w:t>
      </w:r>
      <w:r>
        <w:rPr>
          <w:rFonts w:ascii="Times New Roman" w:cs="Times New Roman" w:eastAsia="Times New Roman" w:hAnsi="Times New Roman"/>
          <w:sz w:val="18"/>
          <w:szCs w:val="18"/>
          <w:color w:val="auto"/>
        </w:rPr>
        <w:t>” in the accompanying Consolidated Financial Statements for more detail.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does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prepare our Consolidated Financial Statements in accordance with the IFRS issued by IASB. Refer to “</w:t>
      </w:r>
      <w:r>
        <w:rPr>
          <w:rFonts w:ascii="Times New Roman" w:cs="Times New Roman" w:eastAsia="Times New Roman" w:hAnsi="Times New Roman"/>
          <w:sz w:val="18"/>
          <w:szCs w:val="18"/>
          <w:i w:val="1"/>
          <w:iCs w:val="1"/>
          <w:color w:val="auto"/>
        </w:rPr>
        <w:t>Note 1—Significant accounting</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accompanying Consolidated Financial Statements for discussion of the accounting policies applied by us. From inception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we did not have operating activities or become party to transactions requiring the application of significant, difficult, subjective,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complex accounting judgements.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material exposure to market risk.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directors and executive officers of Polestar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191"/>
        </w:trPr>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Håkan Samuelsson</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70</w:t>
            </w:r>
          </w:p>
        </w:tc>
        <w:tc>
          <w:tcPr>
            <w:tcW w:w="20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(Chairman)</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James Rowan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Thomas Ingenlath </w:t>
      </w:r>
      <w:r>
        <w:rPr>
          <w:rFonts w:ascii="Times New Roman" w:cs="Times New Roman" w:eastAsia="Times New Roman" w:hAnsi="Times New Roman"/>
          <w:sz w:val="18"/>
          <w:szCs w:val="18"/>
          <w:color w:val="auto"/>
        </w:rPr>
        <w:t>joined Polestar as its Chief Executive Officer in July 2017 from Volvo Cars, where he served as the Senior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from July 2012. Mr. Ingenlath is also a member of the Board since</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April 2022. Prior to joining Polestar, he held various design management roles at Škoda Auto from December 1999 to December 2005 and the Volkswagen Group from January 2006 to December 2011. 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Ingenlath is qualified to serve on the Board based on his significant executive experience at Polestar and in the automobile industry.</w:t>
      </w:r>
    </w:p>
    <w:p>
      <w:pPr>
        <w:spacing w:after="0" w:line="158"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Johan Malmqvist </w:t>
      </w:r>
      <w:r>
        <w:rPr>
          <w:rFonts w:ascii="Times New Roman" w:cs="Times New Roman" w:eastAsia="Times New Roman" w:hAnsi="Times New Roman"/>
          <w:sz w:val="18"/>
          <w:szCs w:val="18"/>
          <w:color w:val="auto"/>
        </w:rPr>
        <w:t>joined Polestar as its Chief Financial Officer in September 2021 from Dole Food Company, where he served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specialization in Finance.</w:t>
      </w:r>
    </w:p>
    <w:p>
      <w:pPr>
        <w:spacing w:after="0" w:line="17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Dennis Nobelius </w:t>
      </w:r>
      <w:r>
        <w:rPr>
          <w:rFonts w:ascii="Times New Roman" w:cs="Times New Roman" w:eastAsia="Times New Roman" w:hAnsi="Times New Roman"/>
          <w:sz w:val="17"/>
          <w:szCs w:val="17"/>
          <w:color w:val="auto"/>
        </w:rPr>
        <w:t>joined Polestar as Chief Operating Officer in September 2020. Since June 2021, Mr. Nobelius also serves on the Advisory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w:t>
      </w:r>
    </w:p>
    <w:p>
      <w:pPr>
        <w:spacing w:after="0" w:line="1" w:lineRule="exact"/>
        <w:rPr>
          <w:sz w:val="20"/>
          <w:szCs w:val="20"/>
          <w:color w:val="auto"/>
        </w:rPr>
      </w:pPr>
    </w:p>
    <w:p>
      <w:pPr>
        <w:ind w:left="120" w:right="1000"/>
        <w:spacing w:after="0" w:line="260" w:lineRule="auto"/>
        <w:rPr>
          <w:sz w:val="20"/>
          <w:szCs w:val="20"/>
          <w:color w:val="auto"/>
        </w:rPr>
      </w:pPr>
      <w:r>
        <w:rPr>
          <w:rFonts w:ascii="Times New Roman" w:cs="Times New Roman" w:eastAsia="Times New Roman" w:hAnsi="Times New Roman"/>
          <w:sz w:val="18"/>
          <w:szCs w:val="18"/>
          <w:color w:val="auto"/>
        </w:rPr>
        <w:t>for the start-up Expoplanet from May 2000 to September 2001. Mr. Nobelius holds a Ph.D. in R&amp;D Management and an MSc in Industrial Engineering &amp; Management from Chalmers University of Technology.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5"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Håkan Samuelsson </w:t>
      </w:r>
      <w:r>
        <w:rPr>
          <w:rFonts w:ascii="Times New Roman" w:cs="Times New Roman" w:eastAsia="Times New Roman" w:hAnsi="Times New Roman"/>
          <w:sz w:val="17"/>
          <w:szCs w:val="17"/>
          <w:color w:val="auto"/>
        </w:rPr>
        <w:t>has served as Chairman of the Board since June 2022 and joined the Parent Board in May 2020. Mr. Samuelsson also served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also serves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w:t>
      </w:r>
    </w:p>
    <w:p>
      <w:pPr>
        <w:spacing w:after="0" w:line="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Samuelsson was a director at AB Volvo from April 2016 to May 2018, a director at China-Euro Vehicle Technology Aktiebolag from May 2013 to March 2019, a director at Zenuity AB from May 2017 to July 2018, a director at Lynk &amp; Co Europe AB from November 2018 to September 2020. Mr. Samuelsson holds a Master of Science Degree in Mechanical Engineering from KTH Royal Institute of Technology, Sweden.</w:t>
      </w:r>
    </w:p>
    <w:p>
      <w:pPr>
        <w:spacing w:after="0" w:line="18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Samuelsson is qualified to serve on the Board based on his significant executive experience in the automotive sector.</w:t>
      </w:r>
    </w:p>
    <w:p>
      <w:pPr>
        <w:spacing w:after="0" w:line="158" w:lineRule="exact"/>
        <w:rPr>
          <w:sz w:val="20"/>
          <w:szCs w:val="20"/>
          <w:color w:val="auto"/>
        </w:rPr>
      </w:pPr>
    </w:p>
    <w:p>
      <w:pPr>
        <w:jc w:val="both"/>
        <w:ind w:left="120" w:right="3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Carla De Geyseleer </w:t>
      </w:r>
      <w:r>
        <w:rPr>
          <w:rFonts w:ascii="Times New Roman" w:cs="Times New Roman" w:eastAsia="Times New Roman" w:hAnsi="Times New Roman"/>
          <w:sz w:val="17"/>
          <w:szCs w:val="17"/>
          <w:color w:val="auto"/>
        </w:rPr>
        <w:t>has served on the Board since June 2022 and joined the Parent Board in September 2020. Ms. De Geyseleer served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 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specialization in Accounting, and an Executive MBA from the Institute for Management Development in Lausanne, Switzerland.</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De Geyseleer is qualified to serve on the Board based on her significant experience as a financial executive of publicly listed companies and her experience in the automotive sector.</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Karen C. Francis </w:t>
      </w:r>
      <w:r>
        <w:rPr>
          <w:rFonts w:ascii="Times New Roman" w:cs="Times New Roman" w:eastAsia="Times New Roman" w:hAnsi="Times New Roman"/>
          <w:sz w:val="18"/>
          <w:szCs w:val="18"/>
          <w:color w:val="auto"/>
        </w:rPr>
        <w:t>has served on the Board since June 2022. Ms. Francis has served as the Chair of the board of directors of Vontier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since December 2020. Ms. Francis also currently serves on the Audit and Compensation Committees at TuSimple Holdings Inc.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 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w:t>
      </w:r>
    </w:p>
    <w:p>
      <w:pPr>
        <w:spacing w:after="0" w:line="19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Francis is qualified to serve on the Board based on her significant experience in the automotive sector, her knowledge in corporate governance and her track record of successfully building companies and businesses across multiple industries.</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Donghui (Daniel) Li (“Daniel Li”) </w:t>
      </w:r>
      <w:r>
        <w:rPr>
          <w:rFonts w:ascii="Times New Roman" w:cs="Times New Roman" w:eastAsia="Times New Roman" w:hAnsi="Times New Roman"/>
          <w:sz w:val="18"/>
          <w:szCs w:val="18"/>
          <w:color w:val="auto"/>
        </w:rPr>
        <w:t>has served on the Board since June 2022 and joined the Parent Board in May 2020. Mr. Li serves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has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Li is qualified to serve on the Board based on his significant executive experience in the automotive sector and his experience in operational management in China.</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Karl-Thomas Neumann </w:t>
      </w:r>
      <w:r>
        <w:rPr>
          <w:rFonts w:ascii="Times New Roman" w:cs="Times New Roman" w:eastAsia="Times New Roman" w:hAnsi="Times New Roman"/>
          <w:sz w:val="18"/>
          <w:szCs w:val="18"/>
          <w:color w:val="auto"/>
        </w:rPr>
        <w:t>has served on the Board since June 2022. Dr. Neumann joined the Parent Board in February 2022. Dr. Neumann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Dr. Neumann is qualified to serve on the Board based on his significant executive experience in the automotive sector.</w:t>
      </w:r>
    </w:p>
    <w:p>
      <w:pPr>
        <w:spacing w:after="0" w:line="2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Richter </w:t>
      </w:r>
      <w:r>
        <w:rPr>
          <w:rFonts w:ascii="Times New Roman" w:cs="Times New Roman" w:eastAsia="Times New Roman" w:hAnsi="Times New Roman"/>
          <w:sz w:val="18"/>
          <w:szCs w:val="18"/>
          <w:color w:val="auto"/>
        </w:rPr>
        <w:t>has served on the Board since June 2022 and joined the Parent Board in May 2020. Mr. Richter has wide experience at high-growth technology companies, including leading business development, corporate development, legal, finance and product teams. Mr. Richter is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Richter is qualified to serve on the Board based on his significant experience in the fast-moving shared mobility industry and as a business development and start-up executive.</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James Rowan (“Jim Rowan”) </w:t>
      </w:r>
      <w:r>
        <w:rPr>
          <w:rFonts w:ascii="Times New Roman" w:cs="Times New Roman" w:eastAsia="Times New Roman" w:hAnsi="Times New Roman"/>
          <w:sz w:val="18"/>
          <w:szCs w:val="18"/>
          <w:color w:val="auto"/>
        </w:rPr>
        <w:t>has served on the Board since June 2022. Mr. Rowan joined Volvo Cars as its new 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Flex from February 1998 to January 2005. Mr. Rowan also serves as a member of the Shareholders’ Committee of Henkel AG since April 2021. Mr Rowan was a senior advisor to the global investment firm KKR &amp; Co. Inc. (NYSE: KKR) between November 2020 and February 2022. He has also been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Mr. Rowan is qualified to serve on the Board based on his significant global experience as a technology executive.</w:t>
      </w:r>
    </w:p>
    <w:p>
      <w:pPr>
        <w:spacing w:after="0" w:line="2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Zhe (David) Wei (“David Wei”) </w:t>
      </w:r>
      <w:r>
        <w:rPr>
          <w:rFonts w:ascii="Times New Roman" w:cs="Times New Roman" w:eastAsia="Times New Roman" w:hAnsi="Times New Roman"/>
          <w:sz w:val="18"/>
          <w:szCs w:val="18"/>
          <w:color w:val="auto"/>
        </w:rPr>
        <w:t>has served on the Board since June 2022. Mr. Wei has over 20 years of experience in both investment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to a non-executive director of PCCW in May 2012. Mr. Wei also serves as a director of Zall Smart Commerce Group Ltd. (HKSE: 02098) since April 2016 and as a director at JNBY Design Limited (HKSE: 03306) since June 2013. Mr. Wei was a director of Informa PLC (LON: INF) from June 2018 to May 2019, a director of Zhong 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w:t>
      </w:r>
    </w:p>
    <w:p>
      <w:pPr>
        <w:spacing w:after="0" w:line="187"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Wei is qualified to serve on the Board based on his significant experience in investment and operational management in China.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Historical Executive Officer and 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Compensation of Polestar’s Key Management and Directors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was formed on September 15, 2021 and did not have any key management or directors prior to Closing. The aggregate amount of compensation, including cash, equity awards and other benefits, the Company’s executive officers (Thomas Ingenlath, Johan Malmqvist and Dennis Nobelius) received from Polestar for the year ended December 31, 2021 was approximately $2,308,209. The total compensation paid to Polestar’s executive officers in fiscal year 2021 consisted solely of base salary, short-term variable pay, and the value of pension benefits and other employee benefits, including, for eligible participants, variable pay pursuant to Polestar’s cash incentive programs (as described below).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Programs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Bonus Program</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employees of Polestar, including each of the Company’s executive officers, participate in the Polestar Bonus Program, a short-term cash incentive program, which is approved by the Board annually. Under the Polestar Bonus Program, employees are eligible to receive an annual cash bonus based on global Polestar key performance indicators (“KPIs”) applicable for all markets and all employees. At the end of the applicable performance period, the Board determines the achievement of the relevant performance metrics.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2021, the Polestar Bonus Program was based on the following KPIs: (i) operational growth and retail deliveries volume;</w:t>
      </w:r>
    </w:p>
    <w:p>
      <w:pPr>
        <w:spacing w:after="0" w:line="27" w:lineRule="exact"/>
        <w:rPr>
          <w:sz w:val="20"/>
          <w:szCs w:val="20"/>
          <w:color w:val="auto"/>
        </w:rPr>
      </w:pPr>
    </w:p>
    <w:p>
      <w:pPr>
        <w:ind w:left="120" w:right="60" w:hanging="4"/>
        <w:spacing w:after="0" w:line="253" w:lineRule="auto"/>
        <w:tabs>
          <w:tab w:leader="none" w:pos="3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growth; (iii) customer experience; and (iv) implementation of the Company’s sustainability action plans on all department levels. After the conclusion of the fiscal year 2021 performance period on December 31, 2021, the Board determined that the KPIs were achieved at 130% of target levels (in the case of the operational growth and retail deliveries volume and financial growth metrics, based on achievement of the objective performance goals) for fiscal year 2021, resulting in a payout equal to 130% of target bonus levels.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LTVP Program</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Polestar Long Term Variable Pay Program (“</w:t>
      </w:r>
      <w:r>
        <w:rPr>
          <w:rFonts w:ascii="Times New Roman" w:cs="Times New Roman" w:eastAsia="Times New Roman" w:hAnsi="Times New Roman"/>
          <w:sz w:val="18"/>
          <w:szCs w:val="18"/>
          <w:i w:val="1"/>
          <w:iCs w:val="1"/>
          <w:color w:val="auto"/>
        </w:rPr>
        <w:t>LTVP Program</w:t>
      </w:r>
      <w:r>
        <w:rPr>
          <w:rFonts w:ascii="Times New Roman" w:cs="Times New Roman" w:eastAsia="Times New Roman" w:hAnsi="Times New Roman"/>
          <w:sz w:val="18"/>
          <w:szCs w:val="18"/>
          <w:color w:val="auto"/>
        </w:rPr>
        <w:t>”)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Awards under the LTVP Program are paid based on achievement of performance conditions and the market value of Volvo Car Group at the end of a three-year performance period. For fiscal year 2021, performance conditions under the LTVP Program were based on (i) value creation, as measured by an independent third-party valuation, and (ii) Volvo Cars Group performance, measured based on average three-year Operating Margin and average three-year Revenue Growth.</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Agreements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Nobelius and Mr. Malmqvist are entitled to health care insurance at the expense of Polestar, and Mr. Malmqvist is also entitled to relocation support in connection with their relocation to Sweden, with company-paid housing costs for three months and housing cost support for an additional nine months.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Messrs. Ingenlath, Malmqvist and Nobelius are each subject to restrictive covenants under their employment agreements relating to assignment of intellectual property and confidentiality. In addition, Mr. Ingenlath is subject to restrictive covenants relating to non-competition, non-solicitation of customers and non-solicitation and non-hire of employees during the term of his employment. In the event Mr. Ingenlath breaches any restrictive covenant under his employment agreement, he may owe liquidated damages to Polestar in respect of each such breach in an amount equal to six times his average monthly gross salary.</w:t>
      </w:r>
    </w:p>
    <w:p>
      <w:pPr>
        <w:spacing w:after="0" w:line="183"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Messrs. Ingenlath and Malmqvist’s employments may be terminated by Polestar subject to 12 months’ notice and be terminated by the executive subject to six months’ notice. In the event of termination of employment by Polestar, Messrs. Ingenlath and Malmqvist are each entitled to severance pay equal to 12 times monthly base salary, payable in installments. Mr. Nobelius’s employment may be terminated according to the notice periods stipulated under the applicable collective bargaining agreement. Mr. Nobelius is not entitled to severance pursuant to his employment agreement.</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and Retirement Benefits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Messrs. Malmqvist and Nobelius are covered by the defined contribution pension plan (ITP 1) as per the Swedish collectively agreed “Avtal om ITP och TGL,” and the VFF pension (Volvo Företagspension), a defined contribution pension scheme.</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Mr. Ingenlath is covered by the defined benefit pension plan (ITP 2) as per the Swedish collectively agreed “Avtal om ITP och TGL” and the Volvo Management Pension (VMP), a supplementary pension plan.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For 2020, Polestar did not have access to the information to report its proportionate share of the plan’s obligations, assets under management and cost that would make it possible to report this plan as a defined benefit plan, so it is recorded as a defined contribution plan. Polestar paid premiums of about TUSD 3.340 to Alecta in 2021. Polestar’s share of the total saving premiums for the ITP pension plan in Alecta as of December 31, 2021 amounted to 0.13056 (0.05375) per cent and Polestar’s share of the total number of active policy holders amounted to 0.04485 (0.02605)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2021, the consolidation level amounts to 171 per cent.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Compensation of Non-Employee Directors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Polestar has established a compensation program for its non-employee directors. Directors who are employed or otherwise remunerated by Volvo Cars or Geely do not receive any compensation for their services as directors.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aggregate amount of Polestar’s non-employee directors’ compensation paid to or earned by such directors for service on the Polestar Board was approximately $153,881,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after the Business Combination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entered into to be party 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each non-employee directors is eligible to receive. The Company is also expected to agree to reimburse each non-employee director for reasonable and properly documented expenses they incur in connection with their service as a non-employee director.</w:t>
      </w:r>
    </w:p>
    <w:p>
      <w:pPr>
        <w:spacing w:after="0" w:line="18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 determinations regarding the compensation arrangements that will govern following the Closing for executive officers have been made at this point and current compensation arrangements will remain in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Closing, the Company adopted the Equity Plan and the Employee Stock Purchase Plan (each, as defined and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Plan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Closing, the Company adopted the Polestar Automotive Holding UK PLC 2022 Omnibus Incentive Plan (the “</w:t>
      </w:r>
      <w:r>
        <w:rPr>
          <w:rFonts w:ascii="Times New Roman" w:cs="Times New Roman" w:eastAsia="Times New Roman" w:hAnsi="Times New Roman"/>
          <w:sz w:val="18"/>
          <w:szCs w:val="18"/>
          <w:i w:val="1"/>
          <w:iCs w:val="1"/>
          <w:color w:val="auto"/>
        </w:rPr>
        <w:t>Equity Plan</w:t>
      </w:r>
      <w:r>
        <w:rPr>
          <w:rFonts w:ascii="Times New Roman" w:cs="Times New Roman" w:eastAsia="Times New Roman" w:hAnsi="Times New Roman"/>
          <w:sz w:val="18"/>
          <w:szCs w:val="18"/>
          <w:color w:val="auto"/>
        </w:rPr>
        <w:t>”), pursuant to which employees of the Company and the Company’s affiliates performing services for the Company, including the Company’s executive officers, will be eligible to receive awards. The Equity Plan provides for the grant of stock options (in the form of either non-qualified stock options (“</w:t>
      </w:r>
      <w:r>
        <w:rPr>
          <w:rFonts w:ascii="Times New Roman" w:cs="Times New Roman" w:eastAsia="Times New Roman" w:hAnsi="Times New Roman"/>
          <w:sz w:val="18"/>
          <w:szCs w:val="18"/>
          <w:i w:val="1"/>
          <w:iCs w:val="1"/>
          <w:color w:val="auto"/>
        </w:rPr>
        <w:t>NSOs</w:t>
      </w:r>
      <w:r>
        <w:rPr>
          <w:rFonts w:ascii="Times New Roman" w:cs="Times New Roman" w:eastAsia="Times New Roman" w:hAnsi="Times New Roman"/>
          <w:sz w:val="18"/>
          <w:szCs w:val="18"/>
          <w:color w:val="auto"/>
        </w:rPr>
        <w:t>”) or incentive stock options (“</w:t>
      </w:r>
      <w:r>
        <w:rPr>
          <w:rFonts w:ascii="Times New Roman" w:cs="Times New Roman" w:eastAsia="Times New Roman" w:hAnsi="Times New Roman"/>
          <w:sz w:val="18"/>
          <w:szCs w:val="18"/>
          <w:i w:val="1"/>
          <w:iCs w:val="1"/>
          <w:color w:val="auto"/>
        </w:rPr>
        <w:t>ISOs</w:t>
      </w:r>
      <w:r>
        <w:rPr>
          <w:rFonts w:ascii="Times New Roman" w:cs="Times New Roman" w:eastAsia="Times New Roman" w:hAnsi="Times New Roman"/>
          <w:sz w:val="18"/>
          <w:szCs w:val="18"/>
          <w:color w:val="auto"/>
        </w:rPr>
        <w:t>”)),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w:t>
      </w:r>
    </w:p>
    <w:p>
      <w:pPr>
        <w:spacing w:after="0" w:line="18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Equity Plan is qualified in its entirety by reference to the Equity Plan, a copy of which is filed as an exhibit to this Report.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Securities Offered</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Subject to adjustment in the event of certain transactions or changes of capitalization in accordance with the Equity Plan, a total of 10,000,000 shares of Class A ADSs (or Class A Shares, as the context may require) have been initially reserved for issuance pursuant to awards under the Equity Plan. The total number of shares reserved for issuance under the Equity Plan will be increased on January 1 of each calendar year during the term of the Equity Plan, by the lesser of (i) 0.5% of the total number of Shares outstanding on each December 31 immediately prior to the date of increase or</w:t>
      </w:r>
    </w:p>
    <w:p>
      <w:pPr>
        <w:spacing w:after="0" w:line="3" w:lineRule="exact"/>
        <w:rPr>
          <w:sz w:val="20"/>
          <w:szCs w:val="20"/>
          <w:color w:val="auto"/>
        </w:rPr>
      </w:pPr>
    </w:p>
    <w:p>
      <w:pPr>
        <w:ind w:left="120" w:right="80" w:hanging="4"/>
        <w:spacing w:after="0" w:line="252" w:lineRule="auto"/>
        <w:tabs>
          <w:tab w:leader="none" w:pos="3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Equity Plan is administered by a committee of the Board that has been authorized to administer the Equity Plan, except if no such committee is authorized by the Board, the Board will administer the Equity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applicable, the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Employees of the Company and its affiliates are eligible to receive awards under the Equity Plan. Consultants and non-employee directors of the Company and its affiliates may receive awards granted under the Annex.</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Company may grant options to the Company’s employees and employees of its affiliates, except that ISOs may only be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w:t>
      </w:r>
    </w:p>
    <w:p>
      <w:pPr>
        <w:spacing w:after="0" w:line="18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A SAR is the right to receive an amount (payable in Class A ADSs) equal to the excess of the fair market value of one Class A ADS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 grant of Class A ADSs subject to the restrictions on transferability and risk of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has the discretion to determine the terms and conditions that the participant will be entitled to dividends payable on the shares of restricted stock.</w:t>
      </w:r>
    </w:p>
    <w:p>
      <w:pPr>
        <w:spacing w:after="0" w:line="183"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RSU is a right to receive Class A ADSs at the end of a specified period equal to the fair market value of one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w:t>
      </w:r>
    </w:p>
    <w:p>
      <w:pPr>
        <w:spacing w:after="0" w:line="182"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A performance award is an award that vests and/or becomes exercisable or distributable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 during a specified performance period, as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established by the Committee. Performance awards may be granted alone or in addition to other awards under the Equity Plan, and will be settled in Class A ADSs.</w:t>
      </w:r>
    </w:p>
    <w:p>
      <w:pPr>
        <w:spacing w:after="0" w:line="160"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Other share-based awards are awards denominated and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or related to, the value of Class A ADSs.</w:t>
      </w:r>
    </w:p>
    <w:p>
      <w:pPr>
        <w:spacing w:after="0" w:line="15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Awards. </w:t>
      </w:r>
      <w:r>
        <w:rPr>
          <w:rFonts w:ascii="Times New Roman" w:cs="Times New Roman" w:eastAsia="Times New Roman" w:hAnsi="Times New Roman"/>
          <w:sz w:val="18"/>
          <w:szCs w:val="18"/>
          <w:color w:val="auto"/>
        </w:rPr>
        <w:t>Under the Annex to the Equity Plan, cash awards may be granted on a free-standing basis or as an element of, a supplement to,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of any other award. SARs, RSUs and performance awards that may be settled in cash may be granted under the Annex to the Equity Plan.</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 Awards. </w:t>
      </w:r>
      <w:r>
        <w:rPr>
          <w:rFonts w:ascii="Times New Roman" w:cs="Times New Roman" w:eastAsia="Times New Roman" w:hAnsi="Times New Roman"/>
          <w:sz w:val="18"/>
          <w:szCs w:val="18"/>
          <w:color w:val="auto"/>
        </w:rPr>
        <w:t>Awards may be granted under the Equity Plan in substitution for similar awards held for individuals who become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merger, consolidation or acquisition of another entity by or with the Company or one of its affiliates.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awards granted under the Equity Plan are subject to reduction, cancelation or recoupment under any written clawback policy that the Company may adopt and that the Company determines should apply to awards under the Equity Plan.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or the Committee may amend or terminate any award, award agreement or the Equity Plan at any time, provided that the rights of a participant granted an award prior to such amendment or termination may not 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principal United States federal income tax consequences related to awards under the Equity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If an optionee is granted an NSO under the Equity Plan, the optionee should not have taxable income on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Generally, the optionee should recognize ordinary income at the time of exercise in an amount equal to the fair market value of the shares acquired on the date of exercise, less the exercise price paid for the shares. The optionee’s basis in the Class A ADSs for purposes of determining gain or loss on a subsequent sale or disposition of such shares generally will be the fair market value of the Class A ADSs on the date the optionee exercises such option. Any subsequent gain or loss will be taxable as a long-term or short-term capital gain or loss. The Company or its subsidiaries or affiliates generally should be entitled to a federal income tax deduction at the time and for the same amount as the optionee recognizes ordinary income.</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receiving ISOs should not recognize taxable income upon grant. Additionally, if applicable holding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are met, the participant should not recognize taxable income at the time of exercise. However, the excess of the fair market value of the shares of Class A ADSs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the Company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The Company or its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current federal income tax consequences of other awards authorized under the Equity Plan generally follow certain basic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The Company or its subsidiaries or affiliates generally should be entitled to a federal income tax deduction at the time and for the same amount as the award recipient recognizes ordinary income.</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Section 409A of the Code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types of awards under the Equity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Equity Plan and awards granted under the Equity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Equity Plan and applicable award agreements may be amended to further comply with Section 409A of the Code or to exempt the applicable awards from Section 409A of the Code.</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EQUITY PLAN. AMONG OTHER ITEMS THIS DISCUSSION DOES NOT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19"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The Company adopted the Polestar Automotive Holding UK PLC 2022 Employee Stock Purchase Plan (the “</w:t>
      </w: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The following is a summary of the material features of the Employee Stock Purchase Plan. This summary is qualified in its entirety by reference to the complete text of the Employee Stock Purchase Plan, a copy of which is filed as an exhibit to this Report.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Purpose of the Employee Stock Purchase Plan</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Employee Stock Purchase Plan is to provide the Company’s employees and employees of the Company’s participating subsidiaries with the opportunity to purchase Class A ADSs (or Class A Shares, as the context may require) through accumulated payroll deductions during successive offering periods.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will be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Eligible employees become participants in the Employee Stock Purchase Plan by enrolling and authorizing payroll deductions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total of 2,000,000 Class A ADSs are reserved for issuance under the Employee Stock Purchase Plan, which reserve amount will be increased on the first day of each fiscal year during the term of the Employee Stock Purchase Plan following the fiscal year in which the effective date of the Employee Stock Purchase Plan occurs by the lesser of (i) 0.1% of the total number of shares of Company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The Company cannot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Participating in an Offering</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Periods. </w:t>
      </w:r>
      <w:r>
        <w:rPr>
          <w:rFonts w:ascii="Times New Roman" w:cs="Times New Roman" w:eastAsia="Times New Roman" w:hAnsi="Times New Roman"/>
          <w:sz w:val="18"/>
          <w:szCs w:val="18"/>
          <w:color w:val="auto"/>
        </w:rPr>
        <w:t>Class A ADSs are offered to eligible employees under the Employee Stock Purchase Plan during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Offering periods under the Employee Stock Purchase Plan commence when determined by the administrator. The length of an offering period under the Employee Stock Purchase Plan is determined by the administrator and may be up to 27 months long. Employee payroll deductions are used to purchase Class A ADSs on the exercise date of an offering period. The exercise date for each offering period is the final trading day in the offering period. The administrator may, in its discretion, modify the terms of future offering periods.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Enrollment and Contributions</w:t>
      </w:r>
      <w:r>
        <w:rPr>
          <w:rFonts w:ascii="Times New Roman" w:cs="Times New Roman" w:eastAsia="Times New Roman" w:hAnsi="Times New Roman"/>
          <w:sz w:val="18"/>
          <w:szCs w:val="18"/>
          <w:color w:val="auto"/>
        </w:rPr>
        <w:t>. The Employee Stock Purchase Plan permits participants to purchase Class A ADSs through payroll deductions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 of their eligible compensation, but not more than 5% of their eligible compensation as of each payroll date during an offering period. The administrator will establish the maximum number of shares that may be purchased by a participant during any offering period. In addition, except as described below under “—</w:t>
      </w:r>
      <w:r>
        <w:rPr>
          <w:rFonts w:ascii="Times New Roman" w:cs="Times New Roman" w:eastAsia="Times New Roman" w:hAnsi="Times New Roman"/>
          <w:sz w:val="18"/>
          <w:szCs w:val="18"/>
          <w:i w:val="1"/>
          <w:iCs w:val="1"/>
          <w:color w:val="auto"/>
        </w:rPr>
        <w:t>Matching Shares</w:t>
      </w:r>
      <w:r>
        <w:rPr>
          <w:rFonts w:ascii="Times New Roman" w:cs="Times New Roman" w:eastAsia="Times New Roman" w:hAnsi="Times New Roman"/>
          <w:sz w:val="18"/>
          <w:szCs w:val="18"/>
          <w:color w:val="auto"/>
        </w:rPr>
        <w:t>,” no participant is permitted to accrue the right to purchase stock at a rate in excess of $25,000 worth of shares during any calendar year.</w:t>
      </w:r>
    </w:p>
    <w:p>
      <w:pPr>
        <w:spacing w:after="0" w:line="183"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Purchase Rights</w:t>
      </w:r>
      <w:r>
        <w:rPr>
          <w:rFonts w:ascii="Times New Roman" w:cs="Times New Roman" w:eastAsia="Times New Roman" w:hAnsi="Times New Roman"/>
          <w:sz w:val="18"/>
          <w:szCs w:val="18"/>
          <w:color w:val="auto"/>
        </w:rPr>
        <w:t>. On the first trading day of each offering period, each participant is automatically granted an option to purchase Class A ADSs.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expires on the last trading day of the applicable offering period and is exercised at that time to the extent of the payroll deductions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purchase price of the Class A ADSs under the Employee Stock Purchase Plan, in the absence of a contrary designation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Withdrawal and Termination of Employment</w:t>
      </w:r>
      <w:r>
        <w:rPr>
          <w:rFonts w:ascii="Times New Roman" w:cs="Times New Roman" w:eastAsia="Times New Roman" w:hAnsi="Times New Roman"/>
          <w:sz w:val="18"/>
          <w:szCs w:val="18"/>
          <w:color w:val="auto"/>
        </w:rPr>
        <w:t>. Participants may voluntarily end their participation in the Employee Stock Purchase Plan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 offering period prior to the end of the offering period by delivering written notice to the Company, and can elect to either (i) be paid their accrued payroll deductions that have not yet been used to purchase Class A ADSs or (ii) exercise their option at the end of the applicable offering period, and then be paid any remaining accrued payroll deductions. Participation in the Employee Stock Purchase Plan ends automatically upon a participant’s termination of employment and any remaining accrued payroll deductions in the participant’s account will be paid to such participant following such termination.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outstanding rights under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Employee Stock Purchase Plan. 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10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Matching Shares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countries outside of the United States and to provide benefits under the Employee Stock Purchase Plan to employees located in the United States in excess of the limitations under Section 423 of the Code. Subject to the administrator’s determination, eligible employees located within or outside the United States may elect to have an amount credited to their plan account (in the case of eligible employees located in the United States, which may be in excess of the $25,000 limitation under Section 423 of the Code), which amounts will be used to purchase Class A ADSs on the open market on such participant’s behalf (based on the full fair market value of such Class A ADSs). In addition, the administrator may, in its discretion, offer matching shares denominated in Class A ADSs on a quarterly basis to all eligible employees, in an amount equal to up to 100% of the number of Class A ADSs credited to the participant’s plan account prior to the last day of the applicable purchase period, provided that a participant may not receive an aggregate value of matching shares in respect of any calendar year in excess of 1% of the participant’s eligible compensation. To receive matching shares, the participant must (i) be an eligible employee on the date the matching shares are offered and (ii) retain the Class A ADSs purchased during the applicable quarter until the date following the one-year anniversary of the purchase with respect to which the matching shares are credited to the participant’s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participant may not transfer rights granted under the Employee Stock Purchase Plan other than by will or the laws of descent and distribution, and such rights are generally exercisable only by the participant.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may amend, suspend or terminate the Employee Stock Purchase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Employee Stock Purchase Plan to no longer be an “employee stock purchase plan” under Section 423(b) of the Code.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above under “—</w:t>
      </w:r>
      <w:r>
        <w:rPr>
          <w:rFonts w:ascii="Times New Roman" w:cs="Times New Roman" w:eastAsia="Times New Roman" w:hAnsi="Times New Roman"/>
          <w:sz w:val="18"/>
          <w:szCs w:val="18"/>
          <w:i w:val="1"/>
          <w:iCs w:val="1"/>
          <w:color w:val="auto"/>
        </w:rPr>
        <w:t>Matching Shares</w:t>
      </w:r>
      <w:r>
        <w:rPr>
          <w:rFonts w:ascii="Times New Roman" w:cs="Times New Roman" w:eastAsia="Times New Roman" w:hAnsi="Times New Roman"/>
          <w:sz w:val="18"/>
          <w:szCs w:val="18"/>
          <w:color w:val="auto"/>
        </w:rPr>
        <w:t>,”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the holding periods described above, or in the event a U.S. participant receives matching Class A ADSs as described above under “—</w:t>
      </w:r>
      <w:r>
        <w:rPr>
          <w:rFonts w:ascii="Times New Roman" w:cs="Times New Roman" w:eastAsia="Times New Roman" w:hAnsi="Times New Roman"/>
          <w:sz w:val="18"/>
          <w:szCs w:val="18"/>
          <w:i w:val="1"/>
          <w:iCs w:val="1"/>
          <w:color w:val="auto"/>
        </w:rPr>
        <w:t>Matching Shares</w:t>
      </w:r>
      <w:r>
        <w:rPr>
          <w:rFonts w:ascii="Times New Roman" w:cs="Times New Roman" w:eastAsia="Times New Roman" w:hAnsi="Times New Roman"/>
          <w:sz w:val="18"/>
          <w:szCs w:val="18"/>
          <w:color w:val="auto"/>
        </w:rPr>
        <w:t>,”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EMPLOYEE STOCK PURCHASE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Indemnification</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will also enter into indemnification agreements with its directors and officers, as well as members of Polestar Group’s senior management. These agreements, among other things, will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Closing, directors will be elected to serve for a term of three years to succeed the directors of the class whose terms expire at such annual general meeting.</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a period of three years following the Closing, a majority of the Board will be (i) independent under applicable stock exchange rules and</w:t>
      </w:r>
    </w:p>
    <w:p>
      <w:pPr>
        <w:spacing w:after="0" w:line="27" w:lineRule="exact"/>
        <w:rPr>
          <w:sz w:val="20"/>
          <w:szCs w:val="20"/>
          <w:color w:val="auto"/>
        </w:rPr>
      </w:pPr>
    </w:p>
    <w:p>
      <w:pPr>
        <w:ind w:left="120" w:right="140" w:hanging="4"/>
        <w:spacing w:after="0" w:line="253" w:lineRule="auto"/>
        <w:tabs>
          <w:tab w:leader="none" w:pos="3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with Volvo Cars/Geely. In addition,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pursuant to the Shareholder Acknowledgement Agreement, Parent and the Parent Shareholders have undertaken that (i) the initial Board after the Closing will include nine directors, a majority of whom will be independent directors, (ii) for a period of three years following the Closing, Parent and the Parent Shareholders will not vote in favor of the removal of any independent director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Karen Francis, Carla De Geyseleer, Karl-Thomas Neumann, David Richter and David Wei qualify as independent, as defined under the listing rules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Shares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 Contracts of Directors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There are no service contracts between the Company and any of its current non-employee directors providing for benefits upon termination of their service. For a discussion of compensation, including post-termination benefits, of employee directors, see Item 6.B. and the section titled “— </w:t>
      </w:r>
      <w:r>
        <w:rPr>
          <w:rFonts w:ascii="Times New Roman" w:cs="Times New Roman" w:eastAsia="Times New Roman" w:hAnsi="Times New Roman"/>
          <w:sz w:val="18"/>
          <w:szCs w:val="18"/>
          <w:i w:val="1"/>
          <w:iCs w:val="1"/>
          <w:color w:val="auto"/>
        </w:rPr>
        <w:t>Historical Compensation of Polestar’s Key Management and Directors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Duties of the audit committee include the following:</w:t>
      </w:r>
    </w:p>
    <w:p>
      <w:pPr>
        <w:spacing w:after="0" w:line="131"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the adequacy of the audit committee charter and reviewing the performance of the audit committee;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responsible for recommending the appointment, retention and termination of the Company’s independent auditors and determining the compensation of the Company’s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plans and results of the audit engagement with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the Company’s independent auditors;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approve in advance all audit and non-audit services by the Company’s independent auditors, the scope and terms thereof and the fees therefor; reviewing the adequacy of the Company’s internal accounting controls;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Company maintains a robust risk management function, including in respect of IT and cybersecurity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at least quarterly with the Company’s Chief Financial Officer and the Company’s independent auditors.</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committee financial expert,” as defined in the rules of the SEC. The designation does not impose on the audit committee financial expert any duties, obligations or liabilities that are greater than those generally imposed on members of the Company’s audit committee and the Board.</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consists of Karen Francis, Daniel Li, Jim Rowan and Håkan Samuelsson, with Håkan Samuelsson serving as the chair of the compensation committee.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w:t>
      </w:r>
    </w:p>
    <w:p>
      <w:pPr>
        <w:spacing w:after="0" w:line="8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reviewing and making recommendations to the Board relating to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reviewing and making recommendations to the Board regarding the Company’s compensation plans;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management’s decisions regarding the performance, evaluation and compensation of other officers.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which satisfies the applicable rules of the SEC and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nominating and governance committee consists of Karen Francis, Daniel Li, Jim Rowan and Håkan Samuelsson, with Håkan Samuelsson serving as the chair of the nominating and governance committee. The nominating and governance committee’s duties include, among other matters:</w:t>
      </w:r>
    </w:p>
    <w:p>
      <w:pPr>
        <w:spacing w:after="0" w:line="8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with the Board the composition of the board with regards to characteristics such as independence, knowledge, skills, experience and diversity of the Board members;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applicable to the Company and periodically reviewing such guidelines and recommending changes to the Board for approval as necessary;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self-evaluation of the Board.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which satisfies the applicable rules of the SEC and the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Information contained on the Company’s website is not incorporated by reference into this Report, and you should not consider information contained on the Company’s website to be part of this Report.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81" w:lineRule="exact"/>
        <w:rPr>
          <w:sz w:val="20"/>
          <w:szCs w:val="20"/>
          <w:color w:val="auto"/>
        </w:rPr>
      </w:pPr>
    </w:p>
    <w:p>
      <w:pPr>
        <w:ind w:left="1080" w:right="1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more than 1,300 employees. The Company’s employees are mainly located in Sweden, China, UK and USA.</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follows local national requirements for collective bargaining agreements where such requirements exist. Currently, the Company has instituted collective bargaining agreements with employees in Sweden, Finland, the Netherlands and Austria. Sweden is the only country where the Company is actively engaged with employee union representatives. The Company believes relations with these union representatives are good and its engagement with these union representatives is constructive.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Ownership of the Company’s shares by its directors and executive officers is set forth below in Item 7.A of this Report.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Company in the form of American Depositary shares by:</w:t>
      </w:r>
    </w:p>
    <w:p>
      <w:pPr>
        <w:spacing w:after="0" w:line="13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more than 5% of the outstanding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or a director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Report through the exercise of any option, warrant or any other right.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beneficial ownership of the Shares is based on 2,109,034,797 Shares issued and outstanding. The expected beneficial ownership percentage set forth below does not take into account (i) warrants that are outstanding and may be exercised commencing 30 days after the Closing Date, (ii) Earn Out Shares and (iii) shares that will vest pursuant to the Equity Plan and Employee Stock Purchase Plan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noted, the business address of each beneficial owner is Assar Gabrielssons Väg 9, 405 31 Göteborg, Sweden.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Approximate Percentage</w:t>
            </w: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of Outstanding Shares</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2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2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17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22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20,892</w:t>
            </w:r>
            <w:r>
              <w:rPr>
                <w:rFonts w:ascii="Times New Roman" w:cs="Times New Roman" w:eastAsia="Times New Roman" w:hAnsi="Times New Roman"/>
                <w:sz w:val="15"/>
                <w:szCs w:val="15"/>
                <w:color w:val="auto"/>
              </w:rPr>
              <w:t>(2)</w:t>
            </w:r>
          </w:p>
        </w:tc>
        <w:tc>
          <w:tcPr>
            <w:tcW w:w="17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2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Rowan</w:t>
            </w:r>
          </w:p>
        </w:tc>
        <w:tc>
          <w:tcPr>
            <w:tcW w:w="2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w:t>
            </w:r>
          </w:p>
        </w:tc>
        <w:tc>
          <w:tcPr>
            <w:tcW w:w="1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group (eleven individuals)</w:t>
            </w:r>
          </w:p>
        </w:tc>
        <w:tc>
          <w:tcPr>
            <w:tcW w:w="2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More Holders:</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 Shufu</w:t>
            </w:r>
            <w:r>
              <w:rPr>
                <w:rFonts w:ascii="Times New Roman" w:cs="Times New Roman" w:eastAsia="Times New Roman" w:hAnsi="Times New Roman"/>
                <w:sz w:val="15"/>
                <w:szCs w:val="15"/>
                <w:color w:val="auto"/>
              </w:rPr>
              <w:t>(3)</w:t>
            </w:r>
          </w:p>
        </w:tc>
        <w:tc>
          <w:tcPr>
            <w:tcW w:w="22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1,997,110,924</w:t>
            </w:r>
          </w:p>
        </w:tc>
        <w:tc>
          <w:tcPr>
            <w:tcW w:w="17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80" w:hanging="424"/>
        <w:spacing w:after="0" w:line="25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Class A ADSs which the individuals may acquire or have acquired at their behest pursuant to an arrangement with PSINV AB, a subsidiary of Volvo Cars.</w:t>
      </w: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ADSs that Ms. Francis has purchased in connection with the March Sponsor Assignment.</w:t>
      </w:r>
    </w:p>
    <w:p>
      <w:pPr>
        <w:spacing w:after="0" w:line="9" w:lineRule="exact"/>
        <w:rPr>
          <w:rFonts w:ascii="Times New Roman" w:cs="Times New Roman" w:eastAsia="Times New Roman" w:hAnsi="Times New Roman"/>
          <w:sz w:val="18"/>
          <w:szCs w:val="18"/>
          <w:color w:val="auto"/>
        </w:rPr>
      </w:pPr>
    </w:p>
    <w:p>
      <w:pPr>
        <w:ind w:left="540" w:right="120" w:hanging="424"/>
        <w:spacing w:after="0" w:line="251"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294,877,349 Class A ADSs and 1,642,233,575 Class B Shares in the form of American depositary shares for which Parent is the record holder. Also includes 60,000,000 Class A ADSs for which Snita is the record holder. 42.7% of Parent is owned by PSD Investment Limited and 48.8% of Parent is owned by Volvo Cars as of March 4, 2022. As of March 4, 2022, Li Shufu controls PSD Investment Limited and owns approximately 91.1% of equity interests in Geely, which owns approximately 82.0% of equity interests in Volvo Cars. Consequently, since voting and dispositive decisions with respect to such securities are ultimately made by Li Shufu, he is deemed to have beneficial ownership over 1,997,110,924 Class A ADSs, assuming the conversion of all Class B ADSs into Class A ADSs. Li Shufu disclaims beneficial ownership of these securities except to the extent of any pecuniary interest therein. The business address of Li Shufu and Parent is 13/F, Gloucester Tower, The Landmark, 15 Queen’s Road Central, Central, Hong Kong and the business address of Snita is Stationswerg 2, 4153 RD Beesd, Netherlands.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we had approximately 95 shareholders of record of our Class A ADSs, one shareholder of record of record of our Class B ADSs and two shareholders of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Changes in Ownership by Major Shareholders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and Pre-Closing Reorganization, 42.7% of Parent was owned by PSD Investment Limited and 48.8% of Parent was owned by Volvo Cars. Li Shufu controls PSD Investment Limited and owns approximately 91.1% of equity interests in Geely, which owns approximately 82.0% of equity interests in Volvo Cars. After the Closing, Li Shufu is expected to have a beneficial ownership of 94.7% of the outstanding Shares, as described in beneficial ownership table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agreement descriptions set forth below do not purport to be complete and are qualified in their entirety by the terms and conditions of the agreements filed as exhibits to this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Related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GGI and the Company entered into the Initial PIPE Subscription Agreements with the Initial PIPE Investors, pursuant to which the Initial PIPE Investors purchased an aggregate of approximately 7.43 million Class A Shares in the form of Class A ADSs for a purchase price of $9.09 per share in a private placement, for an aggregate amount of approximately $67.5 million. On December 17, 2021, GGI and the Company entered into the December PIPE Subscription Agreements with the December PIPE Investors, which include certain affiliates and employees of the GGI Sponsor. Pursuant to the December PIPE Subscription Agreements, the December PIPE Investors purchased an aggregate of 14.3 million Class A Shares in the form of Class A ADSs for an average price of approximately $9.54 per Class A ADS, for an amount of approximately $136.0 million. On March 24, 2022, GGI and the Company entered into the March PIPE Subscription Agreements with the March PIPE Investors, which include certain affiliates and employees of the GGI Sponsor. Pursuant to the March PIPE Subscription Agreements, the March PIPE Investors purchased an aggregate of approximately 2.8 million Class A Shares in the form of Class A ADSs for an average price of approximately $9.57 per Class A ADS, for an amount of approximately $27.2 million. The December PIPE Subscription Agreements and the March PIPE Subscription Agreements are substantially similar to the Initial PIPE Subscription Agreements, except with regard to purchase price.</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December PIPE Assignment and the March PIPE Assignments, the aggregate investment amount and number of Class A ADSs purchased pursuant to the Subscription Agreements remained unchanged.</w:t>
      </w:r>
    </w:p>
    <w:p>
      <w:pPr>
        <w:spacing w:after="0" w:line="16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Pursuant to the PIPE Subscription Agreements, the Company agreed to file with the SEC (at the Company’s sole cost and expense), within 30 calendar days after the date of Closing, the resale registration statement registering the resale of the PIPE Shares (the “</w:t>
      </w:r>
      <w:r>
        <w:rPr>
          <w:rFonts w:ascii="Times New Roman" w:cs="Times New Roman" w:eastAsia="Times New Roman" w:hAnsi="Times New Roman"/>
          <w:sz w:val="17"/>
          <w:szCs w:val="17"/>
          <w:i w:val="1"/>
          <w:iCs w:val="1"/>
          <w:color w:val="auto"/>
        </w:rPr>
        <w:t>Resale Registration Statement</w:t>
      </w:r>
      <w:r>
        <w:rPr>
          <w:rFonts w:ascii="Times New Roman" w:cs="Times New Roman" w:eastAsia="Times New Roman" w:hAnsi="Times New Roman"/>
          <w:sz w:val="17"/>
          <w:szCs w:val="17"/>
          <w:color w:val="auto"/>
        </w:rPr>
        <w:t>”), and to use its commercially reasonable efforts to have the Resale Registration Statement declared effective as soon as practicable after the filing thereof.</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September 27, 2021, GGI and the Company entered into the Sponsor Subscription Agreement with the GGI Sponsor, pursuant to which, the GGI Sponsor purchased an additional 2.15 million Class A Shares in the form of Class A ADSs for a purchase price of $9.09 per share on the Closing Date, for an aggregate investment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approximately $82.5 million. Pursuant to the Sponsor Subscription Agreement, the GGI Sponsor had the right to assign its commitment to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A ADSs under the Sponsor Subscription Agreement in advance of the Closing. In connection with the December Sponsor Assignment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17, 2021, (i) the GGI Sponsor assigned a portion of its commitment to purchase Class A ADSs, in an aggregate investment amount equaling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$63.0 million to the December PIPE Investors and (ii) GGI, the Company and the GGI Sponsor amended and restated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Agreement to reflect the December Sponsor Assignment. In connection with the March Sponsor Assignment on March 24, 2022, (i)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GGI Sponsor further assigned a portion of its commitment to purchase Class A ADSs, in an aggregate investment amount equaling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$11.4 million to certain investors and (ii) GGI, the Company and the GGI Sponsor amended the Sponsor Subscription Agreement to reflect the March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Assignment. As a result, pursuant to the Sponsor Subscription Agreement, an affiliate of Sponsor purchased approximately 891,000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ADSs for a purchase price of approximately $9.09 per Class A ADS on the date of Closing, for an aggregate investment of approximately $8.1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Sponsor Subscription Agreement is substantially similar to the Initial PIPE Subscription Agreements, except that the GGI Sponsor had the right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assign its commitment to acquire the Class A ADSs to be purchased under the Sponsor Subscription Agreement in advance of the Closing.</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PIPE Subscription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GGI and the Company entered into the Volvo Cars PIPE Subscription Agreement with Snita, a corporation organized under the laws of Netherlands and a wholly owned indirect subsidiary of Volvo Cars, pursuant to which Snita purchased an additional 10 million Class A Shares in the form of Class A ADSs for a purchase price of $10.00 per share on the date of Closing.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 $73.0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regards to purchase price.</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Subscription Agreements do not purport to be complete and are qualified in their entirety by the terms and conditions of the PIPE Subscription Agreements, a form of which is filed as an exhibit to this Report.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entered into the Volvo Cars Preference Subscription Agreement with Snita. Pursuant to the Volvo Cars Preference Subscription Agreement, Snita purchased Preference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Parent to Volvo Cars. The Preference Shares converted into Class A ADSs at Closing, in accordance with, and subject to, the terms of the Preference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of the Registration Rights Agreement is not complete and is qualified in its entirety by the terms and conditions of the Registration Rights Agreement, a copy of which is filed as an exhibit to this Report.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this Report.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C Warrant Amendment</w:t>
      </w:r>
    </w:p>
    <w:p>
      <w:pPr>
        <w:spacing w:after="0" w:line="11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GGI and Computershare entered into the Class C Warrant Amendment, which is included as an exhibit to this Report.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Acknowledgment</w:t>
      </w:r>
    </w:p>
    <w:p>
      <w:pPr>
        <w:spacing w:after="0" w:line="11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On September 27, 2021, Parent, the Parent Shareholders, Volvo Car Corporation and the Company entered into the Shareholders Acknowledgement Agreement, which is included as an exhibit to this Report. Pursuant to the Shareholders Acknowledgement Agreement, the Parent and the Parent Shareholders undertook that (i) at Closing, the initial Board was to include nine directors, a majority of whom would be independent directors, (ii) for a period of three years following the Closing, Parent and the Parent Shareholders will not vote in favor of the removal any independent directors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w:t>
      </w:r>
    </w:p>
    <w:p>
      <w:pPr>
        <w:spacing w:after="0" w:line="5" w:lineRule="exact"/>
        <w:rPr>
          <w:sz w:val="20"/>
          <w:szCs w:val="20"/>
          <w:color w:val="auto"/>
        </w:rPr>
      </w:pPr>
    </w:p>
    <w:p>
      <w:pPr>
        <w:jc w:val="both"/>
        <w:ind w:left="120" w:hanging="4"/>
        <w:spacing w:after="0" w:line="255" w:lineRule="auto"/>
        <w:tabs>
          <w:tab w:leader="none" w:pos="4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years following the Closing, Parent and the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Relationships and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with Volvo and Geely</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among Volvo Car Corporation and Polestar Performance AB, dated October 31, 2018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dated as of October 31, 2018,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Car Model Assignment and License Agreement</w:t>
      </w:r>
      <w:r>
        <w:rPr>
          <w:rFonts w:ascii="Times New Roman" w:cs="Times New Roman" w:eastAsia="Times New Roman" w:hAnsi="Times New Roman"/>
          <w:sz w:val="18"/>
          <w:szCs w:val="18"/>
          <w:color w:val="auto"/>
        </w:rPr>
        <w:t>,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w:t>
      </w:r>
    </w:p>
    <w:p>
      <w:pPr>
        <w:spacing w:after="0" w:line="193"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and the </w:t>
      </w:r>
      <w:r>
        <w:rPr>
          <w:rFonts w:ascii="Times New Roman" w:cs="Times New Roman" w:eastAsia="Times New Roman" w:hAnsi="Times New Roman"/>
          <w:sz w:val="18"/>
          <w:szCs w:val="18"/>
          <w:i w:val="1"/>
          <w:iCs w:val="1"/>
          <w:color w:val="auto"/>
        </w:rPr>
        <w:t>Car Model Assignment and License Agreement,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 xml:space="preserve">dated as of October 31, 2018, between Volvo Car Corporation and Polestar New Energy Vehicle Co. Ltd, as supplemented by the </w:t>
      </w:r>
      <w:r>
        <w:rPr>
          <w:rFonts w:ascii="Times New Roman" w:cs="Times New Roman" w:eastAsia="Times New Roman" w:hAnsi="Times New Roman"/>
          <w:sz w:val="17"/>
          <w:szCs w:val="17"/>
          <w:i w:val="1"/>
          <w:iCs w:val="1"/>
          <w:color w:val="auto"/>
        </w:rPr>
        <w:t>Side Letter</w:t>
      </w:r>
      <w:r>
        <w:rPr>
          <w:rFonts w:ascii="Times New Roman" w:cs="Times New Roman" w:eastAsia="Times New Roman" w:hAnsi="Times New Roman"/>
          <w:sz w:val="17"/>
          <w:szCs w:val="17"/>
          <w:color w:val="auto"/>
        </w:rPr>
        <w:t xml:space="preserve">, dated as of October 31, 2018, between Volvo Car Corporation, Polestar Performance AB and Polestar New Energy Vehicle Co. Ltd., as supplemented by the </w:t>
      </w:r>
      <w:r>
        <w:rPr>
          <w:rFonts w:ascii="Times New Roman" w:cs="Times New Roman" w:eastAsia="Times New Roman" w:hAnsi="Times New Roman"/>
          <w:sz w:val="17"/>
          <w:szCs w:val="17"/>
          <w:i w:val="1"/>
          <w:iCs w:val="1"/>
          <w:color w:val="auto"/>
        </w:rPr>
        <w:t>Supplement to Car Model Assignment and License Agreement</w:t>
      </w:r>
      <w:r>
        <w:rPr>
          <w:rFonts w:ascii="Times New Roman" w:cs="Times New Roman" w:eastAsia="Times New Roman" w:hAnsi="Times New Roman"/>
          <w:sz w:val="17"/>
          <w:szCs w:val="17"/>
          <w:color w:val="auto"/>
        </w:rPr>
        <w:t>, dated as of September 23, 2019, between Volvo Car Corporation and Polestar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Energy Vehicle Co. Ltd., as amended by the </w:t>
      </w:r>
      <w:r>
        <w:rPr>
          <w:rFonts w:ascii="Times New Roman" w:cs="Times New Roman" w:eastAsia="Times New Roman" w:hAnsi="Times New Roman"/>
          <w:sz w:val="17"/>
          <w:szCs w:val="17"/>
          <w:i w:val="1"/>
          <w:iCs w:val="1"/>
          <w:color w:val="auto"/>
        </w:rPr>
        <w:t>Amendment Agreement to the Car Model Assignment and License Agreement</w:t>
      </w:r>
      <w:r>
        <w:rPr>
          <w:rFonts w:ascii="Times New Roman" w:cs="Times New Roman" w:eastAsia="Times New Roman" w:hAnsi="Times New Roman"/>
          <w:sz w:val="17"/>
          <w:szCs w:val="17"/>
          <w:color w:val="auto"/>
        </w:rPr>
        <w:t xml:space="preserve">, dated as of June 2020, between Volvo Car Corporation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spacing w:after="0" w:line="17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Side Letter, the termination of one Car Model Assignment and License Agreement gives Volvo Car Corporation the right to immediately terminate the other Car Model Assignment and License Agreement.</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PHEV IP Sub-License Agreement</w:t>
      </w:r>
      <w:r>
        <w:rPr>
          <w:rFonts w:ascii="Times New Roman" w:cs="Times New Roman" w:eastAsia="Times New Roman" w:hAnsi="Times New Roman"/>
          <w:sz w:val="18"/>
          <w:szCs w:val="18"/>
          <w:color w:val="auto"/>
        </w:rPr>
        <w:t>, dated as of September 4, 2018, between Volvo Personvagnar AB and Polestar Performance AB is a sub-license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PHEV IP Sub-License Agreement</w:t>
      </w:r>
      <w:r>
        <w:rPr>
          <w:rFonts w:ascii="Times New Roman" w:cs="Times New Roman" w:eastAsia="Times New Roman" w:hAnsi="Times New Roman"/>
          <w:sz w:val="17"/>
          <w:szCs w:val="17"/>
          <w:color w:val="auto"/>
        </w:rPr>
        <w:t>, dated as of September 7, 2018, between Volvo Personvagnar AB and Polestar New Energy Vehicle Co. Ltd,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 Management Agreement</w:t>
      </w:r>
      <w:r>
        <w:rPr>
          <w:rFonts w:ascii="Times New Roman" w:cs="Times New Roman" w:eastAsia="Times New Roman" w:hAnsi="Times New Roman"/>
          <w:sz w:val="18"/>
          <w:szCs w:val="18"/>
          <w:color w:val="auto"/>
        </w:rPr>
        <w:t>, dated as of June 12, 2020, between Volvo Car Corporation and Polestar Performance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October 31, 2018, between Volvo Car Corporation and Polestar New Energy Vehicle Co. Ltd., as amended by the</w:t>
      </w:r>
      <w:r>
        <w:rPr>
          <w:rFonts w:ascii="Times New Roman" w:cs="Times New Roman" w:eastAsia="Times New Roman" w:hAnsi="Times New Roman"/>
          <w:sz w:val="18"/>
          <w:szCs w:val="18"/>
          <w:i w:val="1"/>
          <w:iCs w:val="1"/>
          <w:color w:val="auto"/>
        </w:rPr>
        <w:t xml:space="preserve"> 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17, 2020, between Volvo Cars Technology (Shanghai) Co., Ltd. and Polestar New Energy Vehicle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New Energy Vehicle Co., Ltd. also has certain service cancelation rights and has an immediate termination right with respect to certain breaches by Volvo Cars Technology (Shanghai) Co., Ltd. </w:t>
      </w:r>
      <w:r>
        <w:rPr>
          <w:rFonts w:ascii="Times New Roman" w:cs="Times New Roman" w:eastAsia="Times New Roman" w:hAnsi="Times New Roman"/>
          <w:sz w:val="18"/>
          <w:szCs w:val="18"/>
          <w:i w:val="1"/>
          <w:iCs w:val="1"/>
          <w:color w:val="auto"/>
        </w:rPr>
        <w:t>The Service Agreement</w:t>
      </w:r>
      <w:r>
        <w:rPr>
          <w:rFonts w:ascii="Times New Roman" w:cs="Times New Roman" w:eastAsia="Times New Roman" w:hAnsi="Times New Roman"/>
          <w:sz w:val="18"/>
          <w:szCs w:val="18"/>
          <w:color w:val="auto"/>
        </w:rPr>
        <w:t>,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October 31, 2018, between Volvo Car Corporation and Polestar New Energy Vehicle Co. Ltd., as amended by the</w:t>
      </w:r>
      <w:r>
        <w:rPr>
          <w:rFonts w:ascii="Times New Roman" w:cs="Times New Roman" w:eastAsia="Times New Roman" w:hAnsi="Times New Roman"/>
          <w:sz w:val="18"/>
          <w:szCs w:val="18"/>
          <w:i w:val="1"/>
          <w:iCs w:val="1"/>
          <w:color w:val="auto"/>
        </w:rPr>
        <w:t xml:space="preserve"> 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December 21, 2018, between Daqing Volvo Car Manufacturing Co. Ltd. and Polestar 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Corporation would compensate Polestar New Energy Vehicle Co. Ltd. for costs and losses associated with delayed deliveries of certain components and the delivery of defective components resulting in a recall of Polestar vehicles.</w:t>
      </w:r>
    </w:p>
    <w:p>
      <w:pPr>
        <w:spacing w:after="0" w:line="16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Volvo Car (Asia Pacific) Investment Holding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9, 2018, between Zhongjia Automobile Manufacturing (Chengdu) Co. Ltd. and Polestar New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17, 2019, between Volvo Car Belgium NV, Ltd. and Polestar Performance AB, as amended by the</w:t>
      </w:r>
      <w:r>
        <w:rPr>
          <w:rFonts w:ascii="Times New Roman" w:cs="Times New Roman" w:eastAsia="Times New Roman" w:hAnsi="Times New Roman"/>
          <w:sz w:val="18"/>
          <w:szCs w:val="18"/>
          <w:i w:val="1"/>
          <w:iCs w:val="1"/>
          <w:color w:val="auto"/>
        </w:rPr>
        <w:t xml:space="preserve"> Amendment to the Service Agreement</w:t>
      </w:r>
      <w:r>
        <w:rPr>
          <w:rFonts w:ascii="Times New Roman" w:cs="Times New Roman" w:eastAsia="Times New Roman" w:hAnsi="Times New Roman"/>
          <w:sz w:val="18"/>
          <w:szCs w:val="18"/>
          <w:color w:val="auto"/>
        </w:rPr>
        <w:t>, dated as of March 4, 2020, between Volvo Car Belgium NV, Ltd. and Polestar Performance AB governs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Component Supply Agreement</w:t>
      </w:r>
      <w:r>
        <w:rPr>
          <w:rFonts w:ascii="Times New Roman" w:cs="Times New Roman" w:eastAsia="Times New Roman" w:hAnsi="Times New Roman"/>
          <w:sz w:val="18"/>
          <w:szCs w:val="18"/>
          <w:color w:val="auto"/>
        </w:rPr>
        <w:t>, dated as of 2018, between Polestar New Energy Vehicle Co., Ltd. and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General Distributor Agreement</w:t>
      </w:r>
      <w:r>
        <w:rPr>
          <w:rFonts w:ascii="Times New Roman" w:cs="Times New Roman" w:eastAsia="Times New Roman" w:hAnsi="Times New Roman"/>
          <w:sz w:val="18"/>
          <w:szCs w:val="18"/>
          <w:color w:val="auto"/>
        </w:rPr>
        <w:t>, effective as of January 1, 2020, between Zhejiang Haoqing Automobile Manufacturing Co., Ltd. Chengdu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w:t>
      </w:r>
    </w:p>
    <w:p>
      <w:pPr>
        <w:spacing w:after="0" w:line="18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February 15, 2021, between Volvo Car Corporation and Polestar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 is a license assignment and service agreement under which Volvo Car 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92"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and License Assignment Agreement</w:t>
      </w:r>
      <w:r>
        <w:rPr>
          <w:rFonts w:ascii="Times New Roman" w:cs="Times New Roman" w:eastAsia="Times New Roman" w:hAnsi="Times New Roman"/>
          <w:sz w:val="18"/>
          <w:szCs w:val="18"/>
          <w:color w:val="auto"/>
        </w:rPr>
        <w:t>, dated as of February 15, 2021, between Volvo Car Corporation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28, 2018, between First Automobile Branch of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Manufacturing Co., Ltd. and Polestar 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w:t>
      </w:r>
    </w:p>
    <w:p>
      <w:pPr>
        <w:spacing w:after="0" w:line="19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26, 2018, between Asia Euro Automobile Manufacturing (Taizhou)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as supplemented by the </w:t>
      </w:r>
      <w:r>
        <w:rPr>
          <w:rFonts w:ascii="Times New Roman" w:cs="Times New Roman" w:eastAsia="Times New Roman" w:hAnsi="Times New Roman"/>
          <w:sz w:val="18"/>
          <w:szCs w:val="18"/>
          <w:i w:val="1"/>
          <w:iCs w:val="1"/>
          <w:color w:val="auto"/>
        </w:rPr>
        <w:t>Supplement Car Manufacturing Agreement</w:t>
      </w:r>
      <w:r>
        <w:rPr>
          <w:rFonts w:ascii="Times New Roman" w:cs="Times New Roman" w:eastAsia="Times New Roman" w:hAnsi="Times New Roman"/>
          <w:sz w:val="18"/>
          <w:szCs w:val="18"/>
          <w:color w:val="auto"/>
        </w:rPr>
        <w:t xml:space="preserve">, dated as of May 2021, between Polestar Performance AB and Asia Euro Manufacturing (Taizhou) Co. Ltd., as amended by the </w:t>
      </w:r>
      <w:r>
        <w:rPr>
          <w:rFonts w:ascii="Times New Roman" w:cs="Times New Roman" w:eastAsia="Times New Roman" w:hAnsi="Times New Roman"/>
          <w:sz w:val="18"/>
          <w:szCs w:val="18"/>
          <w:i w:val="1"/>
          <w:iCs w:val="1"/>
          <w:color w:val="auto"/>
        </w:rPr>
        <w:t>Amendment Car Model Manufacturing Agreement</w:t>
      </w:r>
      <w:r>
        <w:rPr>
          <w:rFonts w:ascii="Times New Roman" w:cs="Times New Roman" w:eastAsia="Times New Roman" w:hAnsi="Times New Roman"/>
          <w:sz w:val="18"/>
          <w:szCs w:val="18"/>
          <w:color w:val="auto"/>
        </w:rPr>
        <w:t>,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June 30, 2019,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June 30, 2019, 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License, License Agreement and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19, 2019, between Volvo Car Corporation and Polestar Performance AB is a license assignment and service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Polestar Performance AB, Polestar New Energy Vehicle Co., Ltd., Volvo Car Corporation and Volvo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Cars (China) Investment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w:t>
      </w:r>
    </w:p>
    <w:p>
      <w:pPr>
        <w:spacing w:after="0" w:line="18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Volvo Car Corporation,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Cars (China) Investment Co., Ltd.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June 30, 2019, 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xml:space="preserve">, dated as of November 28, 2019, between Volvo Cars (China) Investment Co. Ltd. and Polestar New Energy Vehicle Co. Ltd., as amended by the </w:t>
      </w:r>
      <w:r>
        <w:rPr>
          <w:rFonts w:ascii="Times New Roman" w:cs="Times New Roman" w:eastAsia="Times New Roman" w:hAnsi="Times New Roman"/>
          <w:sz w:val="18"/>
          <w:szCs w:val="18"/>
          <w:i w:val="1"/>
          <w:iCs w:val="1"/>
          <w:color w:val="auto"/>
        </w:rPr>
        <w:t>Novation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Cars (China) Investment Co., Ltd. for convenience upon 90 days’ written notice.</w:t>
      </w:r>
    </w:p>
    <w:p>
      <w:pPr>
        <w:spacing w:after="0" w:line="19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31, 2020,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1, 2020, between Volvo Car Corporation and Polestar Automotive China Distribution Co. Ltd.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23, 2020, between Polestar Performance AB and Volvo Car Corporation is a license agreement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w:t>
      </w:r>
    </w:p>
    <w:p>
      <w:pPr>
        <w:spacing w:after="0" w:line="18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Performance Software Agreement</w:t>
      </w:r>
      <w:r>
        <w:rPr>
          <w:rFonts w:ascii="Times New Roman" w:cs="Times New Roman" w:eastAsia="Times New Roman" w:hAnsi="Times New Roman"/>
          <w:sz w:val="18"/>
          <w:szCs w:val="18"/>
          <w:color w:val="auto"/>
        </w:rPr>
        <w:t>, dated as of January 1, 2020, between Polestar Performance AB and Volvo Car Corporation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design, development and supply of performance enhancing software by Polestar Performance AB for Volvo Car Corporation AB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February 27, 2020, between Zhongjia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(Chengdu) Co., Ltd. and Polestar Automotive China Distribution 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February 2021, between Zhongjia Automobile Manufacturing (Chengdu)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April 28, 2021, between Volvo Car Corporation and Polestar Automotive China Distribution Co. Ltd. largely mirrors the previously described agreement but with Volvo Car Corporation acting as the service provider.</w:t>
      </w:r>
    </w:p>
    <w:p>
      <w:pPr>
        <w:spacing w:after="0" w:line="192"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March 17, 2021, between Volvo Car Corporation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an agreement relating to the planned production of</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Polestar 3 vehicles in Volvo Car Corporation’s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 w:cs="Times New Roman" w:eastAsia="Times New Roman" w:hAnsi="Times New Roman"/>
          <w:sz w:val="18"/>
          <w:szCs w:val="18"/>
          <w:i w:val="1"/>
          <w:iCs w:val="1"/>
          <w:color w:val="auto"/>
        </w:rPr>
        <w:t>Financial Undertaking Agreement— Investments for Vehicle Assembly</w:t>
      </w:r>
      <w:r>
        <w:rPr>
          <w:rFonts w:ascii="Times New Roman" w:cs="Times New Roman" w:eastAsia="Times New Roman" w:hAnsi="Times New Roman"/>
          <w:sz w:val="18"/>
          <w:szCs w:val="18"/>
          <w:color w:val="auto"/>
        </w:rPr>
        <w:t>, dated as of March 23, 2021, between Volvo Car Corporation and Polestar Performance AB largely mirrors the previously described agreement but instead imposes investment commitments on Polestar Performance AB relating to Polestar 3 unique equipment (rather than common equipment that is used in the production of both Volvo’s and Polestar’s vehicles).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27,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will provide complete design 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28,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7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May 11, 2020, between Volvo Car Corporation and Polestar Performance AB is a service agreement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AB’s usage of Volvo Car Performance Academy (Volvo’s learning management system) to manage Polestar’s technical training in the markets. The agreement provides that Polestar Performance AB will pay Volvo Car Corporation a monthly service charge taking into account the following cost categories: technical support, system hosting, administrative support, system enhancement, global commercial team support and share of historical development costs. The costs charged to Polestar Performance AB are in part based on Polestar Performance AB’s market representation share as determined in accordance with the agreement. In addition, hourly rates that are used to calculate the service charges are determined annually by Volvo Car Corporation and take into account the full cost incurred plus an arm’s length mark-up. The agreement remains in force until December 31, 2022. Either party may terminate within 30 days of written notice for breach or immediately upon the insolvency of the other party. Volvo Car Corporation may terminate the agreement for convenience upon 90 days’ written notice. Polestar Performance AB also has an immediate termination right with respect to certain breaches by Volvo Car Corporation and may cancel the services performed for convenience upon 90 days’ written notice. Further, if the Volvo Cars Performance Academy agreement between Volvo Car Corporation and its supplier of the Volvo Cars Performance Academy terminates, the service agreement is automatically terminated.</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Polestar Performance AB and Volvo Bil i Göteborg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6, 2020, between Volvo Car Corporation and Polestar Performance AB, as amended by the</w:t>
      </w:r>
      <w:r>
        <w:rPr>
          <w:rFonts w:ascii="Times New Roman" w:cs="Times New Roman" w:eastAsia="Times New Roman" w:hAnsi="Times New Roman"/>
          <w:sz w:val="18"/>
          <w:szCs w:val="18"/>
          <w:i w:val="1"/>
          <w:iCs w:val="1"/>
          <w:color w:val="auto"/>
        </w:rPr>
        <w:t xml:space="preserve"> Amendment Agreement</w:t>
      </w:r>
      <w:r>
        <w:rPr>
          <w:rFonts w:ascii="Times New Roman" w:cs="Times New Roman" w:eastAsia="Times New Roman" w:hAnsi="Times New Roman"/>
          <w:sz w:val="18"/>
          <w:szCs w:val="18"/>
          <w:color w:val="auto"/>
        </w:rPr>
        <w:t>, dated as of June 30, 2021, between Volvo Car Corporation and Polestar Performance AB is a license agreement under which Volvo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will develop and license to Polestar Performance AB a digital platform to be used for making vehicle repair and maintenance information available for independent operators (the “</w:t>
      </w:r>
      <w:r>
        <w:rPr>
          <w:rFonts w:ascii="Times New Roman" w:cs="Times New Roman" w:eastAsia="Times New Roman" w:hAnsi="Times New Roman"/>
          <w:sz w:val="18"/>
          <w:szCs w:val="18"/>
          <w:i w:val="1"/>
          <w:iCs w:val="1"/>
          <w:color w:val="auto"/>
        </w:rPr>
        <w:t>GOLD Platform</w:t>
      </w:r>
      <w:r>
        <w:rPr>
          <w:rFonts w:ascii="Times New Roman" w:cs="Times New Roman" w:eastAsia="Times New Roman" w:hAnsi="Times New Roman"/>
          <w:sz w:val="18"/>
          <w:szCs w:val="18"/>
          <w:color w:val="auto"/>
        </w:rPr>
        <w:t>”). The license fee is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w:t>
      </w:r>
    </w:p>
    <w:p>
      <w:pPr>
        <w:spacing w:after="0" w:line="18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6,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cancelation rights and has an immediate termination right with respect to certain breaches by Volvo Car Corporation.</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19, 2020, between Volvo Car UK Limited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w:t>
      </w:r>
    </w:p>
    <w:p>
      <w:pPr>
        <w:spacing w:after="0" w:line="185"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European CO2 Emission Credit Payment Agreement</w:t>
      </w:r>
      <w:r>
        <w:rPr>
          <w:rFonts w:ascii="Times New Roman" w:cs="Times New Roman" w:eastAsia="Times New Roman" w:hAnsi="Times New Roman"/>
          <w:sz w:val="18"/>
          <w:szCs w:val="18"/>
          <w:color w:val="auto"/>
        </w:rPr>
        <w:t>, dated as of November 27, 2020, between Volvo Car Corporation and Polestar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 is an agreement under which Volvo Car Corporation agreed to pay Polestar Performance AB an amount equal to approximately 33% of the carbon credits attributable to Volvo Cars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w:t>
      </w:r>
    </w:p>
    <w:p>
      <w:pPr>
        <w:spacing w:after="0" w:line="178"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Parts Supply and License Agreement Polestar Aftermarket Parts and Accessories (CHINA)</w:t>
      </w:r>
      <w:r>
        <w:rPr>
          <w:rFonts w:ascii="Times New Roman" w:cs="Times New Roman" w:eastAsia="Times New Roman" w:hAnsi="Times New Roman"/>
          <w:sz w:val="17"/>
          <w:szCs w:val="17"/>
          <w:color w:val="auto"/>
        </w:rPr>
        <w:t>, dated as of November 22, 2021, between Polestar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w:t>
      </w:r>
    </w:p>
    <w:p>
      <w:pPr>
        <w:spacing w:after="0" w:line="173"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effective as of July 1, 2021, between Volvo Car Corporation and Polestar Automotive China Distribution., Ltd. is a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w:t>
      </w:r>
    </w:p>
    <w:p>
      <w:pPr>
        <w:spacing w:after="0" w:line="185" w:lineRule="exact"/>
        <w:rPr>
          <w:sz w:val="20"/>
          <w:szCs w:val="20"/>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June 23, 2021, between Volvo Car Corporation and Polestar New Energy Vehicle Co. Ltd. is a service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which Volvo Car Corporation provides commercial purchasing and end-of-production services, amongst other things, to Polestar New Energy Vehicle Co. Ltd. The agreement provides that Polestar New Energy Vehicle Co. Ltd. will pay Volvo Car Corporation a monthly service charge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December 7, 2021, between Volvo Cars Technology (Shanghai) Co., Ltd. and Polestar Automotive China Distribution Co., Ltd. largely mirrors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but with Volvo Cars Technology (Shanghai) Co., Ltd. acting as the service provider under the agreement.</w:t>
      </w:r>
    </w:p>
    <w:p>
      <w:pPr>
        <w:spacing w:after="0" w:line="19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Automotive China Distribution, Ltd., and the</w:t>
      </w:r>
      <w:r>
        <w:rPr>
          <w:rFonts w:ascii="Times New Roman" w:cs="Times New Roman" w:eastAsia="Times New Roman" w:hAnsi="Times New Roman"/>
          <w:sz w:val="18"/>
          <w:szCs w:val="18"/>
          <w:i w:val="1"/>
          <w:iCs w:val="1"/>
          <w:color w:val="auto"/>
        </w:rPr>
        <w:t xml:space="preserve"> 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28,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Tooling and Equipment Agreement</w:t>
      </w:r>
      <w:r>
        <w:rPr>
          <w:rFonts w:ascii="Times New Roman" w:cs="Times New Roman" w:eastAsia="Times New Roman" w:hAnsi="Times New Roman"/>
          <w:sz w:val="18"/>
          <w:szCs w:val="18"/>
          <w:color w:val="auto"/>
        </w:rPr>
        <w:t>, dated as of December 10,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Unique Vendor Tooling Agreement</w:t>
      </w:r>
      <w:r>
        <w:rPr>
          <w:rFonts w:ascii="Times New Roman" w:cs="Times New Roman" w:eastAsia="Times New Roman" w:hAnsi="Times New Roman"/>
          <w:sz w:val="18"/>
          <w:szCs w:val="18"/>
          <w:color w:val="auto"/>
        </w:rPr>
        <w:t>, dated as of December 23,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March 4, 2022,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and the </w:t>
      </w: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effective as of</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spacing w:after="0" w:line="17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10,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30,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Parts Supply and License Agreement Polestar Aftermarket Parts and Accessories (ROW)</w:t>
      </w:r>
      <w:r>
        <w:rPr>
          <w:rFonts w:ascii="Times New Roman" w:cs="Times New Roman" w:eastAsia="Times New Roman" w:hAnsi="Times New Roman"/>
          <w:sz w:val="18"/>
          <w:szCs w:val="18"/>
          <w:color w:val="auto"/>
        </w:rPr>
        <w:t>, dated as of January 1, 2020, between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and Volvo Car Corporation, is a supply and license 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w:t>
      </w:r>
    </w:p>
    <w:p>
      <w:pPr>
        <w:spacing w:after="0" w:line="18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New, Used and Demonstrator Funding Agreement</w:t>
      </w:r>
      <w:r>
        <w:rPr>
          <w:rFonts w:ascii="Times New Roman" w:cs="Times New Roman" w:eastAsia="Times New Roman" w:hAnsi="Times New Roman"/>
          <w:sz w:val="18"/>
          <w:szCs w:val="18"/>
          <w:color w:val="auto"/>
        </w:rPr>
        <w:t>, dated June 14, 2021, by and among Volvo Car Financial Services UK Limited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January 28, 2022, by and between Volvo Cars USA LLC and Polestar Automotive USA Inc.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outbound logistics through the utilization of Volvo Cars USA LLC’s existing vehicle distribution process. Under the agreement, Polestar pays Volvo for the estimated hours of work performed and other costs incurred by Volvo.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May 28, 2021, by and between Volvo Car Financial Services UK Limited and Polestar Automotive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Limited Automotive 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Corporate Guarantee and Indemnity Relating to Polestar Automotive UK Limited</w:t>
      </w:r>
      <w:r>
        <w:rPr>
          <w:rFonts w:ascii="Times New Roman" w:cs="Times New Roman" w:eastAsia="Times New Roman" w:hAnsi="Times New Roman"/>
          <w:sz w:val="18"/>
          <w:szCs w:val="18"/>
          <w:color w:val="auto"/>
        </w:rPr>
        <w:t>, dated as of June 14, 2021, between Polestar Performance 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w:t>
      </w:r>
    </w:p>
    <w:p>
      <w:pPr>
        <w:spacing w:after="0" w:line="18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Cooperation Agreement</w:t>
      </w:r>
      <w:r>
        <w:rPr>
          <w:rFonts w:ascii="Times New Roman" w:cs="Times New Roman" w:eastAsia="Times New Roman" w:hAnsi="Times New Roman"/>
          <w:sz w:val="18"/>
          <w:szCs w:val="18"/>
          <w:color w:val="auto"/>
        </w:rPr>
        <w:t>, dated as of April 1, 2020, between Polestar Automotive China Distribution Co., Ltd. and Hangzhou Easybao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June 1, 2021, between Polestar Automotive China Distribution Co., Ltd and Genius Auto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Framework Agreement on Import and Export of Polestar Vehicles between Volvo Car Corporate and Polestar Performance AB</w:t>
      </w:r>
      <w:r>
        <w:rPr>
          <w:rFonts w:ascii="Times New Roman" w:cs="Times New Roman" w:eastAsia="Times New Roman" w:hAnsi="Times New Roman"/>
          <w:sz w:val="18"/>
          <w:szCs w:val="18"/>
          <w:color w:val="auto"/>
        </w:rPr>
        <w: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sale of Polestar vehicles to Volvo Cars is set forth in the </w:t>
      </w:r>
      <w:r>
        <w:rPr>
          <w:rFonts w:ascii="Times New Roman" w:cs="Times New Roman" w:eastAsia="Times New Roman" w:hAnsi="Times New Roman"/>
          <w:sz w:val="18"/>
          <w:szCs w:val="18"/>
          <w:i w:val="1"/>
          <w:iCs w:val="1"/>
          <w:color w:val="auto"/>
        </w:rPr>
        <w:t>Importer Agreement between Polestar Performance AB and Volvo Cars LLC</w:t>
      </w:r>
      <w:r>
        <w:rPr>
          <w:rFonts w:ascii="Times New Roman" w:cs="Times New Roman" w:eastAsia="Times New Roman" w:hAnsi="Times New Roman"/>
          <w:sz w:val="18"/>
          <w:szCs w:val="18"/>
          <w:color w:val="auto"/>
        </w:rPr>
        <w:t>,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w:t>
      </w:r>
    </w:p>
    <w:p>
      <w:pPr>
        <w:spacing w:after="0" w:line="180"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Sale and Purchase Agreement between Volvo Car USA LLC and Polestar Automotive USA LLC</w:t>
      </w:r>
      <w:r>
        <w:rPr>
          <w:rFonts w:ascii="Times New Roman" w:cs="Times New Roman" w:eastAsia="Times New Roman" w:hAnsi="Times New Roman"/>
          <w:sz w:val="18"/>
          <w:szCs w:val="18"/>
          <w:color w:val="auto"/>
        </w:rPr>
        <w:t>, dated June 21, 2022, provides for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vehicles imported by Volvo Cars to Polestar for sale in the United States. The agreement will remain in force until December 31, 2023.</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Under Articles of Incorporation; Indemnification Agreements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w:t>
      </w: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liabilities in connection with their service at Polestar. The Company has also entered into indemnification agreements with its directors and officers, as well as members of Polestar Group’s senior management.</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31"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19"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financial statements of the Company are set forth in “Item 18.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Report.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Financial Information</w:t>
      </w:r>
    </w:p>
    <w:p>
      <w:pPr>
        <w:spacing w:after="0" w:line="119"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elsewhere in this Report and, if not defined in this Report, in Polestar’s Registration Statement on Form F-4 (File No. 333-260992) filed with the SEC on May 23, 2022.</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2021 combines the historical consolidated statement of financial position of Parent and the historical balance sheet of GGI on a pro forma basis as if the Business Combination had been consummated and the Warrant Amendment Proposal had been approved on December 31, 2021.</w:t>
      </w:r>
    </w:p>
    <w:p>
      <w:pPr>
        <w:spacing w:after="0" w:line="176"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statement of operations for the year ended December 31, 2021, combines the historical consolidated statement of operations of Parent and GGI for such periods on a pro forma basis as if the Business Combination and related transactions had been consummated and the Warrant Amendment Proposal had been approved on January 1, 2021, the beginning of the earliest period presented.</w:t>
      </w:r>
    </w:p>
    <w:p>
      <w:pPr>
        <w:spacing w:after="0" w:line="15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Polestar will experience. Further, the unaudited pro forma condensed combined financial information may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not be useful in predicting the future financial condition and results of operations of Polestar. The actual financial position and results of operations may differ significantly from the pro forma amounts reflected herein due to a variety of factors. The unaudited pro forma adjustments represent Polestar management’s estimates based on information available as of the date of the unaudited pro forma condensed combined financial information and is subject to differ materially from the information presented as additional information becomes available and analyses are performed. Polestar management believes that its assumptions and methodologies provide a reasonable basis for presenting all of the significant effects of the Business Combination based on information available to Polestar management at this time and that the pro forma adjustments give appropriate effect to those assumptions and are properly applied in the unaudited pro forma condensed combined financial information.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information should be read together with the following: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Holding Limited’s audited financial statements and related notes as of December 2021 and 2020 and for the years ended December 31, 2021, 2020 and 2019;</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GGI’s audited financial statements and related notes as of December 31, 2021 and 2020 and for the year ended December 31, 2021 and for the period from December 21, 2020 (inception) through December 31, 2020; and</w:t>
      </w:r>
    </w:p>
    <w:p>
      <w:pPr>
        <w:spacing w:after="0" w:line="65" w:lineRule="exact"/>
        <w:rPr>
          <w:rFonts w:ascii="Times New Roman" w:cs="Times New Roman" w:eastAsia="Times New Roman" w:hAnsi="Times New Roman"/>
          <w:sz w:val="18"/>
          <w:szCs w:val="18"/>
          <w:color w:val="auto"/>
        </w:rPr>
      </w:pPr>
    </w:p>
    <w:p>
      <w:pPr>
        <w:ind w:left="1080" w:right="80" w:hanging="424"/>
        <w:spacing w:after="0" w:line="267"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GGI’s Management’s Discussion and Analysis of Financial Condition and Results of Operations</w:t>
      </w:r>
      <w:r>
        <w:rPr>
          <w:rFonts w:ascii="Times New Roman" w:cs="Times New Roman" w:eastAsia="Times New Roman" w:hAnsi="Times New Roman"/>
          <w:sz w:val="18"/>
          <w:szCs w:val="18"/>
          <w:color w:val="auto"/>
        </w:rPr>
        <w:t>” as included in Polestar’s Registration Statement as filed with the SEC on Form F-4 (File No. 333-260992) on May 23, 2022 and other financial information included elsewhere in this Report.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September 27, 2021, GGI entered into the Business Combination Agreement with Parent, Polestar Singapore, Polestar Sweden, the Company and Merger Sub. Pursuant to the Business Combination Agreement and in connection therewith, among other things and subject to the terms and conditions contained therein:</w:t>
      </w:r>
    </w:p>
    <w:p>
      <w:pPr>
        <w:spacing w:after="0" w:line="81" w:lineRule="exact"/>
        <w:rPr>
          <w:sz w:val="20"/>
          <w:szCs w:val="20"/>
          <w:color w:val="auto"/>
        </w:rPr>
      </w:pPr>
    </w:p>
    <w:p>
      <w:pPr>
        <w:ind w:left="1080" w:right="56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prior to the Closing, Parent, the Company, Polestar Singapore, Polestar Sweden and their respective subsidiaries, completed the Pre-Closing Reorganization;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the Pre-Closing Reorganization, the Company issued to Parent Class A Shares and Class B Shares, such that, following the Pre-Closing Reorganization, Parent held an aggregate number of Shares equal to approximately (a) $20,003,000,000 divided by $10, less (b) (i) the aggregate principal amount due in respect the Parent Convertible Notes, divided by (ii) the applicable conversion price of such notes, less (c) 58,882,610, which represents the aggregate number of Preference Shares issued pursuant to the Volvo Cars Preference Subscription Agreement;</w:t>
      </w:r>
    </w:p>
    <w:p>
      <w:pPr>
        <w:spacing w:after="0" w:line="88"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Pre-Closing Reorganization at the Closing, Merger Sub merged with and into GGI in the Merger, pursuant to which the separate corporate existence of Merger Sub ceased and GGI became a wholly owned subsidiary of ListCo;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by virtue of the Merger:</w:t>
      </w:r>
    </w:p>
    <w:p>
      <w:pPr>
        <w:spacing w:after="0" w:line="130" w:lineRule="exact"/>
        <w:rPr>
          <w:rFonts w:ascii="Times New Roman" w:cs="Times New Roman" w:eastAsia="Times New Roman" w:hAnsi="Times New Roman"/>
          <w:sz w:val="18"/>
          <w:szCs w:val="18"/>
          <w:color w:val="auto"/>
        </w:rPr>
      </w:pPr>
    </w:p>
    <w:p>
      <w:pPr>
        <w:jc w:val="both"/>
        <w:ind w:left="1540" w:right="520" w:hanging="331"/>
        <w:spacing w:after="0" w:line="266" w:lineRule="auto"/>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units of GGI that were outstanding immediately prior to the Effective Time held by GGI stockholders were automatically separated and the holder thereof was deemed to hold one share of GGI Class A Common Stock and one-fifth of a GGI Public Warrant, which underlying securities were converted as described below;</w:t>
      </w:r>
    </w:p>
    <w:p>
      <w:pPr>
        <w:spacing w:after="0" w:line="81"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GGI Class A Common Stock issued and outstanding immediately prior to the Effective Time, other than those held in treasury, were exchanged for one Class A ADS;</w:t>
      </w:r>
    </w:p>
    <w:p>
      <w:pPr>
        <w:spacing w:after="0" w:line="67"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GGI Class F Common Stock issued and outstanding immediately prior to the Effective Time, other than those held in treasury, were exchanged for one newly issued Class A ADS;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Common Stock held in treasury were canceled and extinguished without consideration;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and Computershare entered into the Class C Warrant Amendment.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w:t>
      </w:r>
    </w:p>
    <w:p>
      <w:pPr>
        <w:spacing w:after="0" w:line="99"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the Polestar Articles, to provide for, among other things, that (i) the initial Board includes nine directors, each serving staggered three-year terms, (ii) for a period of three years following the Closing, a majority of the Board will be (a) independent under applicable stock exchange rules and (b) unaffiliated with the Volvo Cars or Geely and (iii)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w:t>
      </w:r>
    </w:p>
    <w:p>
      <w:pPr>
        <w:spacing w:after="0" w:line="94"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Parent Shareholders, the Company, the GGI Sponsor and the independent directors of GGI entered into the Registration Rights Agreement;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(but after the completion of the Pre-Closing Reorganization), the Company and Parent approved and adopted the Equity Plan and the Employee Stock Purchase Plan, which reserve 10,000,000 Class A ADSs and 2,000,000 Class A ADSs for issuance at Closing, respectively. Two kinds of programs will be adopted under the Equity Plan: “At Listing” (Exceptional) awards and “Post Listing” awards. The “At Listing” awards are a one-time issuance of restricted shares of Class A common stock in a value equal to a certain percentage of the awardee’s base salary. The “Post-Listing” award is an annual issuance of restricted shares and performance shares of Class A common stock equal to a certain percentage of the awardee’s base salary, depending on the awardee’s position at the Company, with a three-year vesting period. The grant date of these awards is after the 60 day quiet period has ended; and</w:t>
      </w:r>
    </w:p>
    <w:p>
      <w:pPr>
        <w:spacing w:after="0" w:line="94"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certain equity programs will be adopted for the Company: a Bonus Shares program and awards of RSUs and PSUs, each of which will be implemented under the Equity Plan, and a Share Purchase and Matching program, which will be implemented under the Employee Stock Purchase Plan. The Bonus Shares program is mandatory for all employees in the relevant jurisdictions and includes a one-time issuance of Class A ADSs in a value equal to 4% of the awardee’s base salary, subject to vesting. Grants of RSUs and PSUs will be made to certain employees of the Company as selected by the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 (ii) awards of 50% RSUs and 50% PSUs to be granted to other eligible Polestar employees, with such RSUs to vest solely based on continued service and such PSUs to vest based on achievement of certain Polestar performance metrics and continued service. The Share Purchase and Matching program includes an annual share matching program whereby the awardee is offered the opportunity to invest up</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to 1% of their base compensation on a recurring basis and receive a match in the form of Class A ADSs in equal value for free, subject to satisfaction of a one-year holding period for the corresponding purchased shares. Similar to the above, no awards will be granted until after the 60 day quiet period has ended.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and in connection with the foregoing,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the Registration Rights Holders and their permitted transferees are entitled to registration rights in respect of certain Company securities and ADSs at the Closing;</w:t>
      </w:r>
    </w:p>
    <w:p>
      <w:pPr>
        <w:spacing w:after="0" w:line="6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Shareholder Acknowledgement Agreement, that Parent and the Parent Shareholders have undertaken that (i) the initial Board includes nine directors, a majority of whom will be independent directors, (ii) for a period of three years following the Closing, Parent and the Parent Shareholders will not vote in favor of the removal any independent directors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the Company’s directors. The GGI Sponsor will have third party beneficiary rights to enforce the aforementioned undertakings;</w:t>
      </w:r>
    </w:p>
    <w:p>
      <w:pPr>
        <w:spacing w:after="0" w:line="9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and Supporting Sponsor Stockholder Lock-Up Agreement, each GGI Initial Stockholder has, among other things, agreed to (i) vote their GGI Class F Common Stock in favor of the proposal to approve the Business Combination and any other proposals for the Stockholder Special Meeting,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transfer any Class A ADSs issued pursuant to the Business Combination Agreement during the period beginning on the date of Closing and ending 180 days following the date of the Closing, in each case subject to the terms and conditions set forth therein. In addition, the GGI Sponsor has agreed to the forfeiture of up to 1,540,835 shares of GGI Class F Common Stock;</w:t>
      </w:r>
    </w:p>
    <w:p>
      <w:pPr>
        <w:spacing w:after="0" w:line="9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85" w:lineRule="exact"/>
        <w:rPr>
          <w:rFonts w:ascii="Times New Roman" w:cs="Times New Roman" w:eastAsia="Times New Roman" w:hAnsi="Times New Roman"/>
          <w:sz w:val="18"/>
          <w:szCs w:val="18"/>
          <w:color w:val="auto"/>
        </w:rPr>
      </w:pPr>
    </w:p>
    <w:p>
      <w:pPr>
        <w:ind w:left="1080" w:right="60" w:hanging="424"/>
        <w:spacing w:after="0" w:line="253"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Initial PIPE Subscription Agreements, the Initial PIPE Investors purchased an aggregate of approximately 7.43 million Class A Shares in the form of Class A ADSs for a purchase price of $9.09 per share in a private placement, for an aggregate amount of approximately $67.5 million. In connection with the December PIPE Assignment, on December 17, 2021, GGI and the Company entered into the December PIPE Subscription Agreements to assign a portion of the GGI Sponsor and Snita commitments, as applicable, to purchase Class A ADSs to the December PIPE Investors, which include certain affiliates and employees of the GGI Sponsor. Pursuant to the December PIPE Subscription Agreements, the December PIPE Investors purchased 14.3 million Class A Shares in the form of Class A ADSs for an average price of approximately $9.54 per Class A ADS, reflecting an aggregate investment amount of approximately $136.0 million. In connection with the March PIPE Assignment on March 24, 2022, GGI and the Company entered into the March PIPE Subscription Agreements to assign a portion of the GGI Sponsor and Snita commitments, as applicable, to purchase Class A ADSs to the March PIPE Investors, which include certain affiliates and employees of the GGI</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4" w:lineRule="auto"/>
        <w:rPr>
          <w:sz w:val="20"/>
          <w:szCs w:val="20"/>
          <w:color w:val="auto"/>
        </w:rPr>
      </w:pPr>
      <w:r>
        <w:rPr>
          <w:rFonts w:ascii="Times New Roman" w:cs="Times New Roman" w:eastAsia="Times New Roman" w:hAnsi="Times New Roman"/>
          <w:sz w:val="18"/>
          <w:szCs w:val="18"/>
          <w:color w:val="auto"/>
        </w:rPr>
        <w:t>Sponsor. Pursuant to the March PIPE Subscription Agreements, the March PIPE Investors purchased approximately 2.8 million Class A ADSs for an average price of approximately $9.57 per Class A ADSs, reflecting an aggregate investment of approximately $27.2 million. The December PIPE Subscription Agreements and March PIPE Subscription Agreements are substantially similar to the Initial PIPE Subscription Agreements, except with regard to purchase price. As a result of the December PIPE Assignment and the March PIPE Assignment, the PIPE Investors, which include certain affiliates and employees of the GGI Sponsor have subscribed for an aggregate investment of $230.7 million. Pursuant to the PIPE Subscription Agreements, the Company agreed to file with the SEC (at the Company’s sole cost and expense), within 30 calendar days after the date of Closing, the Resale Registration Statement registrering the resale of the PIPE Shares, and to use its commercially reasonable efforts to have the Resale Registration Statement declared effective as soon as practicable after the filing thereof;</w:t>
      </w:r>
    </w:p>
    <w:p>
      <w:pPr>
        <w:spacing w:after="0" w:line="94" w:lineRule="exact"/>
        <w:rPr>
          <w:sz w:val="20"/>
          <w:szCs w:val="20"/>
          <w:color w:val="auto"/>
        </w:rPr>
      </w:pPr>
    </w:p>
    <w:p>
      <w:pPr>
        <w:ind w:left="1080" w:hanging="424"/>
        <w:spacing w:after="0" w:line="25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Subscription Agreement, the GGI Sponsor initially agreed to purchase an additional 9,075,908 Class A Shares in the form of Class A ADSs for a purchase price of $9.09 per share on the date of Closing,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 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102"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PIPE Subscription Agreement, Snita initially agreed to purchase an additional 10.0 million Class A Shares in the form of Class A ADS for a purchase price of $10.00 per share on the date of Closing, for an aggregate investment amount equal to approximately $100.0 million.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 $73.0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 to purchase price; and</w:t>
      </w:r>
    </w:p>
    <w:p>
      <w:pPr>
        <w:spacing w:after="0" w:line="92"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Preference Subscription Agreement, Snita purchased Preference Shares for an aggregate subscription price of $10 per share, for an aggregate investment amount equal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66" w:lineRule="auto"/>
        <w:rPr>
          <w:sz w:val="20"/>
          <w:szCs w:val="20"/>
          <w:color w:val="auto"/>
        </w:rPr>
      </w:pPr>
      <w:r>
        <w:rPr>
          <w:rFonts w:ascii="Times New Roman" w:cs="Times New Roman" w:eastAsia="Times New Roman" w:hAnsi="Times New Roman"/>
          <w:sz w:val="18"/>
          <w:szCs w:val="18"/>
          <w:color w:val="auto"/>
        </w:rPr>
        <w:t>$588,826,100. The proceeds of such subscription will be used to satisfy certain accounts payable that are or will be due and payable by certain subsidiaries of Parent to Volvo Cars. The Preference Shares converted into Class A ADS at Closing, in accordance with, and subject to, the terms of the Preference Shares.</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As a result of the Business Combination, Polestar Automotive Holding Limited’s subsidiaries and GGI became direct wholly owned subsidiaries of the Company and each of the shareholders of Polestar Group and the GGI stockholders own all the issued and outstanding shares of the Company.</w:t>
      </w:r>
    </w:p>
    <w:p>
      <w:pPr>
        <w:spacing w:after="0" w:line="13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For more information on the Business Combination, please see the sections titled “</w:t>
      </w:r>
      <w:r>
        <w:rPr>
          <w:rFonts w:ascii="Times New Roman" w:cs="Times New Roman" w:eastAsia="Times New Roman" w:hAnsi="Times New Roman"/>
          <w:sz w:val="18"/>
          <w:szCs w:val="18"/>
          <w:b w:val="1"/>
          <w:bCs w:val="1"/>
          <w:i w:val="1"/>
          <w:iCs w:val="1"/>
          <w:color w:val="auto"/>
        </w:rPr>
        <w:t>Explanatory Note</w:t>
      </w:r>
      <w:r>
        <w:rPr>
          <w:rFonts w:ascii="Times New Roman" w:cs="Times New Roman" w:eastAsia="Times New Roman" w:hAnsi="Times New Roman"/>
          <w:sz w:val="18"/>
          <w:szCs w:val="18"/>
          <w:b w:val="1"/>
          <w:bCs w:val="1"/>
          <w:color w:val="auto"/>
        </w:rPr>
        <w:t>” and Item 7.B “</w:t>
      </w:r>
      <w:r>
        <w:rPr>
          <w:rFonts w:ascii="Times New Roman" w:cs="Times New Roman" w:eastAsia="Times New Roman" w:hAnsi="Times New Roman"/>
          <w:sz w:val="18"/>
          <w:szCs w:val="18"/>
          <w:b w:val="1"/>
          <w:bCs w:val="1"/>
          <w:i w:val="1"/>
          <w:iCs w:val="1"/>
          <w:color w:val="auto"/>
        </w:rPr>
        <w:t>Major Shareholders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Related Party Transactions—Related Party Transactions</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accounted for as a capital restructuring in accordance with IFRS. Under this method of accounting, GGI is treated as the “acquired” company for financial reporting purposes, and Polestar Group is the accounting acquirer. This determination was based on evaluation of the following facts and circumstances:</w:t>
      </w:r>
    </w:p>
    <w:p>
      <w:pPr>
        <w:spacing w:after="0" w:line="81"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Shareholders have the largest voting interest in the Company with approximately 99% of the voting interest;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four members nominated by Parent, compared to only one nominated by the GGI Sponsor. Additionally, Parent has the ability to appoint the remaining members of the Board as deemed necessary;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senior management is the senior management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 operations substantially comprises the ongoing operations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 is the larger entity, in terms of substantive operations and employee base.</w:t>
      </w:r>
    </w:p>
    <w:p>
      <w:pPr>
        <w:spacing w:after="0" w:line="22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which is not within the scope of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GGI does not meet the definition of a “business,” is accounted for within the scope of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For accounting purposes, the transaction is treated as the equivalent of Parent issuing shares for the net assets of GGI, accompanied by a recapitalization. The net assets of GGI are stated at historical cost, with no goodwill or other intangible assets recorded. Any excess fair value of Shares issued over the fair value of GGI’s identifiable net assets acquired represents compensation for the service of a stock exchange listing for its shares and is expensed as incurred.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GGI’s existing charter, GGI’s public shareholders were offered the opportunity to redeem, upon closing of the Business Combination, GGI Class A Common Stock held by them for cash equal to their pro rata share of the aggregate amount on deposit in the trust account of GGI that holds the proceeds from GGI’s initial public offering consummated on March 25, 2021 (the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The unaudited pro forma condensed combined financial information reflects the actual redemption of 16,265,203 shares of GGI Class A Common Stock into cash at a price of $10.00 per share.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the number of Shares outstanding upon closing of the transaction:</w:t>
      </w:r>
    </w:p>
    <w:p>
      <w:pPr>
        <w:spacing w:after="0" w:line="11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580" w:type="dxa"/>
            <w:vAlign w:val="bottom"/>
            <w:vMerge w:val="restart"/>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Ownership in</w:t>
            </w:r>
          </w:p>
        </w:tc>
        <w:tc>
          <w:tcPr>
            <w:tcW w:w="620" w:type="dxa"/>
            <w:vAlign w:val="bottom"/>
            <w:vMerge w:val="restart"/>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w:t>
            </w:r>
          </w:p>
        </w:tc>
        <w:tc>
          <w:tcPr>
            <w:tcW w:w="440" w:type="dxa"/>
            <w:vAlign w:val="bottom"/>
            <w:vMerge w:val="restart"/>
          </w:tcPr>
          <w:p>
            <w:pPr>
              <w:spacing w:after="0"/>
              <w:rPr>
                <w:sz w:val="13"/>
                <w:szCs w:val="13"/>
                <w:color w:val="auto"/>
              </w:rPr>
            </w:pPr>
          </w:p>
        </w:tc>
        <w:tc>
          <w:tcPr>
            <w:tcW w:w="11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Voting %</w:t>
            </w: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GGI Public Stockholders</w:t>
            </w:r>
          </w:p>
        </w:tc>
        <w:tc>
          <w:tcPr>
            <w:tcW w:w="58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63,734,797</w:t>
            </w:r>
          </w:p>
        </w:tc>
        <w:tc>
          <w:tcPr>
            <w:tcW w:w="62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GGI Initial Stockholders, including Sponsor Subscription Shares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Founder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18,459,165</w:t>
            </w: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Convertible Note 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4,306,466</w:t>
            </w:r>
          </w:p>
        </w:tc>
        <w:tc>
          <w:tcPr>
            <w:tcW w:w="1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PIPE Investors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25,423,445</w:t>
            </w: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Shareholders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1,997,110,924</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94.7%</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620" w:type="dxa"/>
            <w:vAlign w:val="bottom"/>
            <w:vMerge w:val="continue"/>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372"/>
        </w:trPr>
        <w:tc>
          <w:tcPr>
            <w:tcW w:w="482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168</w:t>
            </w:r>
          </w:p>
        </w:tc>
        <w:tc>
          <w:tcPr>
            <w:tcW w:w="5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00" w:hanging="424"/>
        <w:spacing w:after="0" w:line="266"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calculation excludes 158,177,609 Earn Out Shares, 9,000,000 Class C Shares issued to GGI Private Placement warrant holders, 470,790 vested shares pursuant with the Equity Plan and Employee Stock Purchase Plan and 250,000 vested shares under a consulting services agreement.</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POSITION AS OF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560" w:type="dxa"/>
            <w:vAlign w:val="bottom"/>
            <w:vMerge w:val="restart"/>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10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3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1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gridSpan w:val="2"/>
            <w:vMerge w:val="continue"/>
          </w:tcPr>
          <w:p>
            <w:pPr>
              <w:spacing w:after="0"/>
              <w:rPr>
                <w:sz w:val="15"/>
                <w:szCs w:val="15"/>
                <w:color w:val="auto"/>
              </w:rPr>
            </w:pPr>
          </w:p>
        </w:tc>
        <w:tc>
          <w:tcPr>
            <w:tcW w:w="960" w:type="dxa"/>
            <w:vAlign w:val="bottom"/>
            <w:gridSpan w:val="2"/>
          </w:tcPr>
          <w:p>
            <w:pPr>
              <w:jc w:val="right"/>
              <w:ind w:right="141"/>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1,368,356</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1,368,356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208,193</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208,193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under operating lease</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120,626</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120,626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1,682</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3,850</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800,056</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(800,056)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800,056</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(800,056)</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756,677</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800,056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1,552,413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(83,867)</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248,125</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(6,050)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(162,831)</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1,258</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157,753</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receivables—related parties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14,688</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income—related parties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5,103</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545,743</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545,743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5,562</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1,477</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6,050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(1,477)</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120,202</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(28,847)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91,355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1,606,986</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1,780</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771,159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2,379,925</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(28,897)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(4,082,632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(Historical-GGI)</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(the Company)</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588,826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(Historical-GGI)</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vMerge w:val="continue"/>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98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169</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300" w:type="dxa"/>
            <w:vAlign w:val="bottom"/>
            <w:vMerge w:val="restart"/>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FN</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1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4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12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gridSpan w:val="2"/>
            <w:vMerge w:val="continue"/>
          </w:tcPr>
          <w:p>
            <w:pPr>
              <w:spacing w:after="0"/>
              <w:rPr>
                <w:sz w:val="15"/>
                <w:szCs w:val="15"/>
                <w:color w:val="auto"/>
              </w:rPr>
            </w:pPr>
          </w:p>
        </w:tc>
        <w:tc>
          <w:tcPr>
            <w:tcW w:w="10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 Capital (the Company)—Class A shares</w:t>
            </w: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(822)</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E</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(4,668)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(the Company)—Class A shares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(16,422)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Share capital (the Company)—Class C-2 Stock</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20,000,000 shares issued and outstanding at December 31, 2021</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(Historical-GGI)</w:t>
            </w: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16,784</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(1,865,909)</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1,865,909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(637,163)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(3,697,109)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54,428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(247,860)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(358,855)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(588,237)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(1,846,538)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(35,188)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(34,560)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(35,231)</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35,231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1,761,860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131,095</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3,540,569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488,745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(129,078)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1,477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3,136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1,285,351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131,093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(169,441)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(160,844)</w:t>
            </w:r>
          </w:p>
        </w:tc>
        <w:tc>
          <w:tcPr>
            <w:tcW w:w="0" w:type="dxa"/>
            <w:vAlign w:val="bottom"/>
          </w:tcPr>
          <w:p>
            <w:pPr>
              <w:spacing w:after="0"/>
              <w:rPr>
                <w:sz w:val="1"/>
                <w:szCs w:val="1"/>
                <w:color w:val="auto"/>
              </w:rPr>
            </w:pPr>
          </w:p>
        </w:tc>
      </w:tr>
      <w:tr>
        <w:trPr>
          <w:trHeight w:val="205"/>
        </w:trPr>
        <w:tc>
          <w:tcPr>
            <w:tcW w:w="5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Class A subject to possible redemption, 80,000,000 shares at December 31,</w:t>
            </w: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and 0 shares at December 31, 2020, respectively (at redemption</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 of $10 per share) (Historical-GGI)</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800,000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(28,922)</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(38,711)</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(11,764)</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800,000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interest-bearing liabilities—related parties</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572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170</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240" w:type="dxa"/>
            <w:vAlign w:val="bottom"/>
          </w:tcPr>
          <w:p>
            <w:pPr>
              <w:spacing w:after="0"/>
              <w:rPr>
                <w:sz w:val="13"/>
                <w:szCs w:val="13"/>
                <w:color w:val="auto"/>
              </w:rPr>
            </w:pPr>
          </w:p>
        </w:tc>
        <w:tc>
          <w:tcPr>
            <w:tcW w:w="11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380" w:type="dxa"/>
            <w:vAlign w:val="bottom"/>
            <w:gridSpan w:val="4"/>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40" w:type="dxa"/>
            <w:vAlign w:val="bottom"/>
          </w:tcPr>
          <w:p>
            <w:pPr>
              <w:spacing w:after="0"/>
              <w:rPr>
                <w:sz w:val="12"/>
                <w:szCs w:val="12"/>
                <w:color w:val="auto"/>
              </w:rPr>
            </w:pPr>
          </w:p>
        </w:tc>
        <w:tc>
          <w:tcPr>
            <w:tcW w:w="11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240" w:type="dxa"/>
            <w:vAlign w:val="bottom"/>
          </w:tcPr>
          <w:p>
            <w:pPr>
              <w:spacing w:after="0"/>
              <w:rPr>
                <w:sz w:val="12"/>
                <w:szCs w:val="12"/>
                <w:color w:val="auto"/>
              </w:rPr>
            </w:pPr>
          </w:p>
        </w:tc>
        <w:tc>
          <w:tcPr>
            <w:tcW w:w="11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116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3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 -</w:t>
            </w:r>
          </w:p>
        </w:tc>
        <w:tc>
          <w:tcPr>
            <w:tcW w:w="4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 w:type="dxa"/>
            <w:vAlign w:val="bottom"/>
          </w:tcPr>
          <w:p>
            <w:pPr>
              <w:spacing w:after="0"/>
              <w:rPr>
                <w:sz w:val="12"/>
                <w:szCs w:val="12"/>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FN</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4"/>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240" w:type="dxa"/>
            <w:vAlign w:val="bottom"/>
          </w:tcPr>
          <w:p>
            <w:pPr>
              <w:spacing w:after="0"/>
              <w:rPr>
                <w:sz w:val="15"/>
                <w:szCs w:val="15"/>
                <w:color w:val="auto"/>
              </w:rPr>
            </w:pPr>
          </w:p>
        </w:tc>
        <w:tc>
          <w:tcPr>
            <w:tcW w:w="1140" w:type="dxa"/>
            <w:vAlign w:val="bottom"/>
            <w:gridSpan w:val="3"/>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Note 2)</w:t>
            </w:r>
          </w:p>
        </w:tc>
        <w:tc>
          <w:tcPr>
            <w:tcW w:w="40" w:type="dxa"/>
            <w:vAlign w:val="bottom"/>
          </w:tcPr>
          <w:p>
            <w:pPr>
              <w:spacing w:after="0"/>
              <w:rPr>
                <w:sz w:val="15"/>
                <w:szCs w:val="15"/>
                <w:color w:val="auto"/>
              </w:rPr>
            </w:pPr>
          </w:p>
        </w:tc>
        <w:tc>
          <w:tcPr>
            <w:tcW w:w="116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1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(66,575)</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(66,575)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(28,000)</w:t>
            </w: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28,000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8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 out liability</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(1,285,351)</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K</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(1,285,351)</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(828,000)</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(457,351)</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(1,431,832</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(114,296)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24,131</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(90,165)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payables—related parties</w:t>
            </w:r>
          </w:p>
        </w:tc>
        <w:tc>
          <w:tcPr>
            <w:tcW w:w="2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(1,427,678)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588,826</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(838,852)</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expenses—related parties</w:t>
            </w:r>
          </w:p>
        </w:tc>
        <w:tc>
          <w:tcPr>
            <w:tcW w:w="2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(315,756)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(315,756)</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2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(36,415)</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provisions</w:t>
            </w:r>
          </w:p>
        </w:tc>
        <w:tc>
          <w:tcPr>
            <w:tcW w:w="2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(44,042)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(44,042)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(642,338)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(13,089)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2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tc>
        <w:tc>
          <w:tcPr>
            <w:tcW w:w="2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(13,789)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liabilities—revenue related current</w:t>
            </w:r>
          </w:p>
        </w:tc>
        <w:tc>
          <w:tcPr>
            <w:tcW w:w="2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(364,662)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(364,662)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(6,729)</w:t>
            </w:r>
          </w:p>
        </w:tc>
        <w:tc>
          <w:tcPr>
            <w:tcW w:w="12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6,172</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 derivative liability (Historical-GGI)</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(61,440)</w:t>
            </w:r>
          </w:p>
        </w:tc>
        <w:tc>
          <w:tcPr>
            <w:tcW w:w="12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61,440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 Class C-1 Common Stock</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(61,440)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(61,440)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derivative liability (Historical-GGI)</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(34,560)</w:t>
            </w:r>
          </w:p>
        </w:tc>
        <w:tc>
          <w:tcPr>
            <w:tcW w:w="12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34,560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w:t>
            </w:r>
          </w:p>
        </w:tc>
        <w:tc>
          <w:tcPr>
            <w:tcW w:w="8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20"/>
                <w:szCs w:val="20"/>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655,689</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(2,489,957</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(3,187,197)</w:t>
            </w: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(932,929)</w:t>
            </w:r>
          </w:p>
        </w:tc>
        <w:tc>
          <w:tcPr>
            <w:tcW w:w="12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198,338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(3,921,789)</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1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19"/>
                <w:szCs w:val="19"/>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28,897</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(4,082,632</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2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9480" w:type="dxa"/>
            <w:vAlign w:val="bottom"/>
            <w:gridSpan w:val="16"/>
          </w:tcPr>
          <w:p>
            <w:pPr>
              <w:jc w:val="center"/>
              <w:ind w:left="1431"/>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COMBINED STATEMENT OF</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80" w:type="dxa"/>
            <w:vAlign w:val="bottom"/>
            <w:gridSpan w:val="12"/>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9"/>
              </w:rPr>
              <w:t>OPERATIONS FOR THE YEAR ENDED DECEMBER 31, 2021</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240" w:type="dxa"/>
            <w:vAlign w:val="bottom"/>
          </w:tcPr>
          <w:p>
            <w:pPr>
              <w:spacing w:after="0"/>
              <w:rPr>
                <w:sz w:val="12"/>
                <w:szCs w:val="12"/>
                <w:color w:val="auto"/>
              </w:rPr>
            </w:pPr>
          </w:p>
        </w:tc>
        <w:tc>
          <w:tcPr>
            <w:tcW w:w="11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12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116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FN</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4"/>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240" w:type="dxa"/>
            <w:vAlign w:val="bottom"/>
          </w:tcPr>
          <w:p>
            <w:pPr>
              <w:spacing w:after="0"/>
              <w:rPr>
                <w:sz w:val="15"/>
                <w:szCs w:val="15"/>
                <w:color w:val="auto"/>
              </w:rPr>
            </w:pPr>
          </w:p>
        </w:tc>
        <w:tc>
          <w:tcPr>
            <w:tcW w:w="1140" w:type="dxa"/>
            <w:vAlign w:val="bottom"/>
            <w:gridSpan w:val="3"/>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Guggenheim</w:t>
            </w:r>
          </w:p>
        </w:tc>
        <w:tc>
          <w:tcPr>
            <w:tcW w:w="1200" w:type="dxa"/>
            <w:vAlign w:val="bottom"/>
            <w:gridSpan w:val="4"/>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132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1,337,181</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1,337,181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gridSpan w:val="2"/>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(1,336,321)</w:t>
            </w:r>
          </w:p>
        </w:tc>
        <w:tc>
          <w:tcPr>
            <w:tcW w:w="24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gridSpan w:val="2"/>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(714,724)</w:t>
            </w:r>
          </w:p>
        </w:tc>
        <w:tc>
          <w:tcPr>
            <w:tcW w:w="24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(725,387)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(4,809)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Gores</w:t>
            </w:r>
          </w:p>
        </w:tc>
        <w:tc>
          <w:tcPr>
            <w:tcW w:w="11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USD, except for per share information)</w:t>
            </w:r>
          </w:p>
        </w:tc>
        <w:tc>
          <w:tcPr>
            <w:tcW w:w="2200" w:type="dxa"/>
            <w:vAlign w:val="bottom"/>
            <w:vMerge w:val="restart"/>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160" w:type="dxa"/>
            <w:vAlign w:val="bottom"/>
            <w:gridSpan w:val="2"/>
            <w:vMerge w:val="continue"/>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1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Guggenheim</w:t>
            </w:r>
          </w:p>
        </w:tc>
        <w:tc>
          <w:tcPr>
            <w:tcW w:w="11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continue"/>
          </w:tcPr>
          <w:p>
            <w:pPr>
              <w:spacing w:after="0"/>
              <w:rPr>
                <w:sz w:val="15"/>
                <w:szCs w:val="15"/>
                <w:color w:val="auto"/>
              </w:rPr>
            </w:pPr>
          </w:p>
        </w:tc>
        <w:tc>
          <w:tcPr>
            <w:tcW w:w="13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(232,922)</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(232,922)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(72,750)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(72,750)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Listing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(488,745)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(488,745)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and expenses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(48,053)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(48,053)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32,970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32,970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(45,249)</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(45,249)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income—interest income</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(1,007,118)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(81,941)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(499,408)</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(1,588,467)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(81,941)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(499,408)</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(1,588,803)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Post-Combination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Class A Shares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229,341,491</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 basic and diluted shares outstanding of non—redeemable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81,151,581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2,109,755,587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(in U.S. dollars)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20" w:right="3160"/>
        <w:spacing w:after="0" w:line="377"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1. Basis of Presentation</w:t>
      </w:r>
    </w:p>
    <w:p>
      <w:pPr>
        <w:spacing w:after="0" w:line="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2021 assumes that the Business Combination occurred on December 31, 2021. The unaudited pro forma condensed combined statement of operations for the year ended December 31, 2021 presents the pro forma effect to the Business Combination as if it had been completed on January 1, 2021. These periods are presented on the basis that Polestar Group is the accounting acquirer.</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accompanying notes, which are included elsewhere in this report:</w:t>
      </w:r>
    </w:p>
    <w:p>
      <w:pPr>
        <w:spacing w:after="0" w:line="67" w:lineRule="exact"/>
        <w:rPr>
          <w:sz w:val="20"/>
          <w:szCs w:val="20"/>
          <w:color w:val="auto"/>
        </w:rPr>
      </w:pPr>
    </w:p>
    <w:p>
      <w:pPr>
        <w:ind w:left="1080" w:right="3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Holding Limited’s audited financial statements and related notes as of December 2021 and 2020 and for the years ended December 31, 2021, 2020 and 2019.</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GGI as of December 31, 2021 and 2020 and for the year ended December 31, 2021 and for the period from December 21, 2020 (inception) through December 31, 2020.</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adjustments presented on the unaudited pro forma condensed combined financial information have been identified and presented to provide an understanding of the Company upon consummation of the Business Combination for illustrative purposes. The unaudited pro forma condensed combined financial information has been prepared in accordance with Article 11 of Regulation S-X as amended by the final rule, No. 33-10786. Release No. 33-10786 replaces the existing pro forma adjustment criteria and simplified requirements to depict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accounting for the transaction (“</w:t>
      </w:r>
      <w:r>
        <w:rPr>
          <w:rFonts w:ascii="Times New Roman" w:cs="Times New Roman" w:eastAsia="Times New Roman" w:hAnsi="Times New Roman"/>
          <w:sz w:val="18"/>
          <w:szCs w:val="18"/>
          <w:i w:val="1"/>
          <w:i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i w:val="1"/>
          <w:iCs w:val="1"/>
          <w:color w:val="auto"/>
        </w:rPr>
        <w:t>Management’s Adjustments</w:t>
      </w:r>
      <w:r>
        <w:rPr>
          <w:rFonts w:ascii="Times New Roman" w:cs="Times New Roman" w:eastAsia="Times New Roman" w:hAnsi="Times New Roman"/>
          <w:sz w:val="18"/>
          <w:szCs w:val="18"/>
          <w:color w:val="auto"/>
        </w:rPr>
        <w:t>”). Polestar Group elected not to present Management’s Adjustments and is only presenting Transaction Accounting Adjustments in the following unaudited pro forma condensed combined financial information. The historical financial information has been adjusted to reflect the pro forma adjustments that are directly attributable to the Business Combination.</w:t>
      </w:r>
    </w:p>
    <w:p>
      <w:pPr>
        <w:spacing w:after="0" w:line="18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Polestar Group and GGI have not had any historical relationship prior to the Business Combination. Accordingly, no pro forma adjustments were required to eliminate activities between the companies.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adjustments presented in the unaudited pro forma condensed combined financial information have been identified and presented to provide relevant information necessary for an accurate understanding of the Company after giving effect to the Business Combination. Polestar Automotive Holding Limited’s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Polestar Automotive Holding Limited’s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Polestar Automotive Holding Limited believes that its assumptions and methodologies provide a reasonable basis for presenting all of the significant effects of the Business Combination based on information available to Polestar Automotive Holding Limited’s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excludes the impact of the 12-month single currency, green trade facility entered into on February 28, 2022 and related drawdown on March 24, 2022; as this event is unrelated to the Business Combination. See Note 25— Subsequent Events in Polestar Automotive Holding Limited’s audited financial statements and related notes as of December 2021 and 2020 and for the years ended December 31, 2021, 2020 and 2019.</w:t>
      </w:r>
    </w:p>
    <w:p>
      <w:pPr>
        <w:spacing w:after="0" w:line="18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approval of the Class C Warrant Amendment. The Class C Warrant Amendment amended the SPAC Warrant Agreement where each GGI Public Warrant and GGI Private Placement Warrant was cancelled and extinguished and converted into the right to receive one Class C-1 ADS and one Class C-2 ADS, respectively. The Class C-1 and Class C-2 ADS represent one Class C-1 and C-2 Shares, respectively; and maintain effectively the same terms as the GGI Private Placement Warrants and the GGI Public Warrants, resulting in similar economic benefits to the holder. Refer to the section titled Item 7.B “</w:t>
      </w:r>
      <w:r>
        <w:rPr>
          <w:rFonts w:ascii="Times New Roman" w:cs="Times New Roman" w:eastAsia="Times New Roman" w:hAnsi="Times New Roman"/>
          <w:sz w:val="18"/>
          <w:szCs w:val="18"/>
          <w:i w:val="1"/>
          <w:iCs w:val="1"/>
          <w:color w:val="auto"/>
        </w:rPr>
        <w:t>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Transactions—Related Party Transactions—Business Combination Related Agreements</w:t>
      </w:r>
      <w:r>
        <w:rPr>
          <w:rFonts w:ascii="Times New Roman" w:cs="Times New Roman" w:eastAsia="Times New Roman" w:hAnsi="Times New Roman"/>
          <w:sz w:val="18"/>
          <w:szCs w:val="18"/>
          <w:color w:val="auto"/>
        </w:rPr>
        <w:t>” for further details.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Polestar Automotive Holding Limited and GGI.</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based on the statutory rate in effect for the historical periods presented. Polestar Automotive Holding Limited’s management believes this unaudited pro forma condensed combined financial information to not be meaningful given the combined entity incurred significant losses during the historical period presented.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60"/>
          </w:cols>
          <w:pgMar w:left="320" w:top="455"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U.S. GAAP to IFRS Policy Adjustment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 to GGI U.S. GAAP to IFRS</w:t>
      </w:r>
    </w:p>
    <w:p>
      <w:pPr>
        <w:spacing w:after="0" w:line="11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historical financial statements of Polestar Automotive Holding Limited have been prepared in accordance with IFRS as issued by the IASB and in its presentation currency of the U.S. dollar. The historical financial statements of GGI have been prepared in accordance with U.S. GAAP in its presentation currency of the U.S. dollar. The unaudited pro forma condensed combined financial information reflects IFRS, the basis of accounting used by Polestar Automotive Holding Limited and what will be used by the registrant, the Company.</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adjustment required to convert GGI’s financial statements from U.S. GAAP to IFRS for purposes of the unaudited pro forma condensed combined financial information is presented in the table below:</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GGI Balance Sheet as of December 31, 2021</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bl>
      <w:tblPr>
        <w:tblLayout w:type="fixed"/>
        <w:tblInd w:w="120" w:type="dxa"/>
        <w:tblCellMar>
          <w:top w:w="0" w:type="dxa"/>
          <w:left w:w="0" w:type="dxa"/>
          <w:bottom w:w="0" w:type="dxa"/>
          <w:right w:w="0" w:type="dxa"/>
        </w:tblCellMar>
      </w:tblPr>
      <w:tr>
        <w:trPr>
          <w:trHeight w:val="132"/>
        </w:trPr>
        <w:tc>
          <w:tcPr>
            <w:tcW w:w="758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9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US GAAP</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IFRS</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580" w:type="dxa"/>
            <w:vAlign w:val="bottom"/>
            <w:gridSpan w:val="2"/>
            <w:vMerge w:val="continue"/>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1,780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800,056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61,440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34,560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34,560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Notes and advances payable—related party</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104,929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800,000</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132,929</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800,000</w:t>
            </w:r>
          </w:p>
        </w:tc>
        <w:tc>
          <w:tcPr>
            <w:tcW w:w="2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932,929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at December 31, 2021 (at redemption value of $10</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 0 shares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December 31, 2021 and December 31, 2020 respectively</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(131,095)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(131,095)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(131,093)</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(131,093)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color w:val="auto"/>
              </w:rPr>
              <w:t>174</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1"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under US GAAP shares of GGI Class A Common Stock are classified as temporary equity because they are redeemable at the sole discretion of the shareholder. As GGI Public Stockholders have the right to require GGI to redeem the GGI Class A common stock and GGI has an irrevocable obligation to deliver cash or another financial instrument for such redemption, this is reclassified from temporary equity under U.S. GAAP to other liabilities under IFRS.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Adjustments to Unaudited Pro Forma Condensed Combined Statement of Financial Position as of December 31,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are as follows:</w:t>
      </w:r>
    </w:p>
    <w:p>
      <w:pPr>
        <w:spacing w:after="0" w:line="113"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To reflect the release of cash from marketable securities held in the Trust Account that becomes available upon consummation of the Business Combination.</w:t>
      </w:r>
    </w:p>
    <w:p>
      <w:pPr>
        <w:spacing w:after="0" w:line="47" w:lineRule="exact"/>
        <w:rPr>
          <w:sz w:val="20"/>
          <w:szCs w:val="20"/>
          <w:color w:val="auto"/>
        </w:rPr>
      </w:pPr>
    </w:p>
    <w:p>
      <w:pPr>
        <w:ind w:left="560" w:right="1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To reclassify other non-current provisions related to shares of GGI Class A Common Stock subject to redemption to permanent equity at the closing of the Business Combination. Further, the $162.8 million or 16,265,203 shares reflects the redemptions related to shares of GGI Class A Common Stock redeemed for cash by the GGI Public Stockholders at the closing of the Business Combination. This amount includes proportionate interest accumulated on the Trust Account.</w:t>
      </w:r>
    </w:p>
    <w:p>
      <w:pPr>
        <w:spacing w:after="0" w:line="68" w:lineRule="exact"/>
        <w:rPr>
          <w:sz w:val="20"/>
          <w:szCs w:val="20"/>
          <w:color w:val="auto"/>
        </w:rPr>
      </w:pPr>
    </w:p>
    <w:p>
      <w:pPr>
        <w:ind w:left="56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To reflect the payment of an aggregate of $88.5 million transaction costs incurred by GGI and by Polestar Automotive Holding Limited of approximately $53.1 million and $35.4 million, respectively. Except where noted below, these costs consist of, advisory, banking, legal and accounting related transaction costs incurred as part of the Business Combination.</w:t>
      </w:r>
    </w:p>
    <w:p>
      <w:pPr>
        <w:spacing w:after="0" w:line="67"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For the GGI transaction costs, $28 million of these costs represent deferred underwriting fees from GGI’s initial public offering. Additionally, $6.2 million relates to estimated legal fees and fees related to proxy/prospectus related filings. These fees have been accrued for in the historical balance sheet as of December 31, 2021 and recorded in the historical statement of operations for the year ended December 31, 2021. They were settled at the Closing of the Business Combination. Of this $6.2 million recorded, $5.8 million are directly attributable to the transaction and reflected as an adjustment to accumulated deficit and additional paid-in capital as they were recorded in the historical statement of operations for the year ended December 31, 2021. This was off-set by a $3.8 million adjustment to accumulated deficit related to additional expenses settled at the Closing and are not directly attributable to the transaction. These expenses have not yet been recorded in the historical statement of operations for the year ended December 31, 2021. Of the remaining $20.9 million, $18.9 million consists of legal and other professional fees. These fees are related to the Business Combination and reflect an adjustment to additional paid-in capital. Lastly, there was $2 million that relates to a loan from the GGI Sponsor, that was paid at Closing.</w:t>
      </w:r>
    </w:p>
    <w:p>
      <w:pPr>
        <w:spacing w:after="0" w:line="86"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For Polestar Automotive Holding Limited’s transaction costs, $28.8 million of these costs have been recorded in the historical statement of financial position as of December 31, 2021. These fees primarily consist of legal and other professional advisory fees and are directly related to the Business Combination. Therefore, these fees reflect an adjustment to additional paid-in capital. The remaining $6.6 million relates to legal and other professional advisory fees that have been incurred and settled at the Closing. These fees have not yet been accrued for in the historical balance sheet as of December 31, 2021 or recorded in the historical statement of operations for the year ended December 31, 2021, as they have not yet been incurred. These fees are directly related to the Business Combination and as such, reflect an adjustment to additional paid-in capital.</w:t>
      </w:r>
    </w:p>
    <w:p>
      <w:pPr>
        <w:spacing w:after="0" w:line="75" w:lineRule="exact"/>
        <w:rPr>
          <w:sz w:val="20"/>
          <w:szCs w:val="20"/>
          <w:color w:val="auto"/>
        </w:rPr>
      </w:pPr>
    </w:p>
    <w:p>
      <w:pPr>
        <w:jc w:val="both"/>
        <w:ind w:left="560" w:right="56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To reflect proceeds of $248 million (net of fees) from the issuance and sale of 26,540,835 Post-Combination Company Class A Shares underlying the Class A ADSs to be purchased pursuant to the Subscription Agreements. The impact to accumulated deficit is related to the discounted Subscription Price of approximately $9.42 per Class A ADS offered to the investors of the Subscription Agreements.</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7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To eliminate the accumulated deficit of GGI of $131.1 million at the closing of the Business Combination, offset by the $2.6 million accumulated deficit adjustment discussed in Note C above.</w:t>
      </w:r>
    </w:p>
    <w:p>
      <w:pPr>
        <w:spacing w:after="0" w:line="51"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color w:val="auto"/>
        </w:rPr>
        <w:t>Additionally, this entry reflects the one for one exchange of 80,000,000 shares of GGI Class A Common Stock and 20,000,000 shares of GGI Class F Common Stock for Post-Combination Company Class A Shares, at the Closing as well as the forfeiture of 1,540,835 shares of GGI Class F Common Stock. In accordance with IFRS 2, the deemed costs of the shares issued by the Company in excess of the net assets of GGI, which primarily consists of cash and marketable securities held in the Trust Account and certain private warrants liabilities, are accounted for as share-based compensation and reflected as an adjustment to accumulated deficit of $488,745 million.</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share-based compensation is calculated as follows:</w:t>
      </w:r>
    </w:p>
    <w:p>
      <w:pPr>
        <w:spacing w:after="0" w:line="269" w:lineRule="exact"/>
        <w:rPr>
          <w:sz w:val="20"/>
          <w:szCs w:val="20"/>
          <w:color w:val="auto"/>
        </w:rPr>
      </w:pPr>
    </w:p>
    <w:tbl>
      <w:tblPr>
        <w:tblLayout w:type="fixed"/>
        <w:tblInd w:w="10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Polestar</w:t>
            </w:r>
            <w:r>
              <w:rPr>
                <w:rFonts w:ascii="Times New Roman" w:cs="Times New Roman" w:eastAsia="Times New Roman" w:hAnsi="Times New Roman"/>
                <w:sz w:val="15"/>
                <w:szCs w:val="15"/>
                <w:color w:val="auto"/>
              </w:rPr>
              <w:t>(1)</w:t>
            </w:r>
          </w:p>
        </w:tc>
        <w:tc>
          <w:tcPr>
            <w:tcW w:w="11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$ 22,399,110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interest in the Company that will be issued to GGI stockholders, including GGI</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warrants converted to Post-Combination Company Class C shares at</w:t>
            </w:r>
          </w:p>
        </w:tc>
        <w:tc>
          <w:tcPr>
            <w:tcW w:w="1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w:t>
            </w:r>
            <w:r>
              <w:rPr>
                <w:rFonts w:ascii="Times New Roman" w:cs="Times New Roman" w:eastAsia="Times New Roman" w:hAnsi="Times New Roman"/>
                <w:sz w:val="15"/>
                <w:szCs w:val="15"/>
                <w:color w:val="auto"/>
              </w:rPr>
              <w:t>(2)</w:t>
            </w:r>
          </w:p>
        </w:tc>
        <w:tc>
          <w:tcPr>
            <w:tcW w:w="1120" w:type="dxa"/>
            <w:vAlign w:val="bottom"/>
            <w:vMerge w:val="continue"/>
          </w:tcPr>
          <w:p>
            <w:pPr>
              <w:spacing w:after="0"/>
              <w:rPr>
                <w:sz w:val="20"/>
                <w:szCs w:val="20"/>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 in the Company of Parent after the Closing</w:t>
            </w:r>
            <w:r>
              <w:rPr>
                <w:rFonts w:ascii="Times New Roman" w:cs="Times New Roman" w:eastAsia="Times New Roman" w:hAnsi="Times New Roman"/>
                <w:sz w:val="15"/>
                <w:szCs w:val="15"/>
                <w:color w:val="auto"/>
              </w:rPr>
              <w:t>(3)</w:t>
            </w:r>
          </w:p>
        </w:tc>
        <w:tc>
          <w:tcPr>
            <w:tcW w:w="1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costs of shares issued by the Company</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1,231,951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SPAC net assets</w:t>
            </w:r>
            <w:r>
              <w:rPr>
                <w:rFonts w:ascii="Times New Roman" w:cs="Times New Roman" w:eastAsia="Times New Roman" w:hAnsi="Times New Roman"/>
                <w:sz w:val="15"/>
                <w:szCs w:val="15"/>
                <w:color w:val="auto"/>
              </w:rPr>
              <w:t>(4)</w:t>
            </w: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Proceeds from the PIPE Investment, Sponsor</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Investment and Subscription Investment</w:t>
            </w:r>
            <w:r>
              <w:rPr>
                <w:rFonts w:ascii="Times New Roman" w:cs="Times New Roman" w:eastAsia="Times New Roman" w:hAnsi="Times New Roman"/>
                <w:sz w:val="15"/>
                <w:szCs w:val="15"/>
                <w:color w:val="auto"/>
              </w:rPr>
              <w:t>(5)</w:t>
            </w: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236,951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488,745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40" w:hanging="532"/>
        <w:spacing w:after="0" w:line="261"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the shares or fair value of Polestar was estimated based on the fair value of the OpCo issued shares by the Parent prior to the merger with GGI and the Company, less the adjustment in respect of Earn Out Shares (see note K below).</w:t>
      </w:r>
    </w:p>
    <w:p>
      <w:pPr>
        <w:ind w:left="1080" w:right="480" w:hanging="532"/>
        <w:spacing w:after="0" w:line="250"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equity interest in the Company derived from number of shares outstanding at the Closing, including the GGI Private Placement Warrants converted into the Class C shares at the Closing.</w:t>
      </w: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equity interest Parent has in the Company after the Closing.</w:t>
      </w:r>
    </w:p>
    <w:p>
      <w:pPr>
        <w:spacing w:after="0" w:line="9" w:lineRule="exact"/>
        <w:rPr>
          <w:rFonts w:ascii="Times New Roman" w:cs="Times New Roman" w:eastAsia="Times New Roman" w:hAnsi="Times New Roman"/>
          <w:sz w:val="18"/>
          <w:szCs w:val="18"/>
          <w:color w:val="auto"/>
        </w:rPr>
      </w:pPr>
    </w:p>
    <w:p>
      <w:pPr>
        <w:ind w:left="1080" w:right="40" w:hanging="532"/>
        <w:spacing w:after="0" w:line="250"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GGI net assets derived from unaudited financial statements as of and for year ended December 31, 2021. Net assets defined as assets less liabilities, excluding cash of $800 million, classified as non-current liabilities, as this was determined to be cash at the time of the Closing.</w:t>
      </w:r>
    </w:p>
    <w:p>
      <w:pPr>
        <w:ind w:left="1080" w:right="100" w:hanging="532"/>
        <w:spacing w:after="0" w:line="260"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 of net cash received from the PIPE Investment, Sponsor Subscription investment (see Note D above). This is included as part of the calculation as the Sponsor and third-party ownership interests are factored into the table above.</w:t>
      </w:r>
    </w:p>
    <w:p>
      <w:pPr>
        <w:spacing w:after="0" w:line="69" w:lineRule="exact"/>
        <w:rPr>
          <w:sz w:val="20"/>
          <w:szCs w:val="20"/>
          <w:color w:val="auto"/>
        </w:rPr>
      </w:pPr>
    </w:p>
    <w:p>
      <w:pPr>
        <w:ind w:left="560" w:right="1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To reflect Parent contributing its shares of Polestar to the Company as part of the Pre-Closing Reorganization in exchange for 294,877,349 Class A Shares and 1,642,233,575 Class B Shares. Prior to the Pre-Closing Reorganization, the Parent Shareholders held 197,026,729 Class A ordinary shares of Parent and 35,377,866 Class B ordinary shares of Parent due to the conversion of certain Class A ordinary shares of Parent to Class B ordinary shares of Parent that occurred in July 2021.</w:t>
      </w:r>
    </w:p>
    <w:p>
      <w:pPr>
        <w:spacing w:after="0" w:line="68" w:lineRule="exact"/>
        <w:rPr>
          <w:sz w:val="20"/>
          <w:szCs w:val="20"/>
          <w:color w:val="auto"/>
        </w:rPr>
      </w:pPr>
    </w:p>
    <w:p>
      <w:pPr>
        <w:ind w:left="560"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To reflect the issuance of Preference Shares to Volvo Cars in exchange for cash, which Polestar Automotive Holding Limited used to pay down outstanding payables owed to Volvo Cars. The cash proceeds will equal Polestar Automotive Holding Limited’s outstanding trade payable to Volvo Cars and its subsidiaries. Each Company Preference Share is convertible into Class A Shares at a conversion price of $10 per Class A Share from time to time following the Closing. In essence, this is a capital contribution from Volvo Cars. All of the Preference Shares were converted into Class A Shares at Closing. Refer to the “</w:t>
      </w:r>
      <w:r>
        <w:rPr>
          <w:rFonts w:ascii="Times New Roman" w:cs="Times New Roman" w:eastAsia="Times New Roman" w:hAnsi="Times New Roman"/>
          <w:sz w:val="18"/>
          <w:szCs w:val="18"/>
          <w:i w:val="1"/>
          <w:iCs w:val="1"/>
          <w:color w:val="auto"/>
        </w:rPr>
        <w:t>—Description of the Business Combination</w:t>
      </w:r>
      <w:r>
        <w:rPr>
          <w:rFonts w:ascii="Times New Roman" w:cs="Times New Roman" w:eastAsia="Times New Roman" w:hAnsi="Times New Roman"/>
          <w:sz w:val="18"/>
          <w:szCs w:val="18"/>
          <w:color w:val="auto"/>
        </w:rPr>
        <w:t>” section above, for further discussion.</w:t>
      </w:r>
    </w:p>
    <w:p>
      <w:pPr>
        <w:spacing w:after="0" w:line="71" w:lineRule="exact"/>
        <w:rPr>
          <w:sz w:val="20"/>
          <w:szCs w:val="20"/>
          <w:color w:val="auto"/>
        </w:rPr>
      </w:pPr>
    </w:p>
    <w:p>
      <w:pPr>
        <w:ind w:left="5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To reflect the approval of the Warrant Amendment Proposal, the issuance of Class C-1 Shares and Class C-2 Shares in the form of Class C-1 ADSs and Class C-2 ADSs as a result of the conversion of GGI Public Warrants and GGI Private Placement Warrants, respectively. The Class C-1 Shares issued for the GGI Public Warrants remain classified as a derivative liability. The classification of GGI Private Placement</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80"/>
        <w:spacing w:after="0" w:line="266" w:lineRule="auto"/>
        <w:rPr>
          <w:sz w:val="20"/>
          <w:szCs w:val="20"/>
          <w:color w:val="auto"/>
        </w:rPr>
      </w:pPr>
      <w:r>
        <w:rPr>
          <w:rFonts w:ascii="Times New Roman" w:cs="Times New Roman" w:eastAsia="Times New Roman" w:hAnsi="Times New Roman"/>
          <w:sz w:val="18"/>
          <w:szCs w:val="18"/>
          <w:color w:val="auto"/>
        </w:rPr>
        <w:t xml:space="preserve">Warrants (Class C-2 Shares) under IFRS remains an evolving topic with diversity in practice. While the future accounting treatment may require recognition as a liability in accordance with </w:t>
      </w:r>
      <w:r>
        <w:rPr>
          <w:rFonts w:ascii="Times New Roman" w:cs="Times New Roman" w:eastAsia="Times New Roman" w:hAnsi="Times New Roman"/>
          <w:sz w:val="18"/>
          <w:szCs w:val="18"/>
          <w:i w:val="1"/>
          <w:iCs w:val="1"/>
          <w:color w:val="auto"/>
        </w:rPr>
        <w:t>IAS 32 (Financial Instruments - Presentation)</w:t>
      </w:r>
      <w:r>
        <w:rPr>
          <w:rFonts w:ascii="Times New Roman" w:cs="Times New Roman" w:eastAsia="Times New Roman" w:hAnsi="Times New Roman"/>
          <w:sz w:val="18"/>
          <w:szCs w:val="18"/>
          <w:color w:val="auto"/>
        </w:rPr>
        <w:t>, upon consummation of the Business Combination, the Class C-2 Shares are presented as equity instruments under IFRS 2.</w:t>
      </w:r>
    </w:p>
    <w:p>
      <w:pPr>
        <w:spacing w:after="0" w:line="64" w:lineRule="exact"/>
        <w:rPr>
          <w:sz w:val="20"/>
          <w:szCs w:val="20"/>
          <w:color w:val="auto"/>
        </w:rPr>
      </w:pPr>
    </w:p>
    <w:p>
      <w:pPr>
        <w:ind w:left="560"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To reflect the expense for “tail” policy providing directors’ and officers’ liability insurance coverage for the benefit of those persons who are covered by any comparable insurance policies of GGI. This amount represents the $6 million premium paid in full at the Closing related to the liability insurance coverage for the directors and officers of GGI, less the $1.5 million existing prepaid insurance premium as of December 31, 2021.</w:t>
      </w:r>
    </w:p>
    <w:p>
      <w:pPr>
        <w:spacing w:after="0" w:line="68" w:lineRule="exact"/>
        <w:rPr>
          <w:sz w:val="20"/>
          <w:szCs w:val="20"/>
          <w:color w:val="auto"/>
        </w:rPr>
      </w:pPr>
    </w:p>
    <w:p>
      <w:pPr>
        <w:ind w:left="560"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To reflect the conversion of convertible notes that are outstanding immediately prior to the Closing into Class A Shares. In July 2021, unrelated to the Business Combination, Polestar Automotive Holding Limited entered into a convertible note agreement for $35 million. The convertible notes are non-interest bearing and are not eligible to receive a coupon or dividend for the first 24-months after issuance.</w:t>
      </w:r>
    </w:p>
    <w:p>
      <w:pPr>
        <w:spacing w:after="0" w:line="63"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To reflect the liability associated with the Earn Out Shares issuable pursuant to the Business Combination Agreement. Up to 158.2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Earn Out Shares will be available to be delivered by the Company to the Parent Shareholders as additional consideration for the Pre-Closing Reorganization. The Parent has a right to receive the Earn Out Shares if certain stock price hurdles are achieved over a five-year period from the 180th day following the Closing. There is diversity in practice for the accounting treatment of these type of agreements but we believe at this time, we should evaluate this in accordance with </w:t>
      </w:r>
      <w:r>
        <w:rPr>
          <w:rFonts w:ascii="Times New Roman" w:cs="Times New Roman" w:eastAsia="Times New Roman" w:hAnsi="Times New Roman"/>
          <w:sz w:val="18"/>
          <w:szCs w:val="18"/>
          <w:i w:val="1"/>
          <w:iCs w:val="1"/>
          <w:color w:val="auto"/>
        </w:rPr>
        <w:t>IAS 32 (Financial Instruments—Presentation)</w:t>
      </w:r>
      <w:r>
        <w:rPr>
          <w:rFonts w:ascii="Times New Roman" w:cs="Times New Roman" w:eastAsia="Times New Roman" w:hAnsi="Times New Roman"/>
          <w:sz w:val="18"/>
          <w:szCs w:val="18"/>
          <w:color w:val="auto"/>
        </w:rPr>
        <w:t>. The Earn Out Shares have, in accordance with the requirements of IAS 32, been recognized as a financial liability measured at fair value in the unaudited condensed combined pro forma statement of financial position as the arrangement may result in the Company issuing a variable number of shares in the future. A valuation assessment was performed for the purpose of determining an estimate of the financial liability using a Monte Carlo simulation using key assumptions for: volatility based on peer company data; risk-free rate; and beginning Share price of $10.00. The estimated valuation of the liability as of December 31, 2021 was approximately $1.285 billion with a corresponding charge being directly reflected to accumulated deficit as it is recorded in the same manner as a dividend giving value to existing shareholders effectively as a pro rata dividend. An increase or decrease in volatility of 10% during subsequent periods would result in an increase or decrease in the liability of approximately $0.98 billion, which would be recognized through the pro forma statement of operations.</w:t>
      </w:r>
    </w:p>
    <w:p>
      <w:pPr>
        <w:spacing w:after="0" w:line="83" w:lineRule="exact"/>
        <w:rPr>
          <w:sz w:val="20"/>
          <w:szCs w:val="20"/>
          <w:color w:val="auto"/>
        </w:rPr>
      </w:pPr>
    </w:p>
    <w:p>
      <w:pPr>
        <w:ind w:left="560" w:right="100" w:hanging="4"/>
        <w:spacing w:after="0" w:line="272" w:lineRule="auto"/>
        <w:tabs>
          <w:tab w:leader="none" w:pos="845"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reflect the expense associated with a consulting services agreement, where Class A Shares in the form of Class A ADSs will be issued to a service provider in exchange for the performance of marketing consulting services. 250,000 shares will vest and be issued on the date the Resale Registration Statement becomes effective. 250,000 shares will vest over a 24-month period with one eighth of these shares vesting each quarter.</w:t>
      </w:r>
    </w:p>
    <w:p>
      <w:pPr>
        <w:spacing w:after="0" w:line="1"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None of these vested shares will be issued prior to the effectiveness of the Resale Registration Statement.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 of Operations for the year ended December 31,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are as follows:</w:t>
      </w:r>
    </w:p>
    <w:p>
      <w:pPr>
        <w:spacing w:after="0" w:line="117" w:lineRule="exact"/>
        <w:rPr>
          <w:sz w:val="20"/>
          <w:szCs w:val="20"/>
          <w:color w:val="auto"/>
        </w:rPr>
      </w:pPr>
    </w:p>
    <w:p>
      <w:pPr>
        <w:ind w:left="560" w:right="120" w:hanging="4"/>
        <w:spacing w:after="0" w:line="282" w:lineRule="auto"/>
        <w:tabs>
          <w:tab w:leader="none" w:pos="89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associated with the Class A Shares to be issued in the form of Class A ADSs as consideration to a service provider for marketing consulting services. Refer to Note L above for further discussion.</w:t>
      </w:r>
    </w:p>
    <w:p>
      <w:pPr>
        <w:spacing w:after="0" w:line="53" w:lineRule="exact"/>
        <w:rPr>
          <w:rFonts w:ascii="Times New Roman" w:cs="Times New Roman" w:eastAsia="Times New Roman" w:hAnsi="Times New Roman"/>
          <w:sz w:val="18"/>
          <w:szCs w:val="18"/>
          <w:b w:val="1"/>
          <w:bCs w:val="1"/>
          <w:color w:val="auto"/>
        </w:rPr>
      </w:pPr>
    </w:p>
    <w:p>
      <w:pPr>
        <w:jc w:val="both"/>
        <w:ind w:left="560" w:right="200" w:hanging="4"/>
        <w:spacing w:after="0" w:line="266" w:lineRule="auto"/>
        <w:tabs>
          <w:tab w:leader="none" w:pos="85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adjustment for “tail” policy providing directors’ and officers’ liability insurance coverage for the benefit of those persons who are covered by any comparable insurance policies of GGI. This compensation expense is not expected to have a continuing impact on the combined results. This expense represents the annual amortization of the premium paid at the Closing related to the six-year insurance policy.</w:t>
      </w:r>
    </w:p>
    <w:p>
      <w:pPr>
        <w:spacing w:after="0" w:line="67" w:lineRule="exact"/>
        <w:rPr>
          <w:rFonts w:ascii="Times New Roman" w:cs="Times New Roman" w:eastAsia="Times New Roman" w:hAnsi="Times New Roman"/>
          <w:sz w:val="18"/>
          <w:szCs w:val="18"/>
          <w:b w:val="1"/>
          <w:bCs w:val="1"/>
          <w:color w:val="auto"/>
        </w:rPr>
      </w:pPr>
    </w:p>
    <w:p>
      <w:pPr>
        <w:ind w:left="560" w:right="240" w:hanging="4"/>
        <w:spacing w:after="0" w:line="282" w:lineRule="auto"/>
        <w:tabs>
          <w:tab w:leader="none" w:pos="86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calculation of weighted average shares outstanding for basic and diluted net loss per share assumes that the Business Combination was closed as of January 1, 2021. The pro forma loss per share is calculated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200"/>
        <w:spacing w:after="0" w:line="261" w:lineRule="auto"/>
        <w:rPr>
          <w:sz w:val="20"/>
          <w:szCs w:val="20"/>
          <w:color w:val="auto"/>
        </w:rPr>
      </w:pPr>
      <w:r>
        <w:rPr>
          <w:rFonts w:ascii="Times New Roman" w:cs="Times New Roman" w:eastAsia="Times New Roman" w:hAnsi="Times New Roman"/>
          <w:sz w:val="18"/>
          <w:szCs w:val="18"/>
          <w:color w:val="auto"/>
        </w:rPr>
        <w:t>based on pro forma net loss divided by the weighted average pro forma basic and diluted number of shares. The pro forma diluted loss per share does not consider the impact of securities other than the ordinary shares, and shares vested under the Equity Plan and Employee Stock Purchase Plan (see notes J and R, respectively, for further detail) as other securities would be anti-dilutive due to the pro forma net loss position. As such, pro forma basic and diluted loss per share are the same value.</w:t>
      </w:r>
    </w:p>
    <w:p>
      <w:pPr>
        <w:spacing w:after="0" w:line="72" w:lineRule="exact"/>
        <w:rPr>
          <w:sz w:val="20"/>
          <w:szCs w:val="20"/>
          <w:color w:val="auto"/>
        </w:rPr>
      </w:pPr>
    </w:p>
    <w:p>
      <w:pPr>
        <w:ind w:left="560" w:hanging="4"/>
        <w:spacing w:after="0" w:line="258" w:lineRule="auto"/>
        <w:tabs>
          <w:tab w:leader="none" w:pos="83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for the restricted shares issued under the “At Listing” Equity Plan adopted by the Company at the Closing. The award is a one-time issuance of restricted shares of Class A Shares offered to executive management and select upper management team members. The value of the award will be equal to a certain percentage of the awardee’s base salary, depending on the awardee’s position at the Polestar Group. Receipt of the award is based on the successful public listing of the Post-Combination Company and continued employment of the awardees. One-third of the restricted shares fully vest upon issuance. The remaining restricted shares vest over a two year period from the date of issuance.</w:t>
      </w:r>
    </w:p>
    <w:p>
      <w:pPr>
        <w:spacing w:after="0" w:line="75" w:lineRule="exact"/>
        <w:rPr>
          <w:rFonts w:ascii="Times New Roman" w:cs="Times New Roman" w:eastAsia="Times New Roman" w:hAnsi="Times New Roman"/>
          <w:sz w:val="18"/>
          <w:szCs w:val="18"/>
          <w:b w:val="1"/>
          <w:bCs w:val="1"/>
          <w:color w:val="auto"/>
        </w:rPr>
      </w:pPr>
    </w:p>
    <w:p>
      <w:pPr>
        <w:ind w:left="560" w:hanging="4"/>
        <w:spacing w:after="0" w:line="261" w:lineRule="auto"/>
        <w:tabs>
          <w:tab w:leader="none" w:pos="86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expense for the Employee Stock Purchase Plan adopted by the Company at the Closing of the Business Combination. Under this plan, all employees are offered a one-time issuance of Class A ADSs in a value equal to 4% of the awardee’s base salary. Receipt of the award is based on employment at the public listing date and continued employment of the awardees for one-year after the listing date. This expense represents a one-time cost to the pro forma statement of operations.</w:t>
      </w:r>
    </w:p>
    <w:p>
      <w:pPr>
        <w:spacing w:after="0" w:line="71" w:lineRule="exact"/>
        <w:rPr>
          <w:rFonts w:ascii="Times New Roman" w:cs="Times New Roman" w:eastAsia="Times New Roman" w:hAnsi="Times New Roman"/>
          <w:sz w:val="18"/>
          <w:szCs w:val="18"/>
          <w:b w:val="1"/>
          <w:bCs w:val="1"/>
          <w:color w:val="auto"/>
        </w:rPr>
      </w:pPr>
    </w:p>
    <w:p>
      <w:pPr>
        <w:ind w:left="560" w:right="580" w:hanging="4"/>
        <w:spacing w:after="0" w:line="282" w:lineRule="auto"/>
        <w:tabs>
          <w:tab w:leader="none" w:pos="85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an adjustment for transaction costs that were recorded in the statement of operations of GGI and are directly attributable and incremental to the Business Combination. These are not expected to have a continuing impact on the combined results.</w:t>
      </w:r>
    </w:p>
    <w:p>
      <w:pPr>
        <w:spacing w:after="0" w:line="53" w:lineRule="exact"/>
        <w:rPr>
          <w:rFonts w:ascii="Times New Roman" w:cs="Times New Roman" w:eastAsia="Times New Roman" w:hAnsi="Times New Roman"/>
          <w:sz w:val="18"/>
          <w:szCs w:val="18"/>
          <w:b w:val="1"/>
          <w:bCs w:val="1"/>
          <w:color w:val="auto"/>
        </w:rPr>
      </w:pPr>
    </w:p>
    <w:p>
      <w:pPr>
        <w:ind w:left="560" w:right="20" w:hanging="4"/>
        <w:spacing w:after="0" w:line="261" w:lineRule="auto"/>
        <w:tabs>
          <w:tab w:leader="none" w:pos="82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2 share-based compensation expense for the deemed listing services received by the Company from GGI, which is the difference between the fair value of the shares issued by the Company in excess of the net assets of GGI that the Company acquired. This expense represents a one-time cost to the pro forma statement of operations. This compensation expense is not expected to have a continuing impact on the combined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Comparative Per Share Data</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historical comparative share information for the Company and GGI on a standalone basis and pro forma combined per share information after giving effect to the Business Combination by taking into account that (a) certain GGI Public Stockholders exercised their redemption rights with respect to their GGI Class A Common Stock upon the consummation of the Business Combination, (b) no issuance of Earn Out Shares or shares pursuant to the Equity Plan or Employee Stock Purchase Plan, (c) the conversion of the Preference Shares and Polestar’s convertible notes and (d) no conversion or redemption of any of the Class C ADSs.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have been prepared in accordance with IFRS as issued by the IASB and in its functional and presentation currency of U.S. dollars. The historical financial statements of GGI have been prepared in accordance with generally accepted accounting principles as in effect in the United States from time to time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in its functional and presentation currency of U.S. dollars.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historical financial statements of GGI and Polestar Automotive Holding Limited included elsewhere in this report. The pro forma combined per share information is derived from, and should be read in conjunction with, the information contained in the section of this report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pro forma combined share information below does not purport to represent what the actual results of operations or the earnings per share would have been if the companies had been combined during the periods presented, nor to project the Company’s results of operations or earnings per share (“</w:t>
      </w:r>
      <w:r>
        <w:rPr>
          <w:rFonts w:ascii="Times New Roman" w:cs="Times New Roman" w:eastAsia="Times New Roman" w:hAnsi="Times New Roman"/>
          <w:sz w:val="18"/>
          <w:szCs w:val="18"/>
          <w:i w:val="1"/>
          <w:iCs w:val="1"/>
          <w:color w:val="auto"/>
        </w:rPr>
        <w:t>EPS</w:t>
      </w:r>
      <w:r>
        <w:rPr>
          <w:rFonts w:ascii="Times New Roman" w:cs="Times New Roman" w:eastAsia="Times New Roman" w:hAnsi="Times New Roman"/>
          <w:sz w:val="18"/>
          <w:szCs w:val="18"/>
          <w:color w:val="auto"/>
        </w:rPr>
        <w:t>”) for any future date or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earnings per share have been calculated using the historical weighted average shares outstanding, and the issuance of additional shares in connection with the Business Combination and related transactions, assuming the shares were outstanding since January 1, 2021. As the Business Combination and related transactions are being reflected as if they had occurred at the beginning of the period presented, the calculation of weighted average shares outstanding for basic and diluted net loss per share assumes that the shares issued in connection with the Business Combination have been outstanding for the entire period presented. Basic and diluted loss per share for Class A Shares and Class B Shares are the same, as each class of common stock is entitled to the same dividend participation rights and economic terms.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Polestar</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GGI</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Combined Pro</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and for the year ended December 31, 2021</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 book value per share</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0.53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of outstanding shares—basic</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7"/>
              </w:rPr>
              <w:t>229,341,491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81,151,581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2,109,755,587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outstanding shares,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640" w:hanging="424"/>
        <w:spacing w:after="0" w:line="261"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using the formula: Total shareholder’s equity divided by weighted-average shares outstanding. No cash dividends were paid during the periods presented.</w:t>
      </w:r>
    </w:p>
    <w:p>
      <w:pPr>
        <w:ind w:left="540" w:right="320" w:hanging="424"/>
        <w:spacing w:after="0" w:line="26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shares outstanding includes shares vested under the Equity Plan and Employee Stock Purchase Plan and consulting services agreement.</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purposes of calculating diluted loss per share, management assumed that all GGI Public Warrants and GGI Private Placement Warrants will not be exercised. Further, the effect of shares granted to employees pursuant to the Equity Plan and Employee Stock Purchase Plan as a result of consummation of Business Combination were not included in the calculation of diluted loss per share, nor were the Earn Out Shares available for issuance under the Business Combination Agreement, as this results in anti-dilution. The number of shares excluded from the calculation are represented in the tables below.</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GGI Public Warrants converted to Class C Shares at Closing</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15,999,965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GGI Private Placement Warrants converted to Class C Shares at</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Earn Out Shares available to be issued to the Parent Shareholders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158,177,609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available under the Equity Plans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available under a consulting services agreement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183,705,370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has not paid any cash dividends on its capital stock to date and does not intend to pay cash dividends in the foreseeable future and expect to reinvest all undistributed earnings to expand our operations, which we believe would be of the most benefit to our shareholders. The declaration of dividends, if any, will be subject to the discretion of the Board, which may consider such factors as our results of operations, financial condition, capital needs and acquisition strategy, among others. Also see Item 10.B “</w:t>
      </w:r>
      <w:r>
        <w:rPr>
          <w:rFonts w:ascii="Times New Roman" w:cs="Times New Roman" w:eastAsia="Times New Roman" w:hAnsi="Times New Roman"/>
          <w:sz w:val="18"/>
          <w:szCs w:val="18"/>
          <w:i w:val="1"/>
          <w:iCs w:val="1"/>
          <w:color w:val="auto"/>
        </w:rPr>
        <w:t>Additional Information—Articles of Association—Polestar Articles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English Law Considerations—Other English Law Considerations—Distributions &amp; Dividends</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660" w:hanging="544"/>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Report, we have not experienced any significant changes since the date of our audited consolidated financial statements included in this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31"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Class A ADSs and Class C-1 ADSs are listed on Nasdaq under the symbols “PSNY” and “PSNYW,” respectively. Holders of Class A ADSs and Class C-1 ADSs should obtain current market quotations for their securities.</w:t>
      </w:r>
    </w:p>
    <w:p>
      <w:pPr>
        <w:spacing w:after="0" w:line="160"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Information regarding Class A ADSs is described in Item 12.D “</w:t>
      </w:r>
      <w:r>
        <w:rPr>
          <w:rFonts w:ascii="Times New Roman" w:cs="Times New Roman" w:eastAsia="Times New Roman" w:hAnsi="Times New Roman"/>
          <w:sz w:val="18"/>
          <w:szCs w:val="18"/>
          <w:i w:val="1"/>
          <w:iCs w:val="1"/>
          <w:color w:val="auto"/>
        </w:rPr>
        <w:t>Description Of Securities Other Than Equity Securities—American 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Shares—ADSs</w:t>
      </w:r>
      <w:r>
        <w:rPr>
          <w:rFonts w:ascii="Times New Roman" w:cs="Times New Roman" w:eastAsia="Times New Roman" w:hAnsi="Times New Roman"/>
          <w:sz w:val="18"/>
          <w:szCs w:val="18"/>
          <w:color w:val="auto"/>
        </w:rPr>
        <w:t>” and incorporated by reference herein.</w:t>
      </w:r>
    </w:p>
    <w:p>
      <w:pPr>
        <w:spacing w:after="0" w:line="158"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color w:val="auto"/>
        </w:rPr>
        <w:t>Information regarding Class C-1 ADSs is described in Item 12.D “</w:t>
      </w:r>
      <w:r>
        <w:rPr>
          <w:rFonts w:ascii="Times New Roman" w:cs="Times New Roman" w:eastAsia="Times New Roman" w:hAnsi="Times New Roman"/>
          <w:sz w:val="18"/>
          <w:szCs w:val="18"/>
          <w:i w:val="1"/>
          <w:iCs w:val="1"/>
          <w:color w:val="auto"/>
        </w:rPr>
        <w:t>Description Of Securities Other Than Equity Securities—American 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Shares—ADSs</w:t>
      </w:r>
      <w:r>
        <w:rPr>
          <w:rFonts w:ascii="Times New Roman" w:cs="Times New Roman" w:eastAsia="Times New Roman" w:hAnsi="Times New Roman"/>
          <w:sz w:val="18"/>
          <w:szCs w:val="18"/>
          <w:color w:val="auto"/>
        </w:rPr>
        <w:t>” and incorporated by reference herein.</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Information regarding lock-up restrictions applicable to the Sponsor is described in Item 7.B “</w:t>
      </w:r>
      <w:r>
        <w:rPr>
          <w:rFonts w:ascii="Times New Roman" w:cs="Times New Roman" w:eastAsia="Times New Roman" w:hAnsi="Times New Roman"/>
          <w:sz w:val="18"/>
          <w:szCs w:val="18"/>
          <w:i w:val="1"/>
          <w:iCs w:val="1"/>
          <w:color w:val="auto"/>
        </w:rPr>
        <w:t>Major Shareholders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Transactions—Parent Lock-Up Agreement</w:t>
      </w:r>
      <w:r>
        <w:rPr>
          <w:rFonts w:ascii="Times New Roman" w:cs="Times New Roman" w:eastAsia="Times New Roman" w:hAnsi="Times New Roman"/>
          <w:sz w:val="18"/>
          <w:szCs w:val="18"/>
          <w:color w:val="auto"/>
        </w:rPr>
        <w:t>” and incorporated by reference herein.</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Information regarding lock-up restrictions applicable to the Sponsor is described in Item 7.B “</w:t>
      </w:r>
      <w:r>
        <w:rPr>
          <w:rFonts w:ascii="Times New Roman" w:cs="Times New Roman" w:eastAsia="Times New Roman" w:hAnsi="Times New Roman"/>
          <w:sz w:val="18"/>
          <w:szCs w:val="18"/>
          <w:i w:val="1"/>
          <w:iCs w:val="1"/>
          <w:color w:val="auto"/>
        </w:rPr>
        <w:t>Major Shareholders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Transactions—Sponsor and Supporting Sponsor Lock-Up Agreement</w:t>
      </w:r>
      <w:r>
        <w:rPr>
          <w:rFonts w:ascii="Times New Roman" w:cs="Times New Roman" w:eastAsia="Times New Roman" w:hAnsi="Times New Roman"/>
          <w:sz w:val="18"/>
          <w:szCs w:val="18"/>
          <w:color w:val="auto"/>
        </w:rPr>
        <w:t>” and incorporated by reference herein.</w:t>
      </w:r>
    </w:p>
    <w:p>
      <w:pPr>
        <w:spacing w:after="0" w:line="305" w:lineRule="exact"/>
        <w:rPr>
          <w:sz w:val="20"/>
          <w:szCs w:val="20"/>
          <w:color w:val="auto"/>
        </w:rPr>
      </w:pPr>
    </w:p>
    <w:p>
      <w:pPr>
        <w:ind w:left="560" w:right="9040" w:hanging="444"/>
        <w:spacing w:after="0" w:line="450" w:lineRule="auto"/>
        <w:tabs>
          <w:tab w:leader="none" w:pos="552"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ADSs and Class C-1 ADSs are listed on Nasdaq under the symbols “PSNY” and “PSNYW,” respectively.</w:t>
      </w:r>
    </w:p>
    <w:p>
      <w:pPr>
        <w:spacing w:after="0" w:line="369" w:lineRule="exact"/>
        <w:rPr>
          <w:rFonts w:ascii="Times New Roman" w:cs="Times New Roman" w:eastAsia="Times New Roman" w:hAnsi="Times New Roman"/>
          <w:sz w:val="18"/>
          <w:szCs w:val="18"/>
          <w:b w:val="1"/>
          <w:bCs w:val="1"/>
          <w:color w:val="auto"/>
        </w:rPr>
      </w:pPr>
    </w:p>
    <w:p>
      <w:pPr>
        <w:ind w:left="560" w:right="9000" w:hanging="444"/>
        <w:spacing w:after="0" w:line="450" w:lineRule="auto"/>
        <w:tabs>
          <w:tab w:leader="none" w:pos="552"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69" w:lineRule="exact"/>
        <w:rPr>
          <w:rFonts w:ascii="Times New Roman" w:cs="Times New Roman" w:eastAsia="Times New Roman" w:hAnsi="Times New Roman"/>
          <w:sz w:val="18"/>
          <w:szCs w:val="18"/>
          <w:b w:val="1"/>
          <w:bCs w:val="1"/>
          <w:color w:val="auto"/>
        </w:rPr>
      </w:pPr>
    </w:p>
    <w:p>
      <w:pPr>
        <w:ind w:left="560" w:right="8940" w:hanging="444"/>
        <w:spacing w:after="0" w:line="401" w:lineRule="auto"/>
        <w:tabs>
          <w:tab w:leader="none" w:pos="55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1"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of all classes of shares which the Company is authorized to issue is 6,861,249,349 shares, consisting of (a) 5,000,000,000 Class A Shares of nominal value USD 0.01 each, (b) 1,777,366,739 Class B Shares of nominal value USD 0.01 each, (c) 16,000,000 Class C-1 Shares of nominal value USD 0.10 each, (d) 9,000,000 Class C-2 Shares of nominal value USD 0.10 each, (e) 58,882,610 Preference Shares of nominal value USD 10.00 each, and (f) 50,000 GBP Redeemable Preferred Shares of nominal value GBP 1.00 each (“</w:t>
      </w:r>
      <w:r>
        <w:rPr>
          <w:rFonts w:ascii="Times New Roman" w:cs="Times New Roman" w:eastAsia="Times New Roman" w:hAnsi="Times New Roman"/>
          <w:sz w:val="18"/>
          <w:szCs w:val="18"/>
          <w:i w:val="1"/>
          <w:iCs w:val="1"/>
          <w:color w:val="auto"/>
        </w:rPr>
        <w:t>GBP Redeemable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addition, Class A Shares and Deferred Shares of nominal value USD 0.01 each (“</w:t>
      </w:r>
      <w:r>
        <w:rPr>
          <w:rFonts w:ascii="Times New Roman" w:cs="Times New Roman" w:eastAsia="Times New Roman" w:hAnsi="Times New Roman"/>
          <w:sz w:val="18"/>
          <w:szCs w:val="18"/>
          <w:i w:val="1"/>
          <w:iCs w:val="1"/>
          <w:color w:val="auto"/>
        </w:rPr>
        <w:t>Deferred Shares</w:t>
      </w:r>
      <w:r>
        <w:rPr>
          <w:rFonts w:ascii="Times New Roman" w:cs="Times New Roman" w:eastAsia="Times New Roman" w:hAnsi="Times New Roman"/>
          <w:sz w:val="18"/>
          <w:szCs w:val="18"/>
          <w:color w:val="auto"/>
        </w:rPr>
        <w:t>”) may be created upon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C-1 Shares, Class C-2 Shares and Preference Shares without any requirement for further authorization. As of June 23, 2022, subsequent to the Closing, the following securities were issued and outstanding: 466,801,222 Class A Shares, 1,642,233,575 Class B Shares, no Preference Shares, 50,000 GBP Redeemable Preferred Shares, 15,999,965 Class C-1 Shares and 9,000,000 Class C-2 Shares. The Class A Shares, Class B Shares and Class C Shares are represented by Class A ADSs, Class B ADSs and Class C ADSs, respectively.</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capital is further described below in Item 10.B “</w:t>
      </w:r>
      <w:r>
        <w:rPr>
          <w:rFonts w:ascii="Times New Roman" w:cs="Times New Roman" w:eastAsia="Times New Roman" w:hAnsi="Times New Roman"/>
          <w:sz w:val="18"/>
          <w:szCs w:val="18"/>
          <w:i w:val="1"/>
          <w:iCs w:val="1"/>
          <w:color w:val="auto"/>
        </w:rPr>
        <w:t>Additional Information—Articles of Association</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Articles of Association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will not be treated as one of the Company’s shareholders and will not have any shareholder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Company Share Capital and Polestar Articles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English law and any preferences that may apply to shares outstanding at the time, holders of outstanding Class A Shares, Class B Shares and Preference Shares are entitled to receive dividends out of assets legally available at the times and in the amounts as the Board may determine from time to time.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Preference Shares shall not entitle any holder to preferred dividends or accruals except that the holders of Preference Shares shall participate in dividends or other distributions on the Class A Shares as if such Preference Shares had been converted into Class A Shares in accordance with the Polestar Articles.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Item 10.B “</w:t>
      </w:r>
      <w:r>
        <w:rPr>
          <w:rFonts w:ascii="Times New Roman" w:cs="Times New Roman" w:eastAsia="Times New Roman" w:hAnsi="Times New Roman"/>
          <w:sz w:val="18"/>
          <w:szCs w:val="18"/>
          <w:i w:val="1"/>
          <w:iCs w:val="1"/>
          <w:color w:val="auto"/>
        </w:rPr>
        <w:t>Additional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20"/>
        <w:spacing w:after="0" w:line="284" w:lineRule="auto"/>
        <w:rPr>
          <w:sz w:val="20"/>
          <w:szCs w:val="20"/>
          <w:color w:val="auto"/>
        </w:rPr>
      </w:pPr>
      <w:r>
        <w:rPr>
          <w:rFonts w:ascii="Times New Roman" w:cs="Times New Roman" w:eastAsia="Times New Roman" w:hAnsi="Times New Roman"/>
          <w:sz w:val="18"/>
          <w:szCs w:val="18"/>
          <w:i w:val="1"/>
          <w:iCs w:val="1"/>
          <w:color w:val="auto"/>
        </w:rPr>
        <w:t>Information—Articles of Association—Polestar Articles and English Law Considerations—Other English Law Considerations—Distributions &amp; Dividends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carry no voting rights and do not entitle their holders to receive notice of, to attend, to speak or to vote at any general meeting of the Company. Holders of Shares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Shares and the Company intends to propose equivalent resolutions in the future once the initial period</w:t>
      </w:r>
    </w:p>
    <w:p>
      <w:pPr>
        <w:spacing w:after="0" w:line="5" w:lineRule="exact"/>
        <w:rPr>
          <w:sz w:val="20"/>
          <w:szCs w:val="20"/>
          <w:color w:val="auto"/>
        </w:rPr>
      </w:pPr>
    </w:p>
    <w:p>
      <w:pPr>
        <w:ind w:left="120" w:right="520"/>
        <w:spacing w:after="0" w:line="290" w:lineRule="auto"/>
        <w:rPr>
          <w:sz w:val="20"/>
          <w:szCs w:val="20"/>
          <w:color w:val="auto"/>
        </w:rPr>
      </w:pPr>
      <w:r>
        <w:rPr>
          <w:rFonts w:ascii="Times New Roman" w:cs="Times New Roman" w:eastAsia="Times New Roman" w:hAnsi="Times New Roman"/>
          <w:sz w:val="17"/>
          <w:szCs w:val="17"/>
          <w:color w:val="auto"/>
        </w:rPr>
        <w:t>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or Redemption Rights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Preference Share shall convert into one Class A Share (credited as fully paid) in the form of a Class A ADS, provided that:</w:t>
      </w:r>
    </w:p>
    <w:p>
      <w:pPr>
        <w:spacing w:after="0" w:line="252" w:lineRule="exact"/>
        <w:rPr>
          <w:sz w:val="20"/>
          <w:szCs w:val="20"/>
          <w:color w:val="auto"/>
        </w:rPr>
      </w:pPr>
    </w:p>
    <w:p>
      <w:pPr>
        <w:ind w:left="1080" w:right="280" w:hanging="532"/>
        <w:spacing w:after="0" w:line="261"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Class A Shares to be issued on conversion shall be the maximum number that can be issued so that Volvo Cars (alone or taken together with all other legal entities that, directly or indirectly, are controlled by Geely (“</w:t>
      </w:r>
      <w:r>
        <w:rPr>
          <w:rFonts w:ascii="Times New Roman" w:cs="Times New Roman" w:eastAsia="Times New Roman" w:hAnsi="Times New Roman"/>
          <w:sz w:val="18"/>
          <w:szCs w:val="18"/>
          <w:i w:val="1"/>
          <w:iCs w:val="1"/>
          <w:color w:val="auto"/>
        </w:rPr>
        <w:t>Geely Group</w:t>
      </w:r>
      <w:r>
        <w:rPr>
          <w:rFonts w:ascii="Times New Roman" w:cs="Times New Roman" w:eastAsia="Times New Roman" w:hAnsi="Times New Roman"/>
          <w:sz w:val="18"/>
          <w:szCs w:val="18"/>
          <w:color w:val="auto"/>
        </w:rPr>
        <w:t>”)) after such conversion holds, whether directly or indirectly through depositary shares and/or receipts, less than 50% of the aggregate voting rights attaching to the Shares; or</w:t>
      </w:r>
    </w:p>
    <w:p>
      <w:pPr>
        <w:spacing w:after="0" w:line="85"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conversion and redemption features of the Class C Shares are described below under “</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On a return of assets on liquidation or otherwise, the assets of Polestar remaining after payment of its debts and liabilities and available for distribution to holders of Shares, Class C Shares, Preference Shares, Deferred Shares and GBP Redeemable Preferred Shares will be applied in the following manner and order of priority:</w:t>
      </w:r>
    </w:p>
    <w:p>
      <w:pPr>
        <w:spacing w:after="0" w:line="81" w:lineRule="exact"/>
        <w:rPr>
          <w:sz w:val="20"/>
          <w:szCs w:val="20"/>
          <w:color w:val="auto"/>
        </w:rPr>
      </w:pPr>
    </w:p>
    <w:p>
      <w:pPr>
        <w:ind w:left="1080" w:right="60" w:hanging="532"/>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holders of the Preference Shares (pro rata and pari passu) an amount equal to the initial liquidation preference of $588,826,100 less the aggregate subscription price of any Preference Shares that have been converted into Class A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holders of the GBP Redeemable Preferred Shares an amount equal to the nominal value of such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up to an amount of $1 million per Share; and</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 pro rata to the number of Class C Shares respectively held by them up to an amount of $1 million per Class C Share;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holders of Deferred Shares an amount equal to the nominal value of the Deferred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and</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provided that if the amount which would be received by the holders of the Preference Shares if all such shares had been converted in accordance with the Polestar Articles would be greater than pursuant to (a) above, the relevant Preference Shares shall be deemed for the purposes of the relevant return of capital to be treated pari passu with the holders of Shares on an as-converted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Calls</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Subject to the Polestar Articles and the terms on which the Company shares are allotted, the Board has the authority to make calls upon the shareholders in respect of any money unpaid on their shares and each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79" w:lineRule="exact"/>
        <w:rPr>
          <w:sz w:val="20"/>
          <w:szCs w:val="20"/>
          <w:color w:val="auto"/>
        </w:rPr>
      </w:pPr>
    </w:p>
    <w:p>
      <w:pPr>
        <w:ind w:left="800" w:hanging="244"/>
        <w:spacing w:after="0"/>
        <w:tabs>
          <w:tab w:leader="none" w:pos="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fully paid;</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upon which the Company has a lien;</w:t>
      </w:r>
    </w:p>
    <w:p>
      <w:pPr>
        <w:spacing w:after="0" w:line="117" w:lineRule="exact"/>
        <w:rPr>
          <w:rFonts w:ascii="Times New Roman" w:cs="Times New Roman" w:eastAsia="Times New Roman" w:hAnsi="Times New Roman"/>
          <w:sz w:val="18"/>
          <w:szCs w:val="18"/>
          <w:color w:val="auto"/>
        </w:rPr>
      </w:pPr>
    </w:p>
    <w:p>
      <w:pPr>
        <w:ind w:left="560" w:right="20" w:hanging="4"/>
        <w:spacing w:after="0" w:line="282" w:lineRule="auto"/>
        <w:tabs>
          <w:tab w:leader="none" w:pos="80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duly stamped (if required) or is duly certified or otherwise shown to the satisfaction of the Board to be exempt from stamp duty (if required);</w:t>
      </w:r>
    </w:p>
    <w:p>
      <w:pPr>
        <w:spacing w:after="0" w:line="53" w:lineRule="exact"/>
        <w:rPr>
          <w:rFonts w:ascii="Times New Roman" w:cs="Times New Roman" w:eastAsia="Times New Roman" w:hAnsi="Times New Roman"/>
          <w:sz w:val="18"/>
          <w:szCs w:val="18"/>
          <w:color w:val="auto"/>
        </w:rPr>
      </w:pPr>
    </w:p>
    <w:p>
      <w:pPr>
        <w:ind w:left="560" w:right="100" w:hanging="4"/>
        <w:spacing w:after="0" w:line="266" w:lineRule="auto"/>
        <w:tabs>
          <w:tab w:leader="none" w:pos="8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65" w:lineRule="exact"/>
        <w:rPr>
          <w:rFonts w:ascii="Times New Roman" w:cs="Times New Roman" w:eastAsia="Times New Roman" w:hAnsi="Times New Roman"/>
          <w:sz w:val="18"/>
          <w:szCs w:val="18"/>
          <w:color w:val="auto"/>
        </w:rPr>
      </w:pPr>
    </w:p>
    <w:p>
      <w:pPr>
        <w:ind w:left="560" w:right="160" w:hanging="4"/>
        <w:spacing w:after="0" w:line="267" w:lineRule="auto"/>
        <w:tabs>
          <w:tab w:leader="none" w:pos="80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default share where the holder has failed to provide the required details to Polestar under Item 10 “</w:t>
      </w:r>
      <w:r>
        <w:rPr>
          <w:rFonts w:ascii="Times New Roman" w:cs="Times New Roman" w:eastAsia="Times New Roman" w:hAnsi="Times New Roman"/>
          <w:sz w:val="18"/>
          <w:szCs w:val="18"/>
          <w:i w:val="1"/>
          <w:iCs w:val="1"/>
          <w:color w:val="auto"/>
        </w:rPr>
        <w:t>Additional Information—Articles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Association—Polestar Articles and English Law Considerations—Other English Law Considerations—Disclosure of Interest in Shares</w:t>
      </w:r>
      <w:r>
        <w:rPr>
          <w:rFonts w:ascii="Times New Roman" w:cs="Times New Roman" w:eastAsia="Times New Roman" w:hAnsi="Times New Roman"/>
          <w:sz w:val="18"/>
          <w:szCs w:val="18"/>
          <w:color w:val="auto"/>
        </w:rPr>
        <w: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exceptions;</w:t>
      </w:r>
    </w:p>
    <w:p>
      <w:pPr>
        <w:spacing w:after="0" w:line="67"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more than one class of shares; or</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transfer to joint holders of a share, the number of joint holders to whom the share is to be transferred exceeds four.</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on Ownership</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and the Polestar Articles, there are no limitations on the right of non-residents of the U.K. or owners who are not citizens of the U.K. to hold or, other than the holders of Preference Shares, Class C Shares, Deferred Shares or GBP Redeemable Preferred Shares which do no confer voting rights on the relevant holders, vote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Articles and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Number</w:t>
      </w:r>
    </w:p>
    <w:p>
      <w:pPr>
        <w:spacing w:after="0" w:line="117"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The Polestar Articles provide that at the time of their adoption, the number of directors of the Company shall be nine (the “</w:t>
      </w:r>
      <w:r>
        <w:rPr>
          <w:rFonts w:ascii="Times New Roman" w:cs="Times New Roman" w:eastAsia="Times New Roman" w:hAnsi="Times New Roman"/>
          <w:sz w:val="18"/>
          <w:szCs w:val="18"/>
          <w:i w:val="1"/>
          <w:iCs w:val="1"/>
          <w:color w:val="auto"/>
        </w:rPr>
        <w:t>Initial Directors</w:t>
      </w:r>
      <w:r>
        <w:rPr>
          <w:rFonts w:ascii="Times New Roman" w:cs="Times New Roman" w:eastAsia="Times New Roman" w:hAnsi="Times New Roman"/>
          <w:sz w:val="18"/>
          <w:szCs w:val="18"/>
          <w:color w:val="auto"/>
        </w:rPr>
        <w:t>”), and that otherwise the number of directors shall be as determined by the Board from time to time. Directors may be appointed by any ordinary resolution of shareholders or by the Board,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as described below under “—</w:t>
      </w:r>
      <w:r>
        <w:rPr>
          <w:rFonts w:ascii="Times New Roman" w:cs="Times New Roman" w:eastAsia="Times New Roman" w:hAnsi="Times New Roman"/>
          <w:sz w:val="18"/>
          <w:szCs w:val="18"/>
          <w:i w:val="1"/>
          <w:iCs w:val="1"/>
          <w:color w:val="auto"/>
        </w:rPr>
        <w:t>Appointment and Retirement of Directors</w:t>
      </w:r>
      <w:r>
        <w:rPr>
          <w:rFonts w:ascii="Times New Roman" w:cs="Times New Roman" w:eastAsia="Times New Roman" w:hAnsi="Times New Roman"/>
          <w:sz w:val="18"/>
          <w:szCs w:val="18"/>
          <w:color w:val="auto"/>
        </w:rPr>
        <w:t>.” Each director elected shall hold office until his or her successor is elected or until his or her earlier resignation or removal in accordance with the Polestar Articles.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period of three years post-Closing a majority of the director shall be independent directors. A director shall be independent when he or she</w:t>
      </w:r>
    </w:p>
    <w:p>
      <w:pPr>
        <w:spacing w:after="0" w:line="27" w:lineRule="exact"/>
        <w:rPr>
          <w:sz w:val="20"/>
          <w:szCs w:val="20"/>
          <w:color w:val="auto"/>
        </w:rPr>
      </w:pPr>
    </w:p>
    <w:p>
      <w:pPr>
        <w:ind w:left="120" w:right="140" w:hanging="4"/>
        <w:spacing w:after="0" w:line="253" w:lineRule="auto"/>
        <w:tabs>
          <w:tab w:leader="none" w:pos="33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requirements to qualify as an “independent director” under the stock exchange rules of the stock exchange on which the Class A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Cars or Geely.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Initial Directors shall be divided into three classes of directors, designated as “Class I,” “Class II” and “Class III,” respectively (each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w:t>
      </w:r>
      <w:r>
        <w:rPr>
          <w:rFonts w:ascii="Times New Roman" w:cs="Times New Roman" w:eastAsia="Times New Roman" w:hAnsi="Times New Roman"/>
          <w:sz w:val="18"/>
          <w:szCs w:val="18"/>
          <w:color w:val="auto"/>
        </w:rPr>
        <w:t>”). The Board is authorized to assign members of the Board already in office to such Classes at the time the classification becomes effective.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is also authorized to assign any persons who take office as directors after the date the Polestar Articles are adopted to any such Class; provided,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that the Classes are as close to equal size as possible. In the event of any increase in the number of directors, the additional directorships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resulting from such increase shall be apportioned by the Board among the Classes of directors so as to maintain such Classes as nearly equal as possible.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decrease in the number of directors shall shorten the term of any incumbent director.</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Appointment and Retirement of Directors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Closing, directors shall be elected to serve for a term of three years to succeed the directors of the class whose terms expire at such annual general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 of Directors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it is proposed that each member of the Board will enter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shares of the Company, present in person or by proxy and entitled to attend and to vote on the business to be transacted, at such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Requisitioning Shareholder Meetings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English Law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U.K. City Code on Takeovers and Mergers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93" w:lineRule="exact"/>
        <w:rPr>
          <w:sz w:val="20"/>
          <w:szCs w:val="20"/>
          <w:color w:val="auto"/>
        </w:rPr>
      </w:pPr>
    </w:p>
    <w:p>
      <w:pPr>
        <w:ind w:left="1080" w:right="80" w:hanging="532"/>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67"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Interest in Shares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to disclose prescribed particulars of those shares. For this purpose, default shares includes any of the Company’s shares allotted or issued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&amp; Dividends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81" w:lineRule="exact"/>
        <w:rPr>
          <w:sz w:val="20"/>
          <w:szCs w:val="20"/>
          <w:color w:val="auto"/>
        </w:rPr>
      </w:pPr>
    </w:p>
    <w:p>
      <w:pPr>
        <w:ind w:left="1080" w:right="80" w:hanging="532"/>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Shares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Shares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Closing, at 5:00 p.m., New York City time, or earlier upon redemption or liquidation.</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92"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cash. </w:t>
      </w:r>
      <w:r>
        <w:rPr>
          <w:rFonts w:ascii="Times New Roman" w:cs="Times New Roman" w:eastAsia="Times New Roman" w:hAnsi="Times New Roman"/>
          <w:sz w:val="18"/>
          <w:szCs w:val="18"/>
          <w:color w:val="auto"/>
        </w:rPr>
        <w:t>Once the Class C Shares become exercisable, the Company may call the Class C Shares for redemption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herein with respect to Class C-2 Shares):</w:t>
      </w:r>
    </w:p>
    <w:p>
      <w:pPr>
        <w:spacing w:after="0" w:line="66"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Class C Share;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w:t>
      </w:r>
      <w:r>
        <w:rPr>
          <w:rFonts w:ascii="Times New Roman" w:cs="Times New Roman" w:eastAsia="Times New Roman" w:hAnsi="Times New Roman"/>
          <w:sz w:val="18"/>
          <w:szCs w:val="18"/>
          <w:i w:val="1"/>
          <w:iCs w:val="1"/>
          <w:color w:val="auto"/>
        </w:rPr>
        <w:t>30-day redemption period</w:t>
      </w:r>
      <w:r>
        <w:rPr>
          <w:rFonts w:ascii="Times New Roman" w:cs="Times New Roman" w:eastAsia="Times New Roman" w:hAnsi="Times New Roman"/>
          <w:sz w:val="18"/>
          <w:szCs w:val="18"/>
          <w:color w:val="auto"/>
        </w:rPr>
        <w:t>”) to each holder of a Class C Share; and</w:t>
      </w:r>
    </w:p>
    <w:p>
      <w:pPr>
        <w:spacing w:after="0" w:line="132" w:lineRule="exact"/>
        <w:rPr>
          <w:rFonts w:ascii="Times New Roman" w:cs="Times New Roman" w:eastAsia="Times New Roman" w:hAnsi="Times New Roman"/>
          <w:sz w:val="18"/>
          <w:szCs w:val="18"/>
          <w:color w:val="auto"/>
        </w:rPr>
      </w:pPr>
    </w:p>
    <w:p>
      <w:pPr>
        <w:ind w:left="1080" w:right="300" w:hanging="424"/>
        <w:spacing w:after="0" w:line="312" w:lineRule="auto"/>
        <w:tabs>
          <w:tab w:leader="none" w:pos="10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redemption trigger price as well as the $11.50 (for whole Class A ADSs) Class C Shares exercise price after the redemption notice is issued.</w:t>
      </w:r>
    </w:p>
    <w:p>
      <w:pPr>
        <w:spacing w:after="0" w:line="181"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Class A ADSs. </w:t>
      </w:r>
      <w:r>
        <w:rPr>
          <w:rFonts w:ascii="Times New Roman" w:cs="Times New Roman" w:eastAsia="Times New Roman" w:hAnsi="Times New Roman"/>
          <w:sz w:val="18"/>
          <w:szCs w:val="18"/>
          <w:color w:val="auto"/>
        </w:rPr>
        <w:t>Commencing 90 days after the Class C Shares become exercisable, the Company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Class C Shares:</w:t>
      </w:r>
    </w:p>
    <w:p>
      <w:pPr>
        <w:spacing w:after="0" w:line="66"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Class C-2 Shares are also concurrently exchanged at the same price (equal to a number of Class A ADSs) as the outstanding Class C-1 Shares, as described above;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in the same manner and at the same time as the number of Class A ADSs issuable upon exercise of a Class C Share.</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Fair Market Value of Class A ADSs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5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6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6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$12.00</w:t>
            </w:r>
          </w:p>
        </w:tc>
        <w:tc>
          <w:tcPr>
            <w:tcW w:w="6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$13.00</w:t>
            </w:r>
          </w:p>
        </w:tc>
        <w:tc>
          <w:tcPr>
            <w:tcW w:w="6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$14.00</w:t>
            </w:r>
          </w:p>
        </w:tc>
        <w:tc>
          <w:tcPr>
            <w:tcW w:w="6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6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$16.00</w:t>
            </w:r>
          </w:p>
        </w:tc>
        <w:tc>
          <w:tcPr>
            <w:tcW w:w="6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$17.00</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0" w:type="dxa"/>
            <w:vAlign w:val="bottom"/>
            <w:gridSpan w:val="7"/>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Redemption Date (period to expiration of Class C Shares)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0.277</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0.294</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0.272</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0.287</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0.263</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0.283</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0.258</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0.274</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0.246</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0.269</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0.325</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0.239</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0.263</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0.232</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0.224</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0.25</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0.316</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0.214</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0.242</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0.204</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0.193</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0.223</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0.304</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0.211</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0.13</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0.164</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0.146</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0.181</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0.125</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0.162</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0.099</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0.137</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0.259</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0.296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0.065</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0.104</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0.286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0.042</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0.281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7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Class C Shares held by the Company officers or directors will be subject to this redemption feature, except that such officers and directors shall only receive “fair market value” for such Class C Shares so redeemed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(“fair market value” for such Class C-1 Shares held by the Company officers or directors being defined as the last reported sale price of the Class C-1 Shares on such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redemption feature differs from typical warrant redemption features, which typically only provide for a redemption of warrants for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private placement warrants) when the trading price for Class A common stock exceeds $18.00 per share for a specified period of time.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feature is structured to allow for all of the outstanding Class C-1 Shares to be redeemed when the Class A ADSs are trading at or above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Class A ADS, which may be at a time when the trading price of the Class A ADSs is below the exercise price of the Class C-1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has established this redemption feature to provide the Class C-1 Shares with an additional liquidity feature, which provides the Company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flexibility to redeem the Class C-1 Shares for Class A ADSs, instead of cash, for “fair value” without the Class C-1 Shares having to reach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$18.00 per Class A ADS threshold set forth above under “—</w:t>
      </w:r>
      <w:r>
        <w:rPr>
          <w:rFonts w:ascii="Times New Roman" w:cs="Times New Roman" w:eastAsia="Times New Roman" w:hAnsi="Times New Roman"/>
          <w:sz w:val="18"/>
          <w:szCs w:val="18"/>
          <w:i w:val="1"/>
          <w:iCs w:val="1"/>
          <w:color w:val="auto"/>
        </w:rPr>
        <w:t>Redemption of Class C Shares for cash.”</w:t>
      </w:r>
      <w:r>
        <w:rPr>
          <w:rFonts w:ascii="Times New Roman" w:cs="Times New Roman" w:eastAsia="Times New Roman" w:hAnsi="Times New Roman"/>
          <w:sz w:val="18"/>
          <w:szCs w:val="18"/>
          <w:color w:val="auto"/>
        </w:rPr>
        <w:t xml:space="preserve"> Holders of the Class C-1 Shares will,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a number of Class A ADSs representing fair value for their Class C-1 Shares based on an option pricing model with a fixed volatility input.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right provides the Company not only with an additional mechanism by which to redeem all of the outstanding Class C-1 Shares, in this case,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Class A ADSs, and therefore have certainty as to (i) the Company’s capital structure as the Class C-1 Shares would no longer be outstanding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have been exercised or redeemed and (ii) to the amount of cash provided by the exercise of the Class C-1 Shares and available to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also provides a ceiling to the theoretical value of the Class C-1 Shares as it locks in the “redemption prices” the Company would pay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Polestar chose to redeem Class C-1 Shares in this manner. The Company will effectively be required to pay fair value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the Company chooses to exercise this redemption right and it will allow the Company to quickly proceed with a redemption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for Class A ADSs if the Company determines it is in the Company’s best interest to do so. As such, the Company would redeem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C-1 Shares in this manner when the Company believes it is in the Company’s best interest to update the Company’s capital structure to remove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and pay fair value to the holders of Class C-1 Shares. In particular, it would allow the Company to quickly redeem the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 Class A ADSs, without having to negotiate a redemption price with the holders of Class C-1 Shares. In addition, the holders of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will have the ability to exercise the Class C Shares prior to redemption if they should choose to do so.</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stated above, the Company can redeem the Class C-1 Shares when the Class A ADSs are trading at a price starting at $10.00, which is below the exercise price of $11.50,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procedures and cashless exercise. </w:t>
      </w:r>
      <w:r>
        <w:rPr>
          <w:rFonts w:ascii="Times New Roman" w:cs="Times New Roman" w:eastAsia="Times New Roman" w:hAnsi="Times New Roman"/>
          <w:sz w:val="18"/>
          <w:szCs w:val="18"/>
          <w:color w:val="auto"/>
        </w:rPr>
        <w:t>If the Company calls the Class C-1 Shares for redemption as described above,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8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the Company management takes advantage of this option, all holders of Class C-1 Shares would pay the exercise price by surrendering their Class C-1 Shares for that number of Class A ADSs equal to the quotient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ADSs is increased by a stock dividend payable in Class A ADSs, or by</w:t>
      </w:r>
    </w:p>
    <w:p>
      <w:pPr>
        <w:spacing w:after="0" w:line="2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9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Whenever the number of Class A ADSs purchasable upon the exercise of the Class C Shares is adjusted, as described above, the Class C Share exercise price will be adjusted by multiplying the Class C Share exercise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197" w:lineRule="exact"/>
        <w:rPr>
          <w:sz w:val="20"/>
          <w:szCs w:val="20"/>
          <w:color w:val="auto"/>
        </w:rPr>
      </w:pPr>
    </w:p>
    <w:p>
      <w:pPr>
        <w:jc w:val="center"/>
        <w:ind w:left="380" w:right="60"/>
        <w:spacing w:after="0" w:line="276" w:lineRule="auto"/>
        <w:rPr>
          <w:sz w:val="20"/>
          <w:szCs w:val="20"/>
          <w:color w:val="auto"/>
        </w:rPr>
      </w:pPr>
      <w:r>
        <w:rPr>
          <w:rFonts w:ascii="Times New Roman" w:cs="Times New Roman" w:eastAsia="Times New Roman" w:hAnsi="Times New Roman"/>
          <w:sz w:val="17"/>
          <w:szCs w:val="17"/>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w:t>
      </w:r>
    </w:p>
    <w:p>
      <w:pPr>
        <w:spacing w:after="0" w:line="1" w:lineRule="exact"/>
        <w:rPr>
          <w:sz w:val="20"/>
          <w:szCs w:val="20"/>
          <w:color w:val="auto"/>
        </w:rPr>
      </w:pPr>
    </w:p>
    <w:p>
      <w:pPr>
        <w:ind w:left="120" w:right="40" w:hanging="4"/>
        <w:spacing w:after="0" w:line="268" w:lineRule="auto"/>
        <w:tabs>
          <w:tab w:leader="none" w:pos="33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this Report, for a complete description of the terms and conditions applicable to the Class C Shares.</w:t>
      </w:r>
    </w:p>
    <w:p>
      <w:pPr>
        <w:spacing w:after="0" w:line="17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Item 12.D.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Than Equity Securities—American Depositary Shares—Conversion of Class C ADSs.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exercise of the Class C Shares. If, upon exercise of the Class C Shares, a holder would be entitled to receive a fractional interest in a Class A ADS, the Company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exercise, round down to the nearest whole number of Class A ADSs to be issued to the holders of Class C Shares.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Class C-2 Shares will not be transferable, assignable or salable until 30 days after Closing and they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ADSs and Class C-1 ADSs are listed on Nasdaq under the symbols “PSNY” and “PSNYW,”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 Relating to the Company’s Operations</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Information pertaining to certain of the Company’s material contracts is set forth in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Item 4 “</w:t>
      </w:r>
      <w:r>
        <w:rPr>
          <w:rFonts w:ascii="Times New Roman" w:cs="Times New Roman" w:eastAsia="Times New Roman" w:hAnsi="Times New Roman"/>
          <w:sz w:val="18"/>
          <w:szCs w:val="18"/>
          <w:i w:val="1"/>
          <w:iCs w:val="1"/>
          <w:color w:val="auto"/>
        </w:rPr>
        <w:t>Information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and Item 7.B “</w:t>
      </w:r>
      <w:r>
        <w:rPr>
          <w:rFonts w:ascii="Times New Roman" w:cs="Times New Roman" w:eastAsia="Times New Roman" w:hAnsi="Times New Roman"/>
          <w:sz w:val="18"/>
          <w:szCs w:val="18"/>
          <w:i w:val="1"/>
          <w:iCs w:val="1"/>
          <w:color w:val="auto"/>
        </w:rPr>
        <w:t>Major Shareholders And Related Party Transactions—Related Party Transactions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 Relating to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September 27, 2021, GGI, Parent, Polestar Singapore, Polestar Sweden, the Company and Merger Sub, entered into a Business Combination Agreement, which is included as an exhibit to this Report. At the Closing, the Company completed the Pre-Closing Reorganization, pursuant to which, among other things, Polestar Singapore, Polestar Sweden and their respective subsidiaries became wholly owned subsidiaries of the Company. See “</w:t>
      </w:r>
      <w:r>
        <w:rPr>
          <w:rFonts w:ascii="Times New Roman" w:cs="Times New Roman" w:eastAsia="Times New Roman" w:hAnsi="Times New Roman"/>
          <w:sz w:val="18"/>
          <w:szCs w:val="18"/>
          <w:i w:val="1"/>
          <w:iCs w:val="1"/>
          <w:color w:val="auto"/>
        </w:rPr>
        <w:t>Explanatory Note</w:t>
      </w:r>
      <w:r>
        <w:rPr>
          <w:rFonts w:ascii="Times New Roman" w:cs="Times New Roman" w:eastAsia="Times New Roman" w:hAnsi="Times New Roman"/>
          <w:sz w:val="18"/>
          <w:szCs w:val="18"/>
          <w:color w:val="auto"/>
        </w:rPr>
        <w:t>” in this Report for additional information regarding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Agreements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entered into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 each non-employee directors is eligible to receive. The Company is also expected to agree to reimburse each non-employee director for reasonable and properly documented expenses they incur in connection with their service as a non-employee director.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Indemnity of Directors</w:t>
      </w:r>
    </w:p>
    <w:p>
      <w:pPr>
        <w:spacing w:after="0" w:line="117"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—Additional Information—Articles of Association—Polestar Articles and English Law Considerations—Indemnity of Directors</w:t>
      </w:r>
      <w:r>
        <w:rPr>
          <w:rFonts w:ascii="Times New Roman" w:cs="Times New Roman" w:eastAsia="Times New Roman" w:hAnsi="Times New Roman"/>
          <w:sz w:val="18"/>
          <w:szCs w:val="18"/>
          <w:color w:val="auto"/>
        </w:rPr>
        <w:t>” in Item 10.B above.</w:t>
      </w:r>
    </w:p>
    <w:p>
      <w:pPr>
        <w:spacing w:after="0" w:line="16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determinations regarding the compensation arrangements that will govern following the Closing for executive officers have been made at this point and current compensation arrangements will remain in effect.</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At the Closing, Polestar adopted the Equity Plan and the Employee Stock Purchase Plan (each, as defined and described below). See Item 7.B “</w:t>
      </w:r>
      <w:r>
        <w:rPr>
          <w:rFonts w:ascii="Times New Roman" w:cs="Times New Roman" w:eastAsia="Times New Roman" w:hAnsi="Times New Roman"/>
          <w:sz w:val="18"/>
          <w:szCs w:val="18"/>
          <w:i w:val="1"/>
          <w:iCs w:val="1"/>
          <w:color w:val="auto"/>
        </w:rPr>
        <w:t>Major Shareholders And Related Party Transactions—Related Party Transactions</w:t>
      </w:r>
      <w:r>
        <w:rPr>
          <w:rFonts w:ascii="Times New Roman" w:cs="Times New Roman" w:eastAsia="Times New Roman" w:hAnsi="Times New Roman"/>
          <w:sz w:val="18"/>
          <w:szCs w:val="18"/>
          <w:color w:val="auto"/>
        </w:rPr>
        <w:t>” for descriptions of material contracts.</w:t>
      </w:r>
    </w:p>
    <w:p>
      <w:pPr>
        <w:spacing w:after="0" w:line="160"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For additional information on agreements related to the Business Combination, please see Item 7.B “</w:t>
      </w:r>
      <w:r>
        <w:rPr>
          <w:rFonts w:ascii="Times New Roman" w:cs="Times New Roman" w:eastAsia="Times New Roman" w:hAnsi="Times New Roman"/>
          <w:sz w:val="18"/>
          <w:szCs w:val="18"/>
          <w:i w:val="1"/>
          <w:iCs w:val="1"/>
          <w:color w:val="auto"/>
        </w:rPr>
        <w:t>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Transactions—Related Party Transactions—Business Combination Related Agreements</w:t>
      </w:r>
      <w:r>
        <w:rPr>
          <w:rFonts w:ascii="Times New Roman" w:cs="Times New Roman" w:eastAsia="Times New Roman" w:hAnsi="Times New Roman"/>
          <w:sz w:val="18"/>
          <w:szCs w:val="18"/>
          <w:color w:val="auto"/>
        </w:rPr>
        <w:t>,” which is incorporated herein by reference.</w:t>
      </w:r>
    </w:p>
    <w:p>
      <w:pPr>
        <w:spacing w:after="0" w:line="305"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There is no exchange control legislation or regulation in England or Wales except by way of such as freezing of funds of, and/or prohibition of new investments in, certain jurisdictions subject to international sanction.</w:t>
      </w:r>
    </w:p>
    <w:p>
      <w:pPr>
        <w:spacing w:after="0" w:line="306"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to U.S. Holders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85"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w:t>
      </w:r>
    </w:p>
    <w:p>
      <w:pPr>
        <w:spacing w:after="0" w:line="130" w:lineRule="exact"/>
        <w:rPr>
          <w:rFonts w:ascii="Times New Roman" w:cs="Times New Roman" w:eastAsia="Times New Roman" w:hAnsi="Times New Roman"/>
          <w:sz w:val="18"/>
          <w:szCs w:val="18"/>
          <w:color w:val="auto"/>
        </w:rPr>
      </w:pPr>
    </w:p>
    <w:p>
      <w:pPr>
        <w:ind w:left="5480" w:right="2460" w:hanging="4824"/>
        <w:spacing w:after="0" w:line="454" w:lineRule="auto"/>
        <w:tabs>
          <w:tab w:leader="none" w:pos="107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 195</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the base erosion and anti-abuse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U.S. Tax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“anti-inversion” rules;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qualified retirement plans, individual retirement accounts or other tax deferred accounts;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any class of AD securities or of the Company in the aggregate;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 securities as part of a straddle, hedging or conversion transaction, constructive sale, or other arrangement involving more than one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purchased Subscription Shares as part of the Subscription Investments or the Volvo Cars Preference Subscription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GGI Sponsor and the initial independent directors of GGI;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 securities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published guidance by the IRS and court decisions, all as of the date hereof, and does not take into account proposed changes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such tax laws. These laws are subject to change, possibly on a retroactive basis. This discussion is necessarily general and does not address all aspects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U.S. federal income taxation, including the effect of any U.S. federal alternative minimum tax, or U.S. federal estate and gift tax, or any state, local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non-U.S. tax laws to a holder of AD securities. The Company has not sought and does not intend to seek any rulings from the IRS regarding the 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There is no assurance that the IRS will not take positions concerning certain tax consequences of the ownership and disposition of 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that are different from those discussed below, or that any such different positions would not be sustained by a court.</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HOLDERS OF AD SECURITIES ARE URGED TO CONSULT THEIR TAX ADVISORS REGARDING THE TAX CONSIDERATIONS RELATING TO THE OWNERSHIP AND DISPOSITION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 SECURITIES, INCLUDING THE EFFECTS OF U.S. FEDERAL, STATE, AND LOCAL AND NON-U.S. TAX LAWS.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Treatment of the Company</w:t>
      </w:r>
    </w:p>
    <w:p>
      <w:pPr>
        <w:spacing w:after="0" w:line="11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5"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w:t>
      </w:r>
    </w:p>
    <w:p>
      <w:pPr>
        <w:spacing w:after="0" w:line="1"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7874 ownership percentage</w:t>
      </w:r>
      <w:r>
        <w:rPr>
          <w:rFonts w:ascii="Times New Roman" w:cs="Times New Roman" w:eastAsia="Times New Roman" w:hAnsi="Times New Roman"/>
          <w:sz w:val="18"/>
          <w:szCs w:val="18"/>
          <w:color w:val="auto"/>
        </w:rPr>
        <w:t>”) is at least 80% (by either vote or value) (this test is referred to as the “80% ownership test” and the three-prong test described in clauses (i)–(iii) above is referred to as the “</w:t>
      </w:r>
      <w:r>
        <w:rPr>
          <w:rFonts w:ascii="Times New Roman" w:cs="Times New Roman" w:eastAsia="Times New Roman" w:hAnsi="Times New Roman"/>
          <w:sz w:val="18"/>
          <w:szCs w:val="18"/>
          <w:i w:val="1"/>
          <w:iCs w:val="1"/>
          <w:color w:val="auto"/>
        </w:rPr>
        <w:t>Section 7874(b) expatriation test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Based upon the terms of the Business Combination and Pre-Closing Reorganization, the rules for determining share ownership under Section 7874 of the Code and the Treasury Regulations promulgated thereunder, and certain factual assumptions, we do not expect that the Section 7874 ownership percentage will be less than 60% after the Business Combination. Accordingly, the Company is not expected to be treated as a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corporation for U.S. federal income tax purposes, dividends paid by the Company may be “qualified dividends” (subject to the discussion below regarding the passive foreign investment company rules and other applicable requirements under Section 1 of the Code) and the U.S. subsidiaries of the Company are not expected to be subject to the limitations and other rules described above under Section 7874 of the Code. However, whether the 80% ownership test (or 60% ownership test) has been satisfied will be finally determined after completion of the Business Combination, by which time there could be adverse changes to the relevant facts and circumstances or adverse rule changes. In addition, the rules for determining ownership under Section 7874 of the Code are complex and unclear.</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American Depositary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AD securities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A ADSs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 Distributions on Class A ADSs</w:t>
      </w:r>
    </w:p>
    <w:p>
      <w:pPr>
        <w:spacing w:after="0" w:line="119"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the gross amount of any distribution on Class A ADSs generally will be taxable to a U.S. Holder as ordinary dividend income on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 Sale, Exchange, Redemption or Other Taxable Disposition of Class A ADSs</w:t>
      </w:r>
    </w:p>
    <w:p>
      <w:pPr>
        <w:spacing w:after="0" w:line="11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Subject to the discussion below under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a U.S. Holder generally will recognize gain or loss on any sale, exchange or other taxable disposition of Class A ADSs in an amount equal to the difference between (i) the amount realized on the disposition and</w:t>
      </w:r>
    </w:p>
    <w:p>
      <w:pPr>
        <w:spacing w:after="0" w:line="1" w:lineRule="exact"/>
        <w:rPr>
          <w:sz w:val="20"/>
          <w:szCs w:val="20"/>
          <w:color w:val="auto"/>
        </w:rPr>
      </w:pPr>
    </w:p>
    <w:p>
      <w:pPr>
        <w:ind w:left="120" w:right="40" w:hanging="4"/>
        <w:spacing w:after="0" w:line="253" w:lineRule="auto"/>
        <w:tabs>
          <w:tab w:leader="none" w:pos="3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distribution as described above in “—</w:t>
      </w:r>
      <w:r>
        <w:rPr>
          <w:rFonts w:ascii="Times New Roman" w:cs="Times New Roman" w:eastAsia="Times New Roman" w:hAnsi="Times New Roman"/>
          <w:sz w:val="18"/>
          <w:szCs w:val="18"/>
          <w:i w:val="1"/>
          <w:iCs w:val="1"/>
          <w:color w:val="auto"/>
        </w:rPr>
        <w:t>Distributions on Class A ADSs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C ADSs</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The Company intends to treat the Class C ADSs as stock of the Company rather than as warrants. However, holders of Class C ADSs are urged to consult their tax advisors regarding the U.S. federal income tax considerations relating to the ownership, conversion, or disposition of Class C ADSs.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 Class C ADSs Treated as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assumes that the Class ADSs are treated as stock for applicable U.S. federal income tax purposes.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i. Sale, Exchange, Redemption or Other Taxable Disposition of Class C ADSs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stock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—Sale, Exchange, Redemption or Other Taxable Disposition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Class A ADSs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ii. Conversion of a Class C ADS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w:t>
      </w:r>
    </w:p>
    <w:p>
      <w:pPr>
        <w:spacing w:after="0" w:line="19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terms of the Class C ADSs, there are certain circumstances in which there may be a cashless conversion of the Class C ADSs. The tax consequences of such cashless conversion of a Class C ADS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92"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w:t>
      </w:r>
    </w:p>
    <w:p>
      <w:pPr>
        <w:spacing w:after="0" w:line="2"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Accordingly, U.S. Holders are urged to consult their tax advisors regarding the tax consequences of a conversion of Class C ADSs or redemption of Class C ADSs for Class A ADSs.</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 Class C ADS Treated as Warrants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i. Sale, Exchange, Redemption or Other Taxable Disposition of Class C ADSs</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—Sale, Exchange, Redemption or Other Taxable Disposition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Class A ADSs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ii. Conversion of a Class C ADS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Times New Roman" w:cs="Times New Roman" w:eastAsia="Times New Roman" w:hAnsi="Times New Roman"/>
          <w:sz w:val="18"/>
          <w:szCs w:val="18"/>
          <w:i w:val="1"/>
          <w:iCs w:val="1"/>
          <w:color w:val="auto"/>
        </w:rPr>
        <w:t>—Class C ADSs Treated as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 w:cs="Times New Roman" w:eastAsia="Times New Roman" w:hAnsi="Times New Roman"/>
          <w:sz w:val="18"/>
          <w:szCs w:val="18"/>
          <w:i w:val="1"/>
          <w:iCs w:val="1"/>
          <w:color w:val="auto"/>
        </w:rPr>
        <w:t>surrendered Class C ADSs</w:t>
      </w:r>
      <w:r>
        <w:rPr>
          <w:rFonts w:ascii="Times New Roman" w:cs="Times New Roman" w:eastAsia="Times New Roman" w:hAnsi="Times New Roman"/>
          <w:sz w:val="18"/>
          <w:szCs w:val="18"/>
          <w:color w:val="auto"/>
        </w:rPr>
        <w:t>”). The U.S. Holder would recognize capital gain or loss with respect to the surrendered Class C ADSs in an amount generally equal to the difference between (i) the fair market value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Further, under certain conditions, the Company has the right to redeem Class C ADSs for cash or for Class A ADSs, as discussed in the sections titled “ </w:t>
      </w:r>
      <w:r>
        <w:rPr>
          <w:rFonts w:ascii="Times New Roman" w:cs="Times New Roman" w:eastAsia="Times New Roman" w:hAnsi="Times New Roman"/>
          <w:sz w:val="18"/>
          <w:szCs w:val="18"/>
          <w:i w:val="1"/>
          <w:iCs w:val="1"/>
          <w:color w:val="auto"/>
        </w:rPr>
        <w:t>—Redemption of Class C Shares for cash</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—Redemption of Class C Shares for Class A ADSs</w:t>
      </w:r>
      <w:r>
        <w:rPr>
          <w:rFonts w:ascii="Times New Roman" w:cs="Times New Roman" w:eastAsia="Times New Roman" w:hAnsi="Times New Roman"/>
          <w:sz w:val="18"/>
          <w:szCs w:val="18"/>
          <w:color w:val="auto"/>
        </w:rPr>
        <w:t>,” respectively. If the Class C ADSs are redeemed for cash, the tax consequences generally will be as described in the section titled “</w:t>
      </w:r>
      <w:r>
        <w:rPr>
          <w:rFonts w:ascii="Times New Roman" w:cs="Times New Roman" w:eastAsia="Times New Roman" w:hAnsi="Times New Roman"/>
          <w:sz w:val="18"/>
          <w:szCs w:val="18"/>
          <w:i w:val="1"/>
          <w:iCs w:val="1"/>
          <w:color w:val="auto"/>
        </w:rPr>
        <w:t>—Sale, Exchange, Redemption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Class A ADSs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The terms of each Class C ADS provide for an adjustment to the number of Class A ADSs for which an Class C ADS may be exercised or converted, or to the exercise or conversion price of a Class C ADS in certain events, as discussed in the section titled Item 10.B “</w:t>
      </w: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—Articles of Association—Description of Company Share Capital and Polestar Articles—Class C Shares</w:t>
      </w:r>
      <w:r>
        <w:rPr>
          <w:rFonts w:ascii="Times New Roman" w:cs="Times New Roman" w:eastAsia="Times New Roman" w:hAnsi="Times New Roman"/>
          <w:sz w:val="17"/>
          <w:szCs w:val="17"/>
          <w:color w:val="auto"/>
        </w:rPr>
        <w:t>.” An adjustment which has the effect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Times New Roman" w:cs="Times New Roman" w:eastAsia="Times New Roman" w:hAnsi="Times New Roman"/>
          <w:sz w:val="18"/>
          <w:szCs w:val="18"/>
          <w:i w:val="1"/>
          <w:iCs w:val="1"/>
          <w:color w:val="auto"/>
        </w:rPr>
        <w:t>—Distributions on Class A ADs</w:t>
      </w:r>
      <w:r>
        <w:rPr>
          <w:rFonts w:ascii="Times New Roman" w:cs="Times New Roman" w:eastAsia="Times New Roman" w:hAnsi="Times New Roman"/>
          <w:sz w:val="18"/>
          <w:szCs w:val="18"/>
          <w:color w:val="auto"/>
        </w:rPr>
        <w:t>” above. Such constructive distributions would be subject to tax as described under that section in the same manner as if the U.S. holder received a cash distribution from the Company equal to the fair market value of such increased interest.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treatment of U.S. Holders of the AD securities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w:t>
      </w:r>
    </w:p>
    <w:p>
      <w:pPr>
        <w:spacing w:after="0" w:line="1"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w:t>
      </w:r>
    </w:p>
    <w:p>
      <w:pPr>
        <w:spacing w:after="0" w:line="1" w:lineRule="exact"/>
        <w:rPr>
          <w:sz w:val="20"/>
          <w:szCs w:val="20"/>
          <w:color w:val="auto"/>
        </w:rPr>
      </w:pPr>
    </w:p>
    <w:p>
      <w:pPr>
        <w:ind w:left="120" w:right="320"/>
        <w:spacing w:after="0" w:line="250" w:lineRule="auto"/>
        <w:rPr>
          <w:sz w:val="20"/>
          <w:szCs w:val="20"/>
          <w:color w:val="auto"/>
        </w:rPr>
      </w:pPr>
      <w:r>
        <w:rPr>
          <w:rFonts w:ascii="Times New Roman" w:cs="Times New Roman" w:eastAsia="Times New Roman" w:hAnsi="Times New Roman"/>
          <w:sz w:val="18"/>
          <w:szCs w:val="18"/>
          <w:color w:val="auto"/>
        </w:rPr>
        <w:t>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w:t>
      </w:r>
    </w:p>
    <w:p>
      <w:pPr>
        <w:spacing w:after="0" w:line="1" w:lineRule="exact"/>
        <w:rPr>
          <w:sz w:val="20"/>
          <w:szCs w:val="20"/>
          <w:color w:val="auto"/>
        </w:rPr>
      </w:pPr>
    </w:p>
    <w:p>
      <w:pPr>
        <w:ind w:left="120" w:right="300"/>
        <w:spacing w:after="0" w:line="290" w:lineRule="auto"/>
        <w:rPr>
          <w:sz w:val="20"/>
          <w:szCs w:val="20"/>
          <w:color w:val="auto"/>
        </w:rPr>
      </w:pPr>
      <w:r>
        <w:rPr>
          <w:rFonts w:ascii="Times New Roman" w:cs="Times New Roman" w:eastAsia="Times New Roman" w:hAnsi="Times New Roman"/>
          <w:sz w:val="17"/>
          <w:szCs w:val="17"/>
          <w:color w:val="auto"/>
        </w:rPr>
        <w:t>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(including the income and assets of each subsidiary for which the Company owns, directly or indirectly, 25% or more (by value) of its stock), the Company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or becomes a PFIC during any year in which a U.S. Holder holds AD securities and such U.S. Holder does not make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94"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its AD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lieu of being subject to the special tax rules discussed above with regard to its Class A ADSs, a U.S. Holder may make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mark-to-market election with respect to its AD securities and with respect to its Class C ADSs if treated as stock. A U.S. Holder may make</w:t>
      </w: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Reporting Requirements</w:t>
      </w:r>
    </w:p>
    <w:p>
      <w:pPr>
        <w:spacing w:after="0" w:line="11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40"/>
          </w:cols>
          <w:pgMar w:left="320" w:top="455" w:right="5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advisors regarding the foreign financial asset and other reporting obligations and their application to the ownership and disposition of AD securities.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w:t>
      </w:r>
    </w:p>
    <w:p>
      <w:pPr>
        <w:spacing w:after="0" w:line="1" w:lineRule="exact"/>
        <w:rPr>
          <w:sz w:val="20"/>
          <w:szCs w:val="20"/>
          <w:color w:val="auto"/>
        </w:rPr>
      </w:pPr>
    </w:p>
    <w:p>
      <w:pPr>
        <w:ind w:left="120" w:right="480" w:hanging="4"/>
        <w:spacing w:after="0" w:line="260" w:lineRule="auto"/>
        <w:tabs>
          <w:tab w:leader="none" w:pos="3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or (ii) 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is intended as a general guide to current United Kingdom tax law and HMRC published practice applying as at the date of this Report (both of which are subject to change at any time, possibly with retrospective effect) relating to (i) the United Kingdom withholding tax implications of dividends paid by the Company in respect of Class A Shares and Class C-1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by the Company in respect of Class A Shares and Class C-1 Shares should not be subject to any withholding or deduction for or on account of United Kingdom income tax.</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Tax—Transfers of AD securities</w:t>
      </w:r>
    </w:p>
    <w:p>
      <w:pPr>
        <w:spacing w:after="0" w:line="119"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7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119"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The Company has not paid any cash dividends on its capital stock to date and does not intend to pay cash dividends. Also see “</w:t>
      </w:r>
      <w:r>
        <w:rPr>
          <w:rFonts w:ascii="Times New Roman" w:cs="Times New Roman" w:eastAsia="Times New Roman" w:hAnsi="Times New Roman"/>
          <w:sz w:val="18"/>
          <w:szCs w:val="18"/>
          <w:i w:val="1"/>
          <w:iCs w:val="1"/>
          <w:color w:val="auto"/>
        </w:rPr>
        <w:t>—Dividends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in Item 8.A of this Report and Item 10.B “</w:t>
      </w:r>
      <w:r>
        <w:rPr>
          <w:rFonts w:ascii="Times New Roman" w:cs="Times New Roman" w:eastAsia="Times New Roman" w:hAnsi="Times New Roman"/>
          <w:sz w:val="18"/>
          <w:szCs w:val="18"/>
          <w:i w:val="1"/>
          <w:iCs w:val="1"/>
          <w:color w:val="auto"/>
        </w:rPr>
        <w:t>Additional Information—Articles of Association—Polestar Articles and English Law Considerations—Other English Law Considerations—Distributions &amp; Dividends.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Gores Guggenheim, Inc. as of December 31, 2020 and for the period from December 21, 2020 (inception) through December 31, 2020, have been included herein in reliance upon the report of KPMG LLP, GGI’s former independent registered public accounting firm, appearing elsewhere herein, and upon the authority of said firm as experts in accounting and auditing.</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Gores Guggenheim, Inc. as of December 31, 2021, have been included herein in reliance upon the report of WithumSmith+Brown, PC, GGI’s independent registered accounting firm, appearing elsewhere herein, and upon the authority of said firm as experts in accounting and auditing. Additionally, Withum conducted a review of GGI’s financials for the quarterly period ending March 31, 2022.</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as of December 31, 2021 and 2020, and for each of the three years in the period ended December 31, 2021, included herein have been audited by Deloitte AB, independent registered public accounting firm. Such financial statements are included in reliance upon the report of such firm given upon their authority as experts in accounting and auditing.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UK PLC (formerly known as Polestar Automotive Holding UK Limited) as of September 15, 2021 and December 31, 2021 and for the period September 15, 2021 to December 31, 2021 included herein have been audited by Deloitte AB, independent registered public accounting firm. Such financial statements are included in reliance upon the report of such firm given upon their authority as experts in accounting and auditing.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also may, but are not required to, furnish to the SEC, on Form 6-K, unaudited financial information after each of our first three fiscal quarters. The SEC also maintains a website at http://www.sec.gov 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w:t>
      </w:r>
    </w:p>
    <w:p>
      <w:pPr>
        <w:spacing w:after="0" w:line="298"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121"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information contained in this Report under Item 5.</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31" w:lineRule="exact"/>
        <w:rPr>
          <w:sz w:val="20"/>
          <w:szCs w:val="20"/>
          <w:color w:val="auto"/>
        </w:rPr>
      </w:pPr>
    </w:p>
    <w:p>
      <w:pPr>
        <w:ind w:left="560" w:right="9300" w:hanging="444"/>
        <w:spacing w:after="0" w:line="425" w:lineRule="auto"/>
        <w:tabs>
          <w:tab w:leader="none" w:pos="552"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jc w:val="center"/>
        <w:ind w:right="-17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60"/>
          </w:cols>
          <w:pgMar w:left="320" w:top="455" w:right="5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8880" w:hanging="444"/>
        <w:spacing w:after="0" w:line="450" w:lineRule="auto"/>
        <w:tabs>
          <w:tab w:leader="none" w:pos="55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60" w:right="9260" w:hanging="444"/>
        <w:spacing w:after="0" w:line="450" w:lineRule="auto"/>
        <w:tabs>
          <w:tab w:leader="none" w:pos="55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spacing w:after="0" w:line="171" w:lineRule="exact"/>
        <w:rPr>
          <w:rFonts w:ascii="Times New Roman" w:cs="Times New Roman" w:eastAsia="Times New Roman" w:hAnsi="Times New Roman"/>
          <w:sz w:val="17"/>
          <w:szCs w:val="17"/>
          <w:b w:val="1"/>
          <w:bCs w:val="1"/>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Company’s American Depositary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summarizes the terms of the ADSs.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ADSs</w:t>
      </w:r>
    </w:p>
    <w:p>
      <w:pPr>
        <w:spacing w:after="0" w:line="121"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6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is on file with the SEC under cover of Registration Statements on Form F-6. You may obtain a copy of the deposit agreements from the SEC’s Public Reference Room at 100 F Street, N.E., Washington, D.C. 20549 and from the SEC’s website (www.sec.gov). Please refer to Registration Number 333-263479 (for the Class A ADSs), 333-263480 (for the Class C-1 ADSs), and 333-263481 (for the Class C-2 ADSs), respectively, when retrieving such copy.</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have no rights or obligations under the deposit agreement for any other class of Shares. The Company urges you to review the applicable deposit agreements in their entirety. </w:t>
      </w:r>
      <w:r>
        <w:rPr>
          <w:rFonts w:ascii="Times New Roman" w:cs="Times New Roman" w:eastAsia="Times New Roman" w:hAnsi="Times New Roman"/>
          <w:sz w:val="18"/>
          <w:szCs w:val="18"/>
          <w:i w:val="1"/>
          <w:iCs w:val="1"/>
          <w:color w:val="auto"/>
        </w:rPr>
        <w:t>The portions of this summary description that are italicized describe matters that may be relevant to the ownership of ADSs but that may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contained in the deposit agreements.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94" w:lineRule="exact"/>
        <w:rPr>
          <w:sz w:val="20"/>
          <w:szCs w:val="20"/>
          <w:color w:val="auto"/>
        </w:rPr>
      </w:pPr>
    </w:p>
    <w:p>
      <w:pPr>
        <w:jc w:val="both"/>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Shares will continue to be governed by the laws of England and Wales, which may be different from the laws in the United States.</w:t>
      </w:r>
    </w:p>
    <w:p>
      <w:pPr>
        <w:spacing w:after="0" w:line="16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the Company will not treat you as one of its shareholders and you will not have direct shareholder rights. The depositary will hold on your behalf the shareholder rights attached to the Shares underlying your ADSs. As an owner of ADSs you will be able to exercise the shareholders rights for the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6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registration of the Shares in the name of the depositary or the custodian shall, to the maximum extent permitted by applicable law, vest in the depositary or the custodian the record ownership in the applicable Shares with the beneficial ownership rights and interests in such Shares being at all times vested with the beneficial owners of the ADSs representing the applicable Shares. The depositary or the custodian shall at all times be entitled to exercise the beneficial ownership rights in all corresponding deposited property, in each case only on behalf of the holders and beneficial owners of the ADSs representing the deposited property.</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Shares, the transfer of which is restricted due to contractual or regulatory limitations and commonly referred to as “Restricted Shares,” are eligible for deposit under the deposit agreements only in limited circumstances described under the section titled “</w:t>
      </w:r>
      <w:r>
        <w:rPr>
          <w:rFonts w:ascii="Times New Roman" w:cs="Times New Roman" w:eastAsia="Times New Roman" w:hAnsi="Times New Roman"/>
          <w:sz w:val="18"/>
          <w:szCs w:val="18"/>
          <w:i w:val="1"/>
          <w:iCs w:val="1"/>
          <w:color w:val="auto"/>
        </w:rPr>
        <w:t>—Restricted ADSs</w:t>
      </w:r>
      <w:r>
        <w:rPr>
          <w:rFonts w:ascii="Times New Roman" w:cs="Times New Roman" w:eastAsia="Times New Roman" w:hAnsi="Times New Roman"/>
          <w:sz w:val="18"/>
          <w:szCs w:val="18"/>
          <w:color w:val="auto"/>
        </w:rPr>
        <w:t>,”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Cash</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Shares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Whenever the Company makes a free distribution of Shares for the securities on deposit with the custodian, the Company will deposit the applicable number of Shares with the custodian. Upon receipt of confirmation of such deposit, the depositary will either distribute to the applicable holders new ADSs representing the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Shares so distributed.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Shares received upon the terms described in the deposit agreement and will distribute the proceeds of the sale as in the case of a distribution of cash.</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Rights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rights to subscribe for additional Shares, the Company will give prior notice to the depositary and will assist the depositary in determining whether it is lawful and reasonably practicable to distribute rights to subscribe for additional ADSs to the applicable holders.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Shares other than in the form of ADSs.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33"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timely request that the rights be distributed to you or the Company requests that the rights not be distributed to you;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Elective Distributions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a dividend payable at the election of shareholders either in cash or in additional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Distributions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property other than cash, Shares or rights to subscribe for additional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60" w:firstLine="440"/>
        <w:spacing w:after="0" w:line="312"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w:t>
      </w:r>
    </w:p>
    <w:p>
      <w:pPr>
        <w:spacing w:after="0" w:line="14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33"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request that the property be distributed to you or if the Company requests that the property not be distributed to you;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and, with respect to Class C Shares, Mandatory Conversion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affecting Shares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Shares held on deposit for your ADSs may change from time to time. For example, there may be a change in nominal or par value, split-up, cancellation, consolidation or any other reclassification of such Shares or a recapitalization, reorganization, merger, consolidation or sale of assets of the Company.</w:t>
      </w:r>
    </w:p>
    <w:p>
      <w:pPr>
        <w:spacing w:after="0" w:line="176"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If any such change were to occur, your ADSs would, to the extent permitted by law and the deposit agreement, represent the right to receive the property received or exchanged in respect of the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ADSs upon Deposit of Shares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Business Combination, the Shares being offered in connection with the Business Combination were deposited by the Company with the custodian. Upon receipt of confirmation of such deposit,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depositary issued ADSs representing the deposited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Shares with the custodian. The depositary will deliver the corresponding ADSs to the person you indicate only after you pay any applicable issuance fees and any charges and taxes payable for the transfer of the Shares to the custodian. Your ability to deposit Shares and receive ADSs may be limited by U.S. and English legal considerations applicable at the time of deposit.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When you make a deposit of Shares, you will be responsible for transferring good and valid title to the depositary. As such, you will be deemed to represent and warrant that:</w:t>
      </w:r>
    </w:p>
    <w:p>
      <w:pPr>
        <w:spacing w:after="0" w:line="67"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duly authorized, validly issued, fully paid, non-assessable and legally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Shares have been validly waived or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Shares.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have not been stripped of any rights or entitlements.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Combination and Split Up of ADRs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7"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Withdrawal of Shares Upon Cancellation of ADSs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Shares at the custodian’s offices. Your ability to withdraw the Shares held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5"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in respect of the ADSs may be limited by U.S. and English legal considerations applicable at the time of withdrawal. In order to withdraw the Shares represented by your ADSs, you will be required to pay to the depositary the fees for cancellation of ADSs and any charges and taxes payable upon the transfer of the Shares. You assume the risk for delivery of all funds and securities upon withdrawal. Once canceled, the ADSs will not have any rights under the deposit agreement.</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30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Shares or ADSs are closed, or (ii) the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Shares represented by your ADSs. The voting rights of holders of Shares are described in Item 10.B. “</w:t>
      </w:r>
      <w:r>
        <w:rPr>
          <w:rFonts w:ascii="Times New Roman" w:cs="Times New Roman" w:eastAsia="Times New Roman" w:hAnsi="Times New Roman"/>
          <w:sz w:val="18"/>
          <w:szCs w:val="18"/>
          <w:i w:val="1"/>
          <w:iCs w:val="1"/>
          <w:color w:val="auto"/>
        </w:rPr>
        <w:t>Additional Information—Articles of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Company Share Capital and Polestar Articles—Company Securities—Voting Rights.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Service</w:t>
            </w:r>
          </w:p>
        </w:tc>
        <w:tc>
          <w:tcPr>
            <w:tcW w:w="5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9"/>
        </w:trPr>
        <w:tc>
          <w:tcPr>
            <w:tcW w:w="4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w w:val="90"/>
              </w:rPr>
              <w:t>• </w:t>
            </w:r>
          </w:p>
        </w:tc>
        <w:tc>
          <w:tcPr>
            <w:tcW w:w="5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 Other than the initial deposit in connection with the Business</w:t>
            </w:r>
          </w:p>
        </w:tc>
        <w:tc>
          <w:tcPr>
            <w:tcW w:w="12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8"/>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Combination,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 issuance of ADS upon a</w:t>
            </w:r>
          </w:p>
        </w:tc>
        <w:tc>
          <w:tcPr>
            <w:tcW w:w="5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deposit of Shares, upon a change in the ADS(s)-to-Share ratio or</w:t>
            </w:r>
          </w:p>
        </w:tc>
        <w:tc>
          <w:tcPr>
            <w:tcW w:w="5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conversion of Class C Shares/ Class C ADSs or for any other reason),</w:t>
            </w:r>
          </w:p>
        </w:tc>
        <w:tc>
          <w:tcPr>
            <w:tcW w:w="52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excluding ADS issuances as a result of distributions of Shares</w:t>
            </w:r>
          </w:p>
        </w:tc>
        <w:tc>
          <w:tcPr>
            <w:tcW w:w="5280" w:type="dxa"/>
            <w:vAlign w:val="bottom"/>
          </w:tcPr>
          <w:p>
            <w:pPr>
              <w:spacing w:after="0"/>
              <w:rPr>
                <w:sz w:val="20"/>
                <w:szCs w:val="20"/>
                <w:color w:val="auto"/>
              </w:rPr>
            </w:pPr>
          </w:p>
        </w:tc>
      </w:tr>
      <w:tr>
        <w:trPr>
          <w:trHeight w:val="306"/>
        </w:trPr>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0"/>
              </w:rPr>
              <w:t>• </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 Cancellation of ADSs (e.g., a cancellation of ADSs for delivery of</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deposited property, upon a change in the ADS(s)-to-Share ratio, or for</w:t>
            </w:r>
          </w:p>
        </w:tc>
        <w:tc>
          <w:tcPr>
            <w:tcW w:w="52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any other reason)</w:t>
            </w:r>
          </w:p>
        </w:tc>
        <w:tc>
          <w:tcPr>
            <w:tcW w:w="5280" w:type="dxa"/>
            <w:vAlign w:val="bottom"/>
          </w:tcPr>
          <w:p>
            <w:pPr>
              <w:spacing w:after="0"/>
              <w:rPr>
                <w:sz w:val="20"/>
                <w:szCs w:val="20"/>
                <w:color w:val="auto"/>
              </w:rPr>
            </w:pPr>
          </w:p>
        </w:tc>
      </w:tr>
      <w:tr>
        <w:trPr>
          <w:trHeight w:val="306"/>
        </w:trPr>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0"/>
              </w:rPr>
              <w:t>• </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44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5280" w:type="dxa"/>
            <w:vAlign w:val="bottom"/>
          </w:tcPr>
          <w:p>
            <w:pPr>
              <w:spacing w:after="0"/>
              <w:rPr>
                <w:sz w:val="20"/>
                <w:szCs w:val="20"/>
                <w:color w:val="auto"/>
              </w:rPr>
            </w:pPr>
          </w:p>
        </w:tc>
      </w:tr>
      <w:tr>
        <w:trPr>
          <w:trHeight w:val="306"/>
        </w:trPr>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0"/>
              </w:rPr>
              <w:t>• </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44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5280" w:type="dxa"/>
            <w:vAlign w:val="bottom"/>
          </w:tcPr>
          <w:p>
            <w:pPr>
              <w:spacing w:after="0"/>
              <w:rPr>
                <w:sz w:val="20"/>
                <w:szCs w:val="20"/>
                <w:color w:val="auto"/>
              </w:rPr>
            </w:pPr>
          </w:p>
        </w:tc>
      </w:tr>
      <w:tr>
        <w:trPr>
          <w:trHeight w:val="306"/>
        </w:trPr>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0"/>
              </w:rPr>
              <w:t>• </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44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5280" w:type="dxa"/>
            <w:vAlign w:val="bottom"/>
          </w:tcPr>
          <w:p>
            <w:pPr>
              <w:spacing w:after="0"/>
              <w:rPr>
                <w:sz w:val="20"/>
                <w:szCs w:val="20"/>
                <w:color w:val="auto"/>
              </w:rPr>
            </w:pPr>
          </w:p>
        </w:tc>
      </w:tr>
      <w:tr>
        <w:trPr>
          <w:trHeight w:val="306"/>
        </w:trPr>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0"/>
              </w:rPr>
              <w:t>• </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 ADS Services</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w w:val="99"/>
              </w:rPr>
              <w:t>Up to US$0.05 per ADS held on the applicable record date(s) established</w:t>
            </w:r>
          </w:p>
        </w:tc>
      </w:tr>
      <w:tr>
        <w:trPr>
          <w:trHeight w:val="234"/>
        </w:trPr>
        <w:tc>
          <w:tcPr>
            <w:tcW w:w="4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by the depositary</w:t>
            </w:r>
          </w:p>
        </w:tc>
      </w:tr>
      <w:tr>
        <w:trPr>
          <w:trHeight w:val="306"/>
        </w:trPr>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0"/>
              </w:rPr>
              <w:t>• </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a registration of the transfer</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(or fraction thereof) transferred</w:t>
            </w:r>
          </w:p>
        </w:tc>
      </w:tr>
      <w:tr>
        <w:trPr>
          <w:trHeight w:val="214"/>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 registered ownership of ADSs, upon a transfer of ADSs into DTC</w:t>
            </w:r>
          </w:p>
        </w:tc>
        <w:tc>
          <w:tcPr>
            <w:tcW w:w="5280" w:type="dxa"/>
            <w:vAlign w:val="bottom"/>
          </w:tcPr>
          <w:p>
            <w:pPr>
              <w:spacing w:after="0"/>
              <w:rPr>
                <w:sz w:val="18"/>
                <w:szCs w:val="18"/>
                <w:color w:val="auto"/>
              </w:rPr>
            </w:pPr>
          </w:p>
        </w:tc>
      </w:tr>
      <w:tr>
        <w:trPr>
          <w:trHeight w:val="236"/>
        </w:trPr>
        <w:tc>
          <w:tcPr>
            <w:tcW w:w="44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5280" w:type="dxa"/>
            <w:vAlign w:val="bottom"/>
          </w:tcPr>
          <w:p>
            <w:pPr>
              <w:spacing w:after="0"/>
              <w:rPr>
                <w:sz w:val="20"/>
                <w:szCs w:val="20"/>
                <w:color w:val="auto"/>
              </w:rPr>
            </w:pPr>
          </w:p>
        </w:tc>
      </w:tr>
      <w:tr>
        <w:trPr>
          <w:trHeight w:val="304"/>
        </w:trPr>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0"/>
              </w:rPr>
              <w:t>• </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 Conversion of ADSs of one series for ADSs of another series</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(or fraction thereof) converted</w:t>
            </w:r>
          </w:p>
        </w:tc>
      </w:tr>
      <w:tr>
        <w:trPr>
          <w:trHeight w:val="218"/>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w:t>
            </w:r>
          </w:p>
        </w:tc>
        <w:tc>
          <w:tcPr>
            <w:tcW w:w="5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ADSs, upon conversion of Class C ADSs into Class A ADSs, or upon</w:t>
            </w:r>
          </w:p>
        </w:tc>
        <w:tc>
          <w:tcPr>
            <w:tcW w:w="5280" w:type="dxa"/>
            <w:vAlign w:val="bottom"/>
          </w:tcPr>
          <w:p>
            <w:pPr>
              <w:spacing w:after="0"/>
              <w:rPr>
                <w:sz w:val="18"/>
                <w:szCs w:val="18"/>
                <w:color w:val="auto"/>
              </w:rPr>
            </w:pPr>
          </w:p>
        </w:tc>
      </w:tr>
      <w:tr>
        <w:trPr>
          <w:trHeight w:val="214"/>
        </w:trPr>
        <w:tc>
          <w:tcPr>
            <w:tcW w:w="44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conversion of Restricted ADSs (each as defined in the applicable</w:t>
            </w:r>
          </w:p>
        </w:tc>
        <w:tc>
          <w:tcPr>
            <w:tcW w:w="5280" w:type="dxa"/>
            <w:vAlign w:val="bottom"/>
          </w:tcPr>
          <w:p>
            <w:pPr>
              <w:spacing w:after="0"/>
              <w:rPr>
                <w:sz w:val="18"/>
                <w:szCs w:val="18"/>
                <w:color w:val="auto"/>
              </w:rPr>
            </w:pPr>
          </w:p>
        </w:tc>
      </w:tr>
      <w:tr>
        <w:trPr>
          <w:trHeight w:val="236"/>
        </w:trPr>
        <w:tc>
          <w:tcPr>
            <w:tcW w:w="44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 (including any applicable stamp duty or SDRT);</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Shares on the share register and applicable to transfers of Shares to or from the name of the custodian, the depositary or any nominees upon the making of deposits and withdrawals,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Shares, ADSs and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2" w:lineRule="exact"/>
        <w:rPr>
          <w:sz w:val="20"/>
          <w:szCs w:val="20"/>
          <w:color w:val="auto"/>
        </w:rPr>
      </w:pPr>
    </w:p>
    <w:p>
      <w:pPr>
        <w:jc w:val="both"/>
        <w:ind w:left="120" w:right="140" w:hanging="4"/>
        <w:spacing w:after="0" w:line="255" w:lineRule="auto"/>
        <w:tabs>
          <w:tab w:leader="none" w:pos="33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Termination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pay. In addition, the Company may not be able to provide you with prior notice of any modifications or supplements that are required to accommodate compliance with applicable provisions of law.</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Shares represented by your ADSs (except as permitted by law).</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Shares represented by ADSs and to direct the depositary of such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Transmission of Notices, Reports and Proxy Soliciting Material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limits the Company’s obligations and the depositary’s obligations to you. Please note the following: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are obligated only to take the actions specifically stated in the deposit agreement without negligence or bad faith.</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Shares, for the validity or worth of the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92"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acts or omissions of any successor depositary in connection with any matter arising wholly after the resignation or removal of the depositary.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will not be obligated to perform any act that is inconsistent with the terms of the deposit agreement.</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the inability by a holder or beneficial holder to benefit from any distribution, offering, right or other benefit that is made available to holders of Shares but is not, under the terms of the deposit agreement, made available to you.</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any consequential or punitive damages for any breach of the terms of the deposit agreement.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the Company, the depositary and you as ADS 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Conversion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7" w:lineRule="exact"/>
        <w:rPr>
          <w:sz w:val="20"/>
          <w:szCs w:val="20"/>
          <w:color w:val="auto"/>
        </w:rPr>
      </w:pPr>
    </w:p>
    <w:p>
      <w:pPr>
        <w:ind w:left="1080" w:right="52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applicable holders for whom the conversion and distribution is lawful and practical.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the applicable holders for whom the distribution is lawful and practical.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Law/Waiver of Jury Trial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Shares (including Shares represented by ADSs) are governed by the laws of England and Wales.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deposit agreement provides that, to the extent permitted by law, ADS holders waive the right to a jury trial of any claim they may have against the Company or the depositary arising out of or relating to the Shares, the ADSs or the deposit agreement, including any claim under U.S. federal securities laws. </w:t>
      </w:r>
      <w:r>
        <w:rPr>
          <w:rFonts w:ascii="Times New Roman" w:cs="Times New Roman" w:eastAsia="Times New Roman" w:hAnsi="Times New Roman"/>
          <w:sz w:val="18"/>
          <w:szCs w:val="18"/>
          <w:i w:val="1"/>
          <w:iCs w:val="1"/>
          <w:color w:val="auto"/>
        </w:rPr>
        <w:t>If the Company or the depositary opposed a jury trial demand based on the waiver, the court would determine whether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ADSs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order to enable the deposit of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Restricted ADSs differ from the freely transferable ADSs in certain respects. These differences include the following:</w:t>
      </w:r>
    </w:p>
    <w:p>
      <w:pPr>
        <w:spacing w:after="0" w:line="131" w:lineRule="exact"/>
        <w:rPr>
          <w:sz w:val="20"/>
          <w:szCs w:val="20"/>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Restricted ADSs are not listed on any securities exchange or trading system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The CUSIP number for the Restricted ADSs is different from the CUSIP number for the freely transferable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Restricted ADSs may, after issuance, be sold or otherwise transferred only on the terms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Restricted ADSs will be subject to a transfer legend substantially in the form of all or some of the following:</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9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ARE SUBJECT TO RESTRICTIONS PURSUANT TO THE SPONSOR AND SUPPORTING SPONSOR STOCKHOLDERS LOCK-UP AGREEMENT, DATED SEPTEMBER 27, 2021, AMONG POLESTAR AUTOMOTIVE HOLDING UK PLC (THE “COMPANY”), GORES GUGGENHEIM SPONSOR LLC AND THE OTHER PARTIES THERETO (AS AMENDED, THE “SPONSOR LOCK UP AGREEMENT”), OR THE PARENT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60"/>
          </w:cols>
          <w:pgMar w:left="320" w:top="455"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LOCK-UP AGREEMENTS, DATED SEPTEMBER 27, 2021, AMONG THE COMPANY AND THE OTHER PARTIES THERETO (AS AMENDED, THE “SPONSOR LOCK UP AGREEMENTS,” AND TOGETHER WITH THE SPONSOR LOCK UP AGREEMENT, THE “LOCK UP AGREEMENTS”), AS APPLICABLE, MAY ONLY BE OFFERED, SOLD, TRANSFERRED, PLEDGED OR OTHERWISE DISPOSED DURING THE TERM OF THE LOCK-UP PURSUANT TO THE TERMS SET FORTH IN THE LOCK UP AGREEMENTS, AS APPLICABLE.”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81" w:lineRule="exact"/>
        <w:rPr>
          <w:sz w:val="20"/>
          <w:szCs w:val="20"/>
          <w:color w:val="auto"/>
        </w:rPr>
      </w:pPr>
    </w:p>
    <w:p>
      <w:pPr>
        <w:ind w:left="1080" w:right="18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Segregation of Shares</w:t>
      </w:r>
      <w:r>
        <w:rPr>
          <w:rFonts w:ascii="Times New Roman" w:cs="Times New Roman" w:eastAsia="Times New Roman" w:hAnsi="Times New Roman"/>
          <w:sz w:val="18"/>
          <w:szCs w:val="18"/>
          <w:color w:val="auto"/>
        </w:rPr>
        <w:t>: Restricted Shares deposited with the custodian with respect to Restricted ADSs shall be held separate and distinct from the deposited securities held under the applicable deposit agreement.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Fungibility</w:t>
      </w:r>
      <w:r>
        <w:rPr>
          <w:rFonts w:ascii="Times New Roman" w:cs="Times New Roman" w:eastAsia="Times New Roman" w:hAnsi="Times New Roman"/>
          <w:sz w:val="18"/>
          <w:szCs w:val="18"/>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94"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Settlement</w:t>
      </w:r>
      <w:r>
        <w:rPr>
          <w:rFonts w:ascii="Times New Roman" w:cs="Times New Roman" w:eastAsia="Times New Roman" w:hAnsi="Times New Roman"/>
          <w:sz w:val="18"/>
          <w:szCs w:val="18"/>
          <w:color w:val="auto"/>
        </w:rPr>
        <w:t>: The Restricted ADSs are not expected to be eligible for inclusion in any book-entry settlement system, including, without limitation, the book-entry settlement system maintained by DTC.</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RADSs into ADSs</w:t>
      </w:r>
      <w:r>
        <w:rPr>
          <w:rFonts w:ascii="Times New Roman" w:cs="Times New Roman" w:eastAsia="Times New Roman" w:hAnsi="Times New Roman"/>
          <w:sz w:val="18"/>
          <w:szCs w:val="18"/>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Class C ADSs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Item 10.B “</w:t>
      </w:r>
      <w:r>
        <w:rPr>
          <w:rFonts w:ascii="Times New Roman" w:cs="Times New Roman" w:eastAsia="Times New Roman" w:hAnsi="Times New Roman"/>
          <w:sz w:val="18"/>
          <w:szCs w:val="18"/>
          <w:i w:val="1"/>
          <w:iCs w:val="1"/>
          <w:color w:val="auto"/>
        </w:rPr>
        <w:t>Additional Information—Articles of Association—Description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Capital and Polestar Articles—Class C Shares</w:t>
      </w:r>
      <w:r>
        <w:rPr>
          <w:rFonts w:ascii="Times New Roman" w:cs="Times New Roman" w:eastAsia="Times New Roman" w:hAnsi="Times New Roman"/>
          <w:sz w:val="18"/>
          <w:szCs w:val="18"/>
          <w:color w:val="auto"/>
        </w:rPr>
        <w:t>”) and the deposit agreement. The Class C Shares will only be accepted for conversion in multiples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one.</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Any holder of Class C ADSs wishing to convert the Class C Shares represented by their Class C ADSs into Class A ADSs will need to take the following actions:</w:t>
      </w:r>
    </w:p>
    <w:p>
      <w:pPr>
        <w:spacing w:after="0" w:line="67" w:lineRule="exact"/>
        <w:rPr>
          <w:sz w:val="20"/>
          <w:szCs w:val="20"/>
          <w:color w:val="auto"/>
        </w:rPr>
      </w:pPr>
    </w:p>
    <w:p>
      <w:pPr>
        <w:ind w:left="1080" w:right="16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applicable Class C ADSs to the depositary, or one of its agents, together with instructions to cancel such Class C ADSs and to deliver the corresponding Class C Shares for conversion into Class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Shares in the form of Class A ADSs and pay to the applicable conversion agent the applicable ADS fees; and</w:t>
      </w:r>
    </w:p>
    <w:p>
      <w:pPr>
        <w:spacing w:after="0" w:line="131" w:lineRule="exact"/>
        <w:rPr>
          <w:sz w:val="20"/>
          <w:szCs w:val="20"/>
          <w:color w:val="auto"/>
        </w:rPr>
      </w:pPr>
    </w:p>
    <w:p>
      <w:pPr>
        <w:ind w:left="108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16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w:t>
      </w:r>
    </w:p>
    <w:p>
      <w:pPr>
        <w:spacing w:after="0" w:line="1" w:lineRule="exact"/>
        <w:rPr>
          <w:sz w:val="20"/>
          <w:szCs w:val="20"/>
          <w:color w:val="auto"/>
        </w:rPr>
      </w:pPr>
    </w:p>
    <w:p>
      <w:pPr>
        <w:ind w:left="120" w:right="340" w:hanging="4"/>
        <w:spacing w:after="0" w:line="260" w:lineRule="auto"/>
        <w:tabs>
          <w:tab w:leader="none" w:pos="43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and taxes. The form conversion instructions to be delivered to the applicable conversion agent, may be obtained from the depositary.</w:t>
      </w:r>
    </w:p>
    <w:p>
      <w:pPr>
        <w:spacing w:after="0" w:line="18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of Class C Shares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ind w:right="4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0139"/>
          </w:cols>
          <w:pgMar w:left="320" w:top="455"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Polestar Automotive Holding Limited’s and Polestar Automotive Holding UK PLC’s (formerly known as Polestar Automotive Holding UK Limited) financial statements are filed beginning on page F-1 at the end of this Report.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GGI for the period from December 21, 2020 (inception) through December 31, 2020 and for the year ended December 31, 2021 are included as Exhibit 15.1 to this Report.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financial statements of GGI for the three months ended March 31, 2022 are included as Exhibit 15.2 to this Report.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880"/>
          </w:cols>
          <w:pgMar w:left="320" w:top="455" w:right="6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EXHIBIT INDEX</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Pr>
          <w:p>
            <w:pPr>
              <w:spacing w:after="0"/>
              <w:rPr>
                <w:sz w:val="22"/>
                <w:szCs w:val="22"/>
                <w:color w:val="auto"/>
              </w:rPr>
            </w:pPr>
          </w:p>
        </w:tc>
        <w:tc>
          <w:tcPr>
            <w:tcW w:w="9360" w:type="dxa"/>
            <w:vAlign w:val="bottom"/>
            <w:tcBorders>
              <w:top w:val="single" w:sz="8" w:color="auto"/>
              <w:bottom w:val="single" w:sz="8" w:color="0000EE"/>
            </w:tcBorders>
            <w:gridSpan w:val="23"/>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Articles of Association of Polestar Automotive Holding UK PLC, as currently in effect (incorporated by reference to Exhibit A to</w:t>
              </w:r>
            </w:hyperlink>
          </w:p>
        </w:tc>
        <w:tc>
          <w:tcPr>
            <w:tcW w:w="40" w:type="dxa"/>
            <w:vAlign w:val="bottom"/>
            <w:tcBorders>
              <w:top w:val="single" w:sz="8" w:color="auto"/>
            </w:tcBorders>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Exhibit 4.1 to GGI’s current report on Form 8-K filed with the SEC on June 27, 2022).</w:t>
              </w:r>
            </w:hyperlink>
          </w:p>
        </w:tc>
        <w:tc>
          <w:tcPr>
            <w:tcW w:w="3140" w:type="dxa"/>
            <w:vAlign w:val="bottom"/>
            <w:gridSpan w:val="18"/>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Pr>
          <w:p>
            <w:pPr>
              <w:spacing w:after="0"/>
              <w:rPr>
                <w:sz w:val="24"/>
                <w:szCs w:val="24"/>
                <w:color w:val="auto"/>
              </w:rPr>
            </w:pPr>
          </w:p>
        </w:tc>
        <w:tc>
          <w:tcPr>
            <w:tcW w:w="9400" w:type="dxa"/>
            <w:vAlign w:val="bottom"/>
            <w:gridSpan w:val="25"/>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Form of ADS Deposit Agreement – Class A ADSs (incorporated by reference to Exhibit (a) to the Registration Statement on</w:t>
              </w:r>
            </w:hyperlink>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Form F-6 (File No.: 333-263479) filed with the SEC on June 2, 2022).</w:t>
              </w:r>
            </w:hyperlink>
          </w:p>
        </w:tc>
        <w:tc>
          <w:tcPr>
            <w:tcW w:w="380" w:type="dxa"/>
            <w:vAlign w:val="bottom"/>
            <w:gridSpan w:val="8"/>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spacing w:after="0"/>
              <w:rPr>
                <w:sz w:val="24"/>
                <w:szCs w:val="24"/>
                <w:color w:val="auto"/>
              </w:rPr>
            </w:pPr>
          </w:p>
        </w:tc>
        <w:tc>
          <w:tcPr>
            <w:tcW w:w="50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Class A American Depositary Receipt.</w:t>
              </w:r>
            </w:hyperlink>
          </w:p>
        </w:tc>
        <w:tc>
          <w:tcPr>
            <w:tcW w:w="4320" w:type="dxa"/>
            <w:vAlign w:val="bottom"/>
            <w:gridSpan w:val="19"/>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tcPr>
          <w:p>
            <w:pPr>
              <w:spacing w:after="0"/>
              <w:rPr>
                <w:sz w:val="24"/>
                <w:szCs w:val="24"/>
                <w:color w:val="auto"/>
              </w:rPr>
            </w:pPr>
          </w:p>
        </w:tc>
        <w:tc>
          <w:tcPr>
            <w:tcW w:w="90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ADS Deposit Agreement—Class C-1 ADSs (incorporated by reference to Exhibit B to Exhibit 4.1 to GGI’s current report on</w:t>
              </w:r>
            </w:hyperlink>
          </w:p>
        </w:tc>
        <w:tc>
          <w:tcPr>
            <w:tcW w:w="34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Form 8-K filed with the SEC on June 27, 2022).</w:t>
              </w:r>
            </w:hyperlink>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Pr>
          <w:p>
            <w:pPr>
              <w:spacing w:after="0"/>
              <w:rPr>
                <w:sz w:val="24"/>
                <w:szCs w:val="24"/>
                <w:color w:val="auto"/>
              </w:rPr>
            </w:pPr>
          </w:p>
        </w:tc>
        <w:tc>
          <w:tcPr>
            <w:tcW w:w="3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Form of Class C-1 American Depositary Receipt.</w:t>
              </w:r>
            </w:hyperlink>
          </w:p>
        </w:tc>
        <w:tc>
          <w:tcPr>
            <w:tcW w:w="5820" w:type="dxa"/>
            <w:vAlign w:val="bottom"/>
            <w:gridSpan w:val="20"/>
          </w:tcPr>
          <w:p>
            <w:pPr>
              <w:spacing w:after="0"/>
              <w:rPr>
                <w:sz w:val="24"/>
                <w:szCs w:val="24"/>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spacing w:after="0"/>
              <w:rPr>
                <w:sz w:val="24"/>
                <w:szCs w:val="24"/>
                <w:color w:val="auto"/>
              </w:rPr>
            </w:pPr>
          </w:p>
        </w:tc>
        <w:tc>
          <w:tcPr>
            <w:tcW w:w="90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ADS Deposit Agreement—Class C-2 ADSs (incorporated by reference to Exhibit B to Exhibit 4.1 to GGI’s current report on</w:t>
              </w:r>
            </w:hyperlink>
          </w:p>
        </w:tc>
        <w:tc>
          <w:tcPr>
            <w:tcW w:w="34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Form 8-K filed with the SEC on June 27, 2022).</w:t>
              </w:r>
            </w:hyperlink>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tcPr>
          <w:p>
            <w:pPr>
              <w:spacing w:after="0"/>
              <w:rPr>
                <w:sz w:val="24"/>
                <w:szCs w:val="24"/>
                <w:color w:val="auto"/>
              </w:rPr>
            </w:pPr>
          </w:p>
        </w:tc>
        <w:tc>
          <w:tcPr>
            <w:tcW w:w="3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Form of Class C-2 American Depositary Receipt.</w:t>
              </w:r>
            </w:hyperlink>
          </w:p>
        </w:tc>
        <w:tc>
          <w:tcPr>
            <w:tcW w:w="5820" w:type="dxa"/>
            <w:vAlign w:val="bottom"/>
            <w:gridSpan w:val="20"/>
          </w:tcPr>
          <w:p>
            <w:pPr>
              <w:spacing w:after="0"/>
              <w:rPr>
                <w:sz w:val="24"/>
                <w:szCs w:val="24"/>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tcPr>
          <w:p>
            <w:pPr>
              <w:spacing w:after="0"/>
              <w:rPr>
                <w:sz w:val="24"/>
                <w:szCs w:val="24"/>
                <w:color w:val="auto"/>
              </w:rPr>
            </w:pPr>
          </w:p>
        </w:tc>
        <w:tc>
          <w:tcPr>
            <w:tcW w:w="9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Warrant Agreement, dated March 22, 2021, by and between Gores Guggenheim, Inc., Computershare Inc. and Computershare</w:t>
              </w:r>
            </w:hyperlink>
          </w:p>
        </w:tc>
        <w:tc>
          <w:tcPr>
            <w:tcW w:w="26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Trust Company, N.A. (incorporated by reference to Annex C-1 to the proxy statement/prospectus).</w:t>
              </w:r>
            </w:hyperlink>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80" w:type="dxa"/>
            <w:vAlign w:val="bottom"/>
            <w:gridSpan w:val="6"/>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Pr>
          <w:p>
            <w:pPr>
              <w:spacing w:after="0"/>
              <w:rPr>
                <w:sz w:val="24"/>
                <w:szCs w:val="24"/>
                <w:color w:val="auto"/>
              </w:rPr>
            </w:pPr>
          </w:p>
        </w:tc>
        <w:tc>
          <w:tcPr>
            <w:tcW w:w="9400" w:type="dxa"/>
            <w:vAlign w:val="bottom"/>
            <w:gridSpan w:val="25"/>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Amendment to Warrant Agreement, dated April 7, 2022, by and between Gores Guggenheim, Inc., Computershare Inc. and</w:t>
              </w:r>
            </w:hyperlink>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Computershare Trust Company, N.A. (incorporated by reference to Annex C-2 to the proxy statement/prospectus).</w:t>
              </w:r>
            </w:hyperlink>
          </w:p>
        </w:tc>
        <w:tc>
          <w:tcPr>
            <w:tcW w:w="660" w:type="dxa"/>
            <w:vAlign w:val="bottom"/>
            <w:tcBorders>
              <w:top w:val="single" w:sz="8" w:color="0000EE"/>
            </w:tcBorders>
            <w:gridSpan w:val="7"/>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Pr>
          <w:p>
            <w:pPr>
              <w:spacing w:after="0"/>
              <w:rPr>
                <w:sz w:val="24"/>
                <w:szCs w:val="24"/>
                <w:color w:val="auto"/>
              </w:rPr>
            </w:pPr>
          </w:p>
        </w:tc>
        <w:tc>
          <w:tcPr>
            <w:tcW w:w="93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Specimen Warrant Certificate (included as Exhibit A to Annex C to the proxy statement/prospectus) (incorporated by reference to</w:t>
              </w:r>
            </w:hyperlink>
          </w:p>
        </w:tc>
        <w:tc>
          <w:tcPr>
            <w:tcW w:w="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Annex C to the proxy statement/prospectus).</w:t>
              </w:r>
            </w:hyperlink>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2.10*</w:t>
            </w:r>
          </w:p>
        </w:tc>
        <w:tc>
          <w:tcPr>
            <w:tcW w:w="900" w:type="dxa"/>
            <w:vAlign w:val="bottom"/>
          </w:tcPr>
          <w:p>
            <w:pPr>
              <w:spacing w:after="0"/>
              <w:rPr>
                <w:sz w:val="24"/>
                <w:szCs w:val="24"/>
                <w:color w:val="auto"/>
              </w:rPr>
            </w:pPr>
          </w:p>
        </w:tc>
        <w:tc>
          <w:tcPr>
            <w:tcW w:w="8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Class C Warrant Amendment, dated June 23, 2022, by and between Gores Guggenheim, Inc., Computershare Inc. and</w:t>
              </w:r>
            </w:hyperlink>
          </w:p>
        </w:tc>
        <w:tc>
          <w:tcPr>
            <w:tcW w:w="840" w:type="dxa"/>
            <w:vAlign w:val="bottom"/>
            <w:gridSpan w:val="1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3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Computershare Trust Company, N.A. (incorporated by reference to Exhibit 4.1 to GGI’s current report on Form 8-K filed with the</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SEC on June 27, 2022).</w:t>
              </w:r>
            </w:hyperlink>
          </w:p>
        </w:tc>
        <w:tc>
          <w:tcPr>
            <w:tcW w:w="7680" w:type="dxa"/>
            <w:vAlign w:val="bottom"/>
            <w:gridSpan w:val="24"/>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Business Combination Agreement, dated as of September 27, 2021, by and among Gores Guggenheim Inc., Polestar Automotive</w:t>
              </w:r>
            </w:hyperlink>
          </w:p>
        </w:tc>
        <w:tc>
          <w:tcPr>
            <w:tcW w:w="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Holding Limited, Polestar Automotive (Singapore) Pte. Ltd., Polestar Holding AB, Inc., Polestar Automotive Holding UK</w:t>
              </w:r>
            </w:hyperlink>
          </w:p>
        </w:tc>
        <w:tc>
          <w:tcPr>
            <w:tcW w:w="58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3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Limited and PAH UK Merger Sub Inc. (incorporated by reference to Annex A-1 to the proxy statement/prospectus).</w:t>
              </w:r>
            </w:hyperlink>
          </w:p>
        </w:tc>
        <w:tc>
          <w:tcPr>
            <w:tcW w:w="1040" w:type="dxa"/>
            <w:vAlign w:val="bottom"/>
            <w:gridSpan w:val="15"/>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Pr>
          <w:p>
            <w:pPr>
              <w:spacing w:after="0"/>
              <w:rPr>
                <w:sz w:val="24"/>
                <w:szCs w:val="24"/>
                <w:color w:val="auto"/>
              </w:rPr>
            </w:pPr>
          </w:p>
        </w:tc>
        <w:tc>
          <w:tcPr>
            <w:tcW w:w="92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Amendment No. 1 to the Business Combination Agreement, dated as of December 17, 2021, by and among Gores Guggenheim</w:t>
              </w:r>
            </w:hyperlink>
          </w:p>
        </w:tc>
        <w:tc>
          <w:tcPr>
            <w:tcW w:w="16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Inc., Polestar Automotive Holding Limited, Polestar Automotive (Singapore) Pte. Ltd., Polestar Holding AB, Inc., Polestar</w:t>
              </w:r>
            </w:hyperlink>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Automotive Holding UK Limited and PAH UK Merger Sub Inc. (incorporated by reference to Annex A-2 to the proxy</w:t>
              </w:r>
            </w:hyperlink>
          </w:p>
        </w:tc>
        <w:tc>
          <w:tcPr>
            <w:tcW w:w="320" w:type="dxa"/>
            <w:vAlign w:val="bottom"/>
            <w:tcBorders>
              <w:top w:val="single" w:sz="8" w:color="0000EE"/>
            </w:tcBorders>
            <w:gridSpan w:val="3"/>
          </w:tcPr>
          <w:p>
            <w:pPr>
              <w:spacing w:after="0"/>
              <w:rPr>
                <w:sz w:val="17"/>
                <w:szCs w:val="17"/>
                <w:color w:val="auto"/>
              </w:rPr>
            </w:pPr>
          </w:p>
        </w:tc>
        <w:tc>
          <w:tcPr>
            <w:tcW w:w="54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statement/prospectus and was previously included as Exhibit 2.1 to GGI’s current report on Form 8-K, filed December 17, 2021).</w:t>
              </w:r>
            </w:hyperlink>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500" w:type="dxa"/>
            <w:vAlign w:val="bottom"/>
            <w:gridSpan w:val="11"/>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Amendment No. 2 to the Business Combination Agreement, dated as of March 24, 2022, by and among Gores Guggenheim Inc.,</w:t>
              </w:r>
            </w:hyperlink>
          </w:p>
        </w:tc>
        <w:tc>
          <w:tcPr>
            <w:tcW w:w="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Polestar Automotive Holding Limited, Polestar Automotive (Singapore) Pte. Ltd., Polestar Holding AB, Inc., Polestar</w:t>
              </w:r>
            </w:hyperlink>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500" w:type="dxa"/>
            <w:vAlign w:val="bottom"/>
            <w:gridSpan w:val="11"/>
            <w:shd w:val="clear" w:color="auto" w:fill="0000EE"/>
          </w:tcPr>
          <w:p>
            <w:pPr>
              <w:spacing w:after="0" w:line="20" w:lineRule="exact"/>
              <w:rPr>
                <w:sz w:val="1"/>
                <w:szCs w:val="1"/>
                <w:color w:val="auto"/>
              </w:rPr>
            </w:pPr>
          </w:p>
        </w:tc>
        <w:tc>
          <w:tcPr>
            <w:tcW w:w="900" w:type="dxa"/>
            <w:vAlign w:val="bottom"/>
            <w:gridSpan w:val="14"/>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Automotive Holding UK Limited and PAH UK Merger Sub Inc. (incorporated by reference to Annex A-3 to the proxy</w:t>
              </w:r>
            </w:hyperlink>
          </w:p>
        </w:tc>
        <w:tc>
          <w:tcPr>
            <w:tcW w:w="86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25"/>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statement/prospectus and was previously included as Exhibit 2.1 to GGI’s current report on Form 8-K, filed March 25, 2022).</w:t>
              </w:r>
            </w:hyperlink>
          </w:p>
        </w:tc>
      </w:tr>
      <w:tr>
        <w:trPr>
          <w:trHeight w:val="385"/>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80" w:type="dxa"/>
            <w:vAlign w:val="bottom"/>
            <w:tcBorders>
              <w:top w:val="single" w:sz="8" w:color="0000EE"/>
            </w:tcBorders>
            <w:gridSpan w:val="6"/>
          </w:tcPr>
          <w:p>
            <w:pPr>
              <w:ind w:left="3740"/>
              <w:spacing w:after="0"/>
              <w:rPr>
                <w:sz w:val="20"/>
                <w:szCs w:val="20"/>
                <w:color w:val="auto"/>
              </w:rPr>
            </w:pPr>
            <w:r>
              <w:rPr>
                <w:rFonts w:ascii="Times New Roman" w:cs="Times New Roman" w:eastAsia="Times New Roman" w:hAnsi="Times New Roman"/>
                <w:sz w:val="18"/>
                <w:szCs w:val="18"/>
                <w:color w:val="auto"/>
              </w:rPr>
              <w:t>223</w:t>
            </w:r>
          </w:p>
        </w:tc>
        <w:tc>
          <w:tcPr>
            <w:tcW w:w="11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4"/>
                <w:szCs w:val="24"/>
                <w:color w:val="auto"/>
              </w:rPr>
            </w:pPr>
          </w:p>
        </w:tc>
        <w:tc>
          <w:tcPr>
            <w:tcW w:w="9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Amendment No. 3 to the Business Combination Agreement, dated as of April 21, 2022, by and among Gores Guggenheim Inc.,</w:t>
              </w:r>
            </w:hyperlink>
          </w:p>
        </w:tc>
        <w:tc>
          <w:tcPr>
            <w:tcW w:w="30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Polestar Automotive Holding Limited, Polestar Automotive (Singapore) Pte. Ltd., Polestar Holding AB, Inc., Polestar Automotive</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Holding UK Limited and PAH UK Merger Sub Inc. (incorporated by reference to Annex A-4 to the proxy statement/prospectus and</w:t>
              </w:r>
            </w:hyperlink>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was previously included as Exhibit 2.1 to GGI’s current report on Form 8-K, filed April 21, 2022).</w:t>
              </w:r>
            </w:hyperlink>
          </w:p>
        </w:tc>
        <w:tc>
          <w:tcPr>
            <w:tcW w:w="2380" w:type="dxa"/>
            <w:vAlign w:val="bottom"/>
            <w:gridSpan w:val="20"/>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4"/>
                <w:szCs w:val="24"/>
                <w:color w:val="auto"/>
              </w:rPr>
            </w:pPr>
          </w:p>
        </w:tc>
        <w:tc>
          <w:tcPr>
            <w:tcW w:w="7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Form of Subscription Agreement (incorporated by reference to Annex F to the proxy statement/prospectus).</w:t>
              </w:r>
            </w:hyperlink>
          </w:p>
        </w:tc>
        <w:tc>
          <w:tcPr>
            <w:tcW w:w="1700" w:type="dxa"/>
            <w:vAlign w:val="bottom"/>
            <w:gridSpan w:val="17"/>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4"/>
                <w:szCs w:val="24"/>
                <w:color w:val="auto"/>
              </w:rPr>
            </w:pPr>
          </w:p>
        </w:tc>
        <w:tc>
          <w:tcPr>
            <w:tcW w:w="9460" w:type="dxa"/>
            <w:vAlign w:val="bottom"/>
            <w:gridSpan w:val="28"/>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of Parent Lock-Up Agreement (incorporated by reference to Annex L to the proxy statement/prospectus).</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4"/>
                <w:szCs w:val="24"/>
                <w:color w:val="auto"/>
              </w:rPr>
            </w:pPr>
          </w:p>
        </w:tc>
        <w:tc>
          <w:tcPr>
            <w:tcW w:w="87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Sponsor and Supporting Sponsor Stockholder Lock-Up Agreement, dated as of September 27, 2021, by and among Gores</w:t>
              </w:r>
            </w:hyperlink>
          </w:p>
        </w:tc>
        <w:tc>
          <w:tcPr>
            <w:tcW w:w="70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Guggenheim Sponsor, LLC, Polestar Automotive Holding Limited, Polestar Automotive Holding UK Limited, Gores Guggenheim,</w:t>
              </w:r>
            </w:hyperlink>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Inc. and certain of its directors (incorporated by reference to Annex K-1 to the proxy statement/prospectus).</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93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Registration Rights Agreement, dated as of September 27, 2021, by and among Polestar Automotive Holding UK Limited, Gores</w:t>
              </w:r>
            </w:hyperlink>
          </w:p>
        </w:tc>
        <w:tc>
          <w:tcPr>
            <w:tcW w:w="8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Guggenheim Sponsor LLC, Randall Bort, Elizabeth Marcellino and Nancy Tellem, Polestar Automotive Holding Limited and</w:t>
              </w:r>
            </w:hyperlink>
          </w:p>
        </w:tc>
        <w:tc>
          <w:tcPr>
            <w:tcW w:w="4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certain of its shareholders (incorporated by reference to Annex G-1 to the proxy statement/prospectus).</w:t>
              </w:r>
            </w:hyperlink>
          </w:p>
        </w:tc>
        <w:tc>
          <w:tcPr>
            <w:tcW w:w="2060" w:type="dxa"/>
            <w:vAlign w:val="bottom"/>
            <w:gridSpan w:val="1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4"/>
                <w:szCs w:val="24"/>
                <w:color w:val="auto"/>
              </w:rPr>
            </w:pPr>
          </w:p>
        </w:tc>
        <w:tc>
          <w:tcPr>
            <w:tcW w:w="3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Form of Director &amp; Officer Indemnity Agreement.</w:t>
              </w:r>
            </w:hyperlink>
          </w:p>
        </w:tc>
        <w:tc>
          <w:tcPr>
            <w:tcW w:w="5820" w:type="dxa"/>
            <w:vAlign w:val="bottom"/>
            <w:gridSpan w:val="22"/>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Pr>
          <w:p>
            <w:pPr>
              <w:spacing w:after="0"/>
              <w:rPr>
                <w:sz w:val="24"/>
                <w:szCs w:val="24"/>
                <w:color w:val="auto"/>
              </w:rPr>
            </w:pPr>
          </w:p>
        </w:tc>
        <w:tc>
          <w:tcPr>
            <w:tcW w:w="9460" w:type="dxa"/>
            <w:vAlign w:val="bottom"/>
            <w:gridSpan w:val="28"/>
          </w:tcPr>
          <w:p>
            <w:pPr>
              <w:spacing w:after="0"/>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Form of Polestar Automotive Holding UK PLC 2022 Omnibus Incentive Plan (incorporated by reference to Annex I to the proxy</w:t>
              </w:r>
            </w:hyperlink>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267">
              <w:r>
                <w:rPr>
                  <w:rFonts w:ascii="Times New Roman" w:cs="Times New Roman" w:eastAsia="Times New Roman" w:hAnsi="Times New Roman"/>
                  <w:sz w:val="18"/>
                  <w:szCs w:val="18"/>
                  <w:color w:val="0000EE"/>
                  <w:w w:val="97"/>
                </w:rPr>
                <w:t>statement/prospectus).</w:t>
              </w:r>
            </w:hyperlink>
          </w:p>
        </w:tc>
        <w:tc>
          <w:tcPr>
            <w:tcW w:w="7680" w:type="dxa"/>
            <w:vAlign w:val="bottom"/>
            <w:tcBorders>
              <w:top w:val="single" w:sz="8" w:color="0000EE"/>
            </w:tcBorders>
            <w:gridSpan w:val="21"/>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spacing w:after="0"/>
              <w:rPr>
                <w:sz w:val="24"/>
                <w:szCs w:val="24"/>
                <w:color w:val="auto"/>
              </w:rPr>
            </w:pPr>
          </w:p>
        </w:tc>
        <w:tc>
          <w:tcPr>
            <w:tcW w:w="5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Polestar Automotive Holding UK PLC 2022 Employee Stock Purchase Plan.</w:t>
            </w:r>
          </w:p>
        </w:tc>
        <w:tc>
          <w:tcPr>
            <w:tcW w:w="3940" w:type="dxa"/>
            <w:vAlign w:val="bottom"/>
            <w:gridSpan w:val="21"/>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tcPr>
          <w:p>
            <w:pPr>
              <w:spacing w:after="0"/>
              <w:rPr>
                <w:sz w:val="24"/>
                <w:szCs w:val="24"/>
                <w:color w:val="auto"/>
              </w:rPr>
            </w:pPr>
          </w:p>
        </w:tc>
        <w:tc>
          <w:tcPr>
            <w:tcW w:w="90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68">
              <w:r>
                <w:rPr>
                  <w:rFonts w:ascii="Times New Roman" w:cs="Times New Roman" w:eastAsia="Times New Roman" w:hAnsi="Times New Roman"/>
                  <w:sz w:val="18"/>
                  <w:szCs w:val="18"/>
                  <w:color w:val="0000EE"/>
                  <w:w w:val="99"/>
                </w:rPr>
                <w:t>Framework Assignment and License Agreement, dated as of October 31, 2018, between Volvo Car Corporation and Polestar</w:t>
              </w:r>
            </w:hyperlink>
          </w:p>
        </w:tc>
        <w:tc>
          <w:tcPr>
            <w:tcW w:w="46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Performance AB.</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Pr>
          <w:p>
            <w:pPr>
              <w:spacing w:after="0"/>
              <w:rPr>
                <w:sz w:val="24"/>
                <w:szCs w:val="24"/>
                <w:color w:val="auto"/>
              </w:rPr>
            </w:pPr>
          </w:p>
        </w:tc>
        <w:tc>
          <w:tcPr>
            <w:tcW w:w="89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Car Model Assignment and License Agreement, dated as of October 31, 2018, between Volvo Car Corporation and Polestar</w:t>
              </w:r>
            </w:hyperlink>
          </w:p>
        </w:tc>
        <w:tc>
          <w:tcPr>
            <w:tcW w:w="5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Performance AB, as supplemented by the Side Letter, dated as of October 31, 2018, between Volvo Car Corporation, Polestar</w:t>
              </w:r>
            </w:hyperlink>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Performance AB and Polestar New Energy Vehicle Co. Ltd., as amended by the Amendment Agreement to the Car Model</w:t>
              </w:r>
            </w:hyperlink>
          </w:p>
        </w:tc>
        <w:tc>
          <w:tcPr>
            <w:tcW w:w="400" w:type="dxa"/>
            <w:vAlign w:val="bottom"/>
            <w:gridSpan w:val="8"/>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2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Assignment and License Agreement, dated as of May 5, 2021, between Volvo Car Corporation and Polestar Performance AB.</w:t>
              </w:r>
            </w:hyperlink>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tcPr>
          <w:p>
            <w:pPr>
              <w:spacing w:after="0"/>
              <w:rPr>
                <w:sz w:val="24"/>
                <w:szCs w:val="24"/>
                <w:color w:val="auto"/>
              </w:rPr>
            </w:pPr>
          </w:p>
        </w:tc>
        <w:tc>
          <w:tcPr>
            <w:tcW w:w="85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r:id="rId270">
              <w:r>
                <w:rPr>
                  <w:rFonts w:ascii="Times New Roman" w:cs="Times New Roman" w:eastAsia="Times New Roman" w:hAnsi="Times New Roman"/>
                  <w:sz w:val="18"/>
                  <w:szCs w:val="18"/>
                  <w:color w:val="0000EE"/>
                  <w:w w:val="99"/>
                </w:rPr>
                <w:t>Settlement Agreement, dated as of December 23, 2020, between Volvo Car Corporation and Polestar Performance AB.</w:t>
              </w:r>
            </w:hyperlink>
          </w:p>
        </w:tc>
        <w:tc>
          <w:tcPr>
            <w:tcW w:w="540" w:type="dxa"/>
            <w:vAlign w:val="bottom"/>
            <w:tcBorders>
              <w:top w:val="single" w:sz="8" w:color="0000EE"/>
            </w:tcBorders>
            <w:gridSpan w:val="8"/>
          </w:tcPr>
          <w:p>
            <w:pPr>
              <w:spacing w:after="0"/>
              <w:rPr>
                <w:sz w:val="24"/>
                <w:szCs w:val="24"/>
                <w:color w:val="auto"/>
              </w:rPr>
            </w:pPr>
          </w:p>
        </w:tc>
        <w:tc>
          <w:tcPr>
            <w:tcW w:w="380" w:type="dxa"/>
            <w:vAlign w:val="bottom"/>
            <w:gridSpan w:val="7"/>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tcPr>
          <w:p>
            <w:pPr>
              <w:spacing w:after="0"/>
              <w:rPr>
                <w:sz w:val="24"/>
                <w:szCs w:val="24"/>
                <w:color w:val="auto"/>
              </w:rPr>
            </w:pPr>
          </w:p>
        </w:tc>
        <w:tc>
          <w:tcPr>
            <w:tcW w:w="93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Framework Assignment and License Agreement, dated as of October 31, 2018, between Volvo Car Corporation and Polestar New</w:t>
              </w:r>
            </w:hyperlink>
          </w:p>
        </w:tc>
        <w:tc>
          <w:tcPr>
            <w:tcW w:w="8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Energy Vehicle Co. Ltd.</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tcPr>
          <w:p>
            <w:pPr>
              <w:spacing w:after="0"/>
              <w:rPr>
                <w:sz w:val="24"/>
                <w:szCs w:val="24"/>
                <w:color w:val="auto"/>
              </w:rPr>
            </w:pPr>
          </w:p>
        </w:tc>
        <w:tc>
          <w:tcPr>
            <w:tcW w:w="9460" w:type="dxa"/>
            <w:vAlign w:val="bottom"/>
            <w:gridSpan w:val="28"/>
          </w:tcPr>
          <w:p>
            <w:pPr>
              <w:spacing w:after="0"/>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Car Model Assignment and License Agreement, dated as of October 31, 2018, between Volvo Car Corporation and Polestar New</w:t>
              </w:r>
            </w:hyperlink>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Energy Vehicle Co. Ltd, as supplemented by the Side Letter, dated as of October 31, 2018, between Volvo Car Corporation,</w:t>
              </w:r>
            </w:hyperlink>
          </w:p>
        </w:tc>
        <w:tc>
          <w:tcPr>
            <w:tcW w:w="1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9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Polestar Performance AB and Polestar New Energy Vehicle Co. Ltd., as supplemented by the Supplement to Car Model</w:t>
              </w:r>
            </w:hyperlink>
          </w:p>
        </w:tc>
        <w:tc>
          <w:tcPr>
            <w:tcW w:w="540" w:type="dxa"/>
            <w:vAlign w:val="bottom"/>
            <w:gridSpan w:val="1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6280" w:type="dxa"/>
            <w:vAlign w:val="bottom"/>
            <w:gridSpan w:val="9"/>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Assignment and License Agreement, dated as of September 23, 2019, between Volvo Car Corporation and Polestar New Energy</w:t>
              </w:r>
            </w:hyperlink>
          </w:p>
        </w:tc>
        <w:tc>
          <w:tcPr>
            <w:tcW w:w="2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Vehicle Co. Ltd., as amended by the Amendment Agreement to the Car Model Assignment and License Agreement, dated as of</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6840" w:type="dxa"/>
            <w:vAlign w:val="bottom"/>
            <w:tcBorders>
              <w:right w:val="single" w:sz="8" w:color="0000EE"/>
            </w:tcBorders>
            <w:gridSpan w:val="17"/>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June 2020, between Volvo Car Corporation and Polestar New Energy Vehicle Co. Ltd., as amended by the Novation Agreement,</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6840" w:type="dxa"/>
            <w:vAlign w:val="bottom"/>
            <w:tcBorders>
              <w:right w:val="single" w:sz="8" w:color="0000EE"/>
            </w:tcBorders>
            <w:gridSpan w:val="17"/>
            <w:shd w:val="clear" w:color="auto" w:fill="0000EE"/>
          </w:tcPr>
          <w:p>
            <w:pPr>
              <w:spacing w:after="0" w:line="20" w:lineRule="exact"/>
              <w:rPr>
                <w:sz w:val="1"/>
                <w:szCs w:val="1"/>
                <w:color w:val="auto"/>
              </w:rPr>
            </w:pPr>
          </w:p>
        </w:tc>
        <w:tc>
          <w:tcPr>
            <w:tcW w:w="22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dated as of December 8, 2020, by and among Polestar New Energy Vehicle Co., Ltd., Polestar Automotive China Distribution Co.,</w:t>
              </w:r>
            </w:hyperlink>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72">
              <w:r>
                <w:rPr>
                  <w:rFonts w:ascii="Times New Roman" w:cs="Times New Roman" w:eastAsia="Times New Roman" w:hAnsi="Times New Roman"/>
                  <w:sz w:val="18"/>
                  <w:szCs w:val="18"/>
                  <w:color w:val="0000EE"/>
                  <w:w w:val="97"/>
                </w:rPr>
                <w:t>Ltd. and Volvo Car Corporation.</w:t>
              </w:r>
            </w:hyperlink>
          </w:p>
        </w:tc>
        <w:tc>
          <w:tcPr>
            <w:tcW w:w="7060" w:type="dxa"/>
            <w:vAlign w:val="bottom"/>
            <w:tcBorders>
              <w:top w:val="single" w:sz="8" w:color="0000EE"/>
            </w:tcBorders>
            <w:gridSpan w:val="21"/>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tcPr>
          <w:p>
            <w:pPr>
              <w:spacing w:after="0"/>
              <w:rPr>
                <w:sz w:val="24"/>
                <w:szCs w:val="24"/>
                <w:color w:val="auto"/>
              </w:rPr>
            </w:pPr>
          </w:p>
        </w:tc>
        <w:tc>
          <w:tcPr>
            <w:tcW w:w="9460" w:type="dxa"/>
            <w:vAlign w:val="bottom"/>
            <w:gridSpan w:val="28"/>
          </w:tcPr>
          <w:p>
            <w:pPr>
              <w:spacing w:after="0"/>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Settlement Agreement, dated as of December 23, 2020, between Volvo Car Corporation and Polestar New Energy Vehicle Co., Ltd.</w:t>
              </w:r>
            </w:hyperlink>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tcPr>
          <w:p>
            <w:pPr>
              <w:spacing w:after="0"/>
              <w:rPr>
                <w:sz w:val="24"/>
                <w:szCs w:val="24"/>
                <w:color w:val="auto"/>
              </w:rPr>
            </w:pPr>
          </w:p>
        </w:tc>
        <w:tc>
          <w:tcPr>
            <w:tcW w:w="9160" w:type="dxa"/>
            <w:vAlign w:val="bottom"/>
            <w:tcBorders>
              <w:top w:val="single" w:sz="8" w:color="0000EE"/>
              <w:bottom w:val="single" w:sz="8" w:color="0000EE"/>
            </w:tcBorders>
            <w:gridSpan w:val="22"/>
          </w:tcPr>
          <w:p>
            <w:pPr>
              <w:spacing w:after="0"/>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PHEV IP Sub-License Agreement, dated as of September 4, 2018, between Volvo Personvagnar AB and Polestar Performance</w:t>
              </w:r>
            </w:hyperlink>
          </w:p>
        </w:tc>
        <w:tc>
          <w:tcPr>
            <w:tcW w:w="280" w:type="dxa"/>
            <w:vAlign w:val="bottom"/>
            <w:tcBorders>
              <w:top w:val="single" w:sz="8" w:color="0000EE"/>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gridSpan w:val="28"/>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AB.</w:t>
              </w:r>
            </w:hyperlink>
          </w:p>
        </w:tc>
      </w:tr>
      <w:tr>
        <w:trPr>
          <w:trHeight w:val="385"/>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40" w:type="dxa"/>
            <w:vAlign w:val="bottom"/>
            <w:gridSpan w:val="6"/>
          </w:tcPr>
          <w:p>
            <w:pPr>
              <w:jc w:val="right"/>
              <w:ind w:right="1420"/>
              <w:spacing w:after="0"/>
              <w:rPr>
                <w:sz w:val="20"/>
                <w:szCs w:val="20"/>
                <w:color w:val="auto"/>
              </w:rPr>
            </w:pPr>
            <w:r>
              <w:rPr>
                <w:rFonts w:ascii="Times New Roman" w:cs="Times New Roman" w:eastAsia="Times New Roman" w:hAnsi="Times New Roman"/>
                <w:sz w:val="18"/>
                <w:szCs w:val="18"/>
                <w:color w:val="auto"/>
              </w:rPr>
              <w:t>224</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227" w:name="page228"/>
    <w:bookmarkEnd w:id="2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24"/>
                <w:szCs w:val="24"/>
                <w:color w:val="auto"/>
              </w:rPr>
            </w:pPr>
          </w:p>
        </w:tc>
        <w:tc>
          <w:tcPr>
            <w:tcW w:w="9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PHEV IP Sub-License Agreement, dated as of September 7, 2018, between Volvo Personvagnar AB and Polestar New Energy</w:t>
              </w:r>
            </w:hyperlink>
          </w:p>
        </w:tc>
        <w:tc>
          <w:tcPr>
            <w:tcW w:w="2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Vehicle Co. Ltd, as amended by the Novation Agreement, dated as of December 8, 2020, by and among Polestar New Energy</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Vehicle Co., Ltd., Polestar Automotive China Distribution Co., Ltd. and Volvo Car Corporation.</w:t>
              </w:r>
            </w:hyperlink>
          </w:p>
        </w:tc>
        <w:tc>
          <w:tcPr>
            <w:tcW w:w="360" w:type="dxa"/>
            <w:vAlign w:val="bottom"/>
            <w:gridSpan w:val="8"/>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4.20**†</w:t>
            </w:r>
          </w:p>
        </w:tc>
        <w:tc>
          <w:tcPr>
            <w:tcW w:w="260" w:type="dxa"/>
            <w:vAlign w:val="bottom"/>
          </w:tcPr>
          <w:p>
            <w:pPr>
              <w:spacing w:after="0"/>
              <w:rPr>
                <w:sz w:val="24"/>
                <w:szCs w:val="24"/>
                <w:color w:val="auto"/>
              </w:rPr>
            </w:pPr>
          </w:p>
        </w:tc>
        <w:tc>
          <w:tcPr>
            <w:tcW w:w="89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Change Management Agreement, dated as of June 12, 2020, between Volvo Car Corporation and Polestar Performance AB.</w:t>
              </w:r>
            </w:hyperlink>
          </w:p>
        </w:tc>
        <w:tc>
          <w:tcPr>
            <w:tcW w:w="520" w:type="dxa"/>
            <w:vAlign w:val="bottom"/>
            <w:gridSpan w:val="13"/>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Service Agreement, dated as of October 31, 2018, between Volvo Car Corporation and Polestar New Energy Vehicle Co. Ltd., as</w:t>
              </w:r>
            </w:hyperlink>
          </w:p>
        </w:tc>
        <w:tc>
          <w:tcPr>
            <w:tcW w:w="10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amended by the Novation Agreement, dated as of December 8, 2020, by and among Polestar New Energy Vehicle Co., Ltd.,</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Polestar Automotive China Distribution Co., Ltd. and Volvo Car Corporation.</w:t>
              </w:r>
            </w:hyperlink>
          </w:p>
        </w:tc>
        <w:tc>
          <w:tcPr>
            <w:tcW w:w="460" w:type="dxa"/>
            <w:vAlign w:val="bottom"/>
            <w:gridSpan w:val="1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24"/>
                <w:szCs w:val="24"/>
                <w:color w:val="auto"/>
              </w:rPr>
            </w:pPr>
          </w:p>
        </w:tc>
        <w:tc>
          <w:tcPr>
            <w:tcW w:w="9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Service Agreement, dated as of November 17, 2020, between Volvo Cars Technology (Shanghai) Co., Ltd. and Polestar New</w:t>
              </w:r>
            </w:hyperlink>
          </w:p>
        </w:tc>
        <w:tc>
          <w:tcPr>
            <w:tcW w:w="38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79">
              <w:r>
                <w:rPr>
                  <w:rFonts w:ascii="Times New Roman" w:cs="Times New Roman" w:eastAsia="Times New Roman" w:hAnsi="Times New Roman"/>
                  <w:sz w:val="18"/>
                  <w:szCs w:val="18"/>
                  <w:color w:val="0000EE"/>
                  <w:w w:val="98"/>
                </w:rPr>
                <w:t>Energy Vehicle Co., Ltd.</w:t>
              </w:r>
            </w:hyperlink>
          </w:p>
        </w:tc>
        <w:tc>
          <w:tcPr>
            <w:tcW w:w="7640" w:type="dxa"/>
            <w:vAlign w:val="bottom"/>
            <w:gridSpan w:val="2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Pr>
          <w:p>
            <w:pPr>
              <w:spacing w:after="0"/>
              <w:rPr>
                <w:sz w:val="24"/>
                <w:szCs w:val="24"/>
                <w:color w:val="auto"/>
              </w:rPr>
            </w:pPr>
          </w:p>
        </w:tc>
        <w:tc>
          <w:tcPr>
            <w:tcW w:w="9440" w:type="dxa"/>
            <w:vAlign w:val="bottom"/>
            <w:gridSpan w:val="25"/>
          </w:tcPr>
          <w:p>
            <w:pPr>
              <w:spacing w:after="0"/>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Service Agreement, dated as of November 13, 2020, between Volvo Car Corporation and Polestar New Energy Vehicle Co., Ltd.</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Service Agreement, dated as of October 31, 2018, between Volvo Car Corporation and Polestar New Energy Vehicle Co. Ltd., as</w:t>
              </w:r>
            </w:hyperlink>
          </w:p>
        </w:tc>
        <w:tc>
          <w:tcPr>
            <w:tcW w:w="10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amended by the Novation Agreement, dated as of December 8, 2020, by and among Polestar New Energy Vehicle Co., Ltd.,</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Polestar Automotive China Distribution Co., Ltd. and Volvo Car Corporation.</w:t>
              </w:r>
            </w:hyperlink>
          </w:p>
        </w:tc>
        <w:tc>
          <w:tcPr>
            <w:tcW w:w="460" w:type="dxa"/>
            <w:vAlign w:val="bottom"/>
            <w:gridSpan w:val="1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Pr>
          <w:p>
            <w:pPr>
              <w:spacing w:after="0"/>
              <w:rPr>
                <w:sz w:val="24"/>
                <w:szCs w:val="24"/>
                <w:color w:val="auto"/>
              </w:rPr>
            </w:pPr>
          </w:p>
        </w:tc>
        <w:tc>
          <w:tcPr>
            <w:tcW w:w="94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Service Agreement, dated as of December 21, 2018, between Daqing Volvo Car Manufacturing Co. Ltd. and Polestar New Energy</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Vehicle Co. Ltd., as amended by the Novation Agreement, dated as of December 8, 2020, by and among Polestar New Energy</w:t>
              </w:r>
            </w:hyperlink>
          </w:p>
        </w:tc>
        <w:tc>
          <w:tcPr>
            <w:tcW w:w="30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Vehicle Co., Ltd., Polestar Automotive China Distribution Co., Ltd. and Daqing Volvo Car Manufacturing Co. Ltd.</w:t>
              </w:r>
            </w:hyperlink>
          </w:p>
        </w:tc>
        <w:tc>
          <w:tcPr>
            <w:tcW w:w="1140" w:type="dxa"/>
            <w:vAlign w:val="bottom"/>
            <w:gridSpan w:val="1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Service Agreement, dated as of October 31, 2018, between Volvo Car Corporation and Polestar New Energy Vehicle Co. Ltd., as</w:t>
              </w:r>
            </w:hyperlink>
          </w:p>
        </w:tc>
        <w:tc>
          <w:tcPr>
            <w:tcW w:w="10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amended by the Novation Agreement, dated as of December 8, 2020, by and among Polestar New Energy Vehicle Co., Ltd.,</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Polestar Automotive China Distribution Co., Ltd. and Volvo Car Corporation.</w:t>
              </w:r>
            </w:hyperlink>
          </w:p>
        </w:tc>
        <w:tc>
          <w:tcPr>
            <w:tcW w:w="460" w:type="dxa"/>
            <w:vAlign w:val="bottom"/>
            <w:gridSpan w:val="1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Service Agreement, dated as of December 21, 2018, between Volvo Car (Asia Pacific) Investment Holding Co. Ltd. and Polestar</w:t>
              </w:r>
            </w:hyperlink>
          </w:p>
        </w:tc>
        <w:tc>
          <w:tcPr>
            <w:tcW w:w="1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New Energy Vehicle Co. Ltd., as amended by the Novation Agreement, dated as of December 8, 2020, by and among Polestar</w:t>
              </w:r>
            </w:hyperlink>
          </w:p>
        </w:tc>
        <w:tc>
          <w:tcPr>
            <w:tcW w:w="30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New Energy Vehicle Co., Ltd., Polestar Automotive China Distribution Co., Ltd and Volvo Car (Asia Pacific) Investment Holding</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Co. Ltd.</w:t>
              </w:r>
            </w:hyperlink>
          </w:p>
        </w:tc>
        <w:tc>
          <w:tcPr>
            <w:tcW w:w="6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tcPr>
          <w:p>
            <w:pPr>
              <w:spacing w:after="0"/>
              <w:rPr>
                <w:sz w:val="24"/>
                <w:szCs w:val="24"/>
                <w:color w:val="auto"/>
              </w:rPr>
            </w:pPr>
          </w:p>
        </w:tc>
        <w:tc>
          <w:tcPr>
            <w:tcW w:w="9440" w:type="dxa"/>
            <w:vAlign w:val="bottom"/>
            <w:gridSpan w:val="25"/>
          </w:tcPr>
          <w:p>
            <w:pPr>
              <w:spacing w:after="0"/>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Service Agreement, dated as of August 9, 2018, between Zhongjia Automobile Manufacturing (Chengdu) Co. Ltd. and Polestar</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New Energy Vehicle Co. Ltd., as amended by the Amendment Agreement to the Service Agreement, dated as of August 26, 2020,</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between Zhongjia Automobile Manufacturing (Chengdu) Co., Ltd. and Polestar New Energy Vehicle Co., Ltd., AB.</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Pr>
          <w:p>
            <w:pPr>
              <w:spacing w:after="0"/>
              <w:rPr>
                <w:sz w:val="24"/>
                <w:szCs w:val="24"/>
                <w:color w:val="auto"/>
              </w:rPr>
            </w:pPr>
          </w:p>
        </w:tc>
        <w:tc>
          <w:tcPr>
            <w:tcW w:w="9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Service Agreement, dated as of December 17, 2019, between Volvo Car Belgium NV, Ltd. and Polestar Performance AB, as</w:t>
              </w:r>
            </w:hyperlink>
          </w:p>
        </w:tc>
        <w:tc>
          <w:tcPr>
            <w:tcW w:w="44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amended by the Amendment to the Service Agreement, dated as of March 4, 2020, between Volvo Car Belgium NV, Ltd. and</w:t>
              </w:r>
            </w:hyperlink>
          </w:p>
        </w:tc>
        <w:tc>
          <w:tcPr>
            <w:tcW w:w="40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Polestar Performance AB.</w:t>
              </w:r>
            </w:hyperlink>
          </w:p>
        </w:tc>
        <w:tc>
          <w:tcPr>
            <w:tcW w:w="7540" w:type="dxa"/>
            <w:vAlign w:val="bottom"/>
            <w:gridSpan w:val="21"/>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24"/>
                <w:szCs w:val="24"/>
                <w:color w:val="auto"/>
              </w:rPr>
            </w:pPr>
          </w:p>
        </w:tc>
        <w:tc>
          <w:tcPr>
            <w:tcW w:w="9440" w:type="dxa"/>
            <w:vAlign w:val="bottom"/>
            <w:gridSpan w:val="25"/>
          </w:tcPr>
          <w:p>
            <w:pPr>
              <w:spacing w:after="0"/>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Component Supply Agreement, dated as of 2018, between Polestar New Energy Vehicle Co., Ltd. and Zhejiang Haoqing</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Automobile Manufacturing Co., Ltd. Chengdu Branch.</w:t>
              </w:r>
            </w:hyperlink>
          </w:p>
        </w:tc>
        <w:tc>
          <w:tcPr>
            <w:tcW w:w="4720" w:type="dxa"/>
            <w:vAlign w:val="bottom"/>
            <w:tcBorders>
              <w:top w:val="single" w:sz="8" w:color="0000EE"/>
            </w:tcBorders>
            <w:gridSpan w:val="6"/>
          </w:tcPr>
          <w:p>
            <w:pPr>
              <w:spacing w:after="0"/>
              <w:rPr>
                <w:sz w:val="17"/>
                <w:szCs w:val="17"/>
                <w:color w:val="auto"/>
              </w:rPr>
            </w:pPr>
          </w:p>
        </w:tc>
        <w:tc>
          <w:tcPr>
            <w:tcW w:w="740" w:type="dxa"/>
            <w:vAlign w:val="bottom"/>
            <w:gridSpan w:val="1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General Distributor Agreement, effective as of January 1, 2020, between Zhejiang Haoqing Automobile Manufacturing Co., Ltd.</w:t>
              </w:r>
            </w:hyperlink>
          </w:p>
        </w:tc>
        <w:tc>
          <w:tcPr>
            <w:tcW w:w="10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Chengdu Branch and Polestar Automotive China Distribution Co., Ltd.</w:t>
              </w:r>
            </w:hyperlink>
          </w:p>
        </w:tc>
        <w:tc>
          <w:tcPr>
            <w:tcW w:w="4300" w:type="dxa"/>
            <w:vAlign w:val="bottom"/>
            <w:gridSpan w:val="1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tcPr>
          <w:p>
            <w:pPr>
              <w:spacing w:after="0"/>
              <w:rPr>
                <w:sz w:val="24"/>
                <w:szCs w:val="24"/>
                <w:color w:val="auto"/>
              </w:rPr>
            </w:pPr>
          </w:p>
        </w:tc>
        <w:tc>
          <w:tcPr>
            <w:tcW w:w="94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License, License Assignment and Service Agreement, dated as of February 15, 2021, between Volvo Car Corporation and Polestar</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25"/>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Performance AB.</w:t>
              </w:r>
            </w:hyperlink>
          </w:p>
        </w:tc>
      </w:tr>
      <w:tr>
        <w:trPr>
          <w:trHeight w:val="385"/>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4"/>
                <w:szCs w:val="24"/>
                <w:color w:val="auto"/>
              </w:rPr>
            </w:pPr>
          </w:p>
        </w:tc>
        <w:tc>
          <w:tcPr>
            <w:tcW w:w="388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225</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60"/>
          </w:cols>
          <w:pgMar w:left="320" w:top="446" w:right="519" w:bottom="1440" w:gutter="0" w:footer="0" w:header="0"/>
        </w:sectPr>
      </w:pPr>
    </w:p>
    <w:bookmarkStart w:id="228" w:name="page229"/>
    <w:bookmarkEnd w:id="2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tcPr>
          <w:p>
            <w:pPr>
              <w:spacing w:after="0"/>
              <w:rPr>
                <w:sz w:val="24"/>
                <w:szCs w:val="24"/>
                <w:color w:val="auto"/>
              </w:rPr>
            </w:pPr>
          </w:p>
        </w:tc>
        <w:tc>
          <w:tcPr>
            <w:tcW w:w="8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License and License Assignment Agreement, dated as of February 15, 2021, between Volvo Car Corporation and Polestar</w:t>
              </w:r>
            </w:hyperlink>
          </w:p>
        </w:tc>
        <w:tc>
          <w:tcPr>
            <w:tcW w:w="660" w:type="dxa"/>
            <w:vAlign w:val="bottom"/>
            <w:gridSpan w:val="1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Automotive China Distribution Co. Ltd.</w:t>
              </w:r>
            </w:hyperlink>
          </w:p>
        </w:tc>
        <w:tc>
          <w:tcPr>
            <w:tcW w:w="6580" w:type="dxa"/>
            <w:vAlign w:val="bottom"/>
            <w:gridSpan w:val="25"/>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24"/>
                <w:szCs w:val="24"/>
                <w:color w:val="auto"/>
              </w:rPr>
            </w:pPr>
          </w:p>
        </w:tc>
        <w:tc>
          <w:tcPr>
            <w:tcW w:w="93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Unique Vendor Tooling Agreement, dated as of December 23, 2021, by and among Polestar Automotive China Distribution Co.,</w:t>
              </w:r>
            </w:hyperlink>
          </w:p>
        </w:tc>
        <w:tc>
          <w:tcPr>
            <w:tcW w:w="18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Ltd. and Ningbo Geely Automobile Research &amp; Development Co., Ltd.</w:t>
              </w:r>
            </w:hyperlink>
          </w:p>
        </w:tc>
        <w:tc>
          <w:tcPr>
            <w:tcW w:w="4320" w:type="dxa"/>
            <w:vAlign w:val="bottom"/>
            <w:gridSpan w:val="2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Pr>
          <w:p>
            <w:pPr>
              <w:spacing w:after="0"/>
              <w:rPr>
                <w:sz w:val="24"/>
                <w:szCs w:val="24"/>
                <w:color w:val="auto"/>
              </w:rPr>
            </w:pPr>
          </w:p>
        </w:tc>
        <w:tc>
          <w:tcPr>
            <w:tcW w:w="92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Car Model Manufacturing Agreement, dated as of November 28, 2018, between First Automobile Branch of Zhejiang Haoqing</w:t>
              </w:r>
            </w:hyperlink>
          </w:p>
        </w:tc>
        <w:tc>
          <w:tcPr>
            <w:tcW w:w="26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Automobile Manufacturing Co., Ltd. and Polestar New Energy Vehicle Co. Ltd., as amended by the Novation Agreement, dated as</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of July 7, 2021, between Polestar New Energy Vehicle Co., Ltd., Polestar Automotive China Distribution (Taizhou) Co., Ltd. and</w:t>
              </w:r>
            </w:hyperlink>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First Automobile Branch of Zhejiang Haoqing Automobile Manufacturing Co., Ltd.</w:t>
              </w:r>
            </w:hyperlink>
          </w:p>
        </w:tc>
        <w:tc>
          <w:tcPr>
            <w:tcW w:w="3420" w:type="dxa"/>
            <w:vAlign w:val="bottom"/>
            <w:gridSpan w:val="2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24"/>
                <w:szCs w:val="24"/>
                <w:color w:val="auto"/>
              </w:rPr>
            </w:pPr>
          </w:p>
        </w:tc>
        <w:tc>
          <w:tcPr>
            <w:tcW w:w="93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Car Model Manufacturing Agreement, dated as of November 26, 2018, between Asia Euro Automobile Manufacturing (Taizhou)</w:t>
              </w:r>
            </w:hyperlink>
          </w:p>
        </w:tc>
        <w:tc>
          <w:tcPr>
            <w:tcW w:w="12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31"/>
          </w:tcPr>
          <w:p>
            <w:pPr>
              <w:spacing w:after="0" w:line="19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Co., Ltd. and Polestar Performance AB., as supplemented by the Supplement Car Manufacturing Agreement, dated as of May</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2021, between Polestar Performance AB and Asia Euro Manufacturing (Taizhou) Co. Ltd., as amended by the Amendment Car</w:t>
              </w:r>
            </w:hyperlink>
          </w:p>
        </w:tc>
        <w:tc>
          <w:tcPr>
            <w:tcW w:w="30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Model Manufacturing Agreement, dated as of July 7, 2021, between Polestar Performance AB and Asia Euro Automobile</w:t>
              </w:r>
            </w:hyperlink>
          </w:p>
        </w:tc>
        <w:tc>
          <w:tcPr>
            <w:tcW w:w="680" w:type="dxa"/>
            <w:vAlign w:val="bottom"/>
            <w:gridSpan w:val="2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94">
              <w:r>
                <w:rPr>
                  <w:rFonts w:ascii="Times New Roman" w:cs="Times New Roman" w:eastAsia="Times New Roman" w:hAnsi="Times New Roman"/>
                  <w:sz w:val="18"/>
                  <w:szCs w:val="18"/>
                  <w:color w:val="0000EE"/>
                  <w:w w:val="98"/>
                </w:rPr>
                <w:t>Manufacturing (Taizhou) Co. Ltd.</w:t>
              </w:r>
            </w:hyperlink>
          </w:p>
        </w:tc>
        <w:tc>
          <w:tcPr>
            <w:tcW w:w="7020" w:type="dxa"/>
            <w:vAlign w:val="bottom"/>
            <w:gridSpan w:val="2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Pr>
          <w:p>
            <w:pPr>
              <w:spacing w:after="0"/>
              <w:rPr>
                <w:sz w:val="24"/>
                <w:szCs w:val="24"/>
                <w:color w:val="auto"/>
              </w:rPr>
            </w:pPr>
          </w:p>
        </w:tc>
        <w:tc>
          <w:tcPr>
            <w:tcW w:w="9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License, License Assignment and Service Agreement, dated as of June 30, 2019, between Volvo Car Corporation and Polestar</w:t>
              </w:r>
            </w:hyperlink>
          </w:p>
        </w:tc>
        <w:tc>
          <w:tcPr>
            <w:tcW w:w="34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Performance AB, as supplemented by Side Letter, dated as of June 30, 2019, between Volvo Car Corporation, Volvo Cars (China)</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Investment Co., Ltd., Polestar Performance AB and Polestar New Energy Vehicle Co. Ltd., as amended by the Amendment</w:t>
              </w:r>
            </w:hyperlink>
          </w:p>
        </w:tc>
        <w:tc>
          <w:tcPr>
            <w:tcW w:w="60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Agreement to the License, License Agreement and Service Agreement, dated as of December 19, 2019, between Volvo Car</w:t>
              </w:r>
            </w:hyperlink>
          </w:p>
        </w:tc>
        <w:tc>
          <w:tcPr>
            <w:tcW w:w="580" w:type="dxa"/>
            <w:vAlign w:val="bottom"/>
            <w:gridSpan w:val="1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Corporation and Polestar Performance AB.</w:t>
              </w:r>
            </w:hyperlink>
          </w:p>
        </w:tc>
        <w:tc>
          <w:tcPr>
            <w:tcW w:w="6360" w:type="dxa"/>
            <w:vAlign w:val="bottom"/>
            <w:gridSpan w:val="2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License Agreement, dated as of June 30, 2019, between Volvo Car Corporation and Polestar New Energy Vehicle Co. Ltd., as</w:t>
              </w:r>
            </w:hyperlink>
          </w:p>
        </w:tc>
        <w:tc>
          <w:tcPr>
            <w:tcW w:w="38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supplemented by the Side Letter, dated as of June 30, 2019, between Polestar Performance AB, Polestar New Energy Vehicle Co.,</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31"/>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Ltd., Volvo Car Corporation and Volvo Cars (China) Investment Co. Ltd., as amended by the Novation Agreement, dated as of</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7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December 8, 2020, by and among Polestar New Energy Vehicle Co., Ltd., Polestar Automotive China Distribution Co., Ltd. and</w:t>
              </w:r>
            </w:hyperlink>
          </w:p>
        </w:tc>
        <w:tc>
          <w:tcPr>
            <w:tcW w:w="20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296">
              <w:r>
                <w:rPr>
                  <w:rFonts w:ascii="Times New Roman" w:cs="Times New Roman" w:eastAsia="Times New Roman" w:hAnsi="Times New Roman"/>
                  <w:sz w:val="18"/>
                  <w:szCs w:val="18"/>
                  <w:color w:val="0000EE"/>
                  <w:w w:val="97"/>
                </w:rPr>
                <w:t>Volvo Car Corporation.</w:t>
              </w:r>
            </w:hyperlink>
          </w:p>
        </w:tc>
        <w:tc>
          <w:tcPr>
            <w:tcW w:w="7780" w:type="dxa"/>
            <w:vAlign w:val="bottom"/>
            <w:gridSpan w:val="2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24"/>
                <w:szCs w:val="24"/>
                <w:color w:val="auto"/>
              </w:rPr>
            </w:pPr>
          </w:p>
        </w:tc>
        <w:tc>
          <w:tcPr>
            <w:tcW w:w="90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Service Agreement, dated as of June 30, 2019, between Volvo Car Corporation and Polestar New Energy Vehicle Co. Ltd., as</w:t>
              </w:r>
            </w:hyperlink>
          </w:p>
        </w:tc>
        <w:tc>
          <w:tcPr>
            <w:tcW w:w="40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supplemented by Side Letter, dated as of June 30, 2019, between Volvo Car Corporation, Volvo Cars (China) Investment Co., Ltd.,</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Polestar Performance AB and Polestar New Energy Vehicle Co. Ltd., as amended by the Novation Agreement, dated as of</w:t>
              </w:r>
            </w:hyperlink>
          </w:p>
        </w:tc>
        <w:tc>
          <w:tcPr>
            <w:tcW w:w="66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December 8, 2020, by and among Polestar New Energy Vehicle Co., Ltd., Polestar Automotive China Distribution Co., Ltd. and</w:t>
              </w:r>
            </w:hyperlink>
          </w:p>
        </w:tc>
        <w:tc>
          <w:tcPr>
            <w:tcW w:w="20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297">
              <w:r>
                <w:rPr>
                  <w:rFonts w:ascii="Times New Roman" w:cs="Times New Roman" w:eastAsia="Times New Roman" w:hAnsi="Times New Roman"/>
                  <w:sz w:val="18"/>
                  <w:szCs w:val="18"/>
                  <w:color w:val="0000EE"/>
                  <w:w w:val="97"/>
                </w:rPr>
                <w:t>Volvo Car Corporation.</w:t>
              </w:r>
            </w:hyperlink>
          </w:p>
        </w:tc>
        <w:tc>
          <w:tcPr>
            <w:tcW w:w="7780" w:type="dxa"/>
            <w:vAlign w:val="bottom"/>
            <w:gridSpan w:val="2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24"/>
                <w:szCs w:val="24"/>
                <w:color w:val="auto"/>
              </w:rPr>
            </w:pPr>
          </w:p>
        </w:tc>
        <w:tc>
          <w:tcPr>
            <w:tcW w:w="94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Service Agreement, dated as of June 30, 2019, between Volvo Cars (China) Investment Co., Ltd. and Polestar New Energy Vehicle</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Co. Ltd., as supplemented by Side Letter, dated as of June 30, 2019, between Volvo Car Corporation, Volvo Cars (China)</w:t>
              </w:r>
            </w:hyperlink>
          </w:p>
        </w:tc>
        <w:tc>
          <w:tcPr>
            <w:tcW w:w="700" w:type="dxa"/>
            <w:vAlign w:val="bottom"/>
            <w:gridSpan w:val="2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Investment Co., Ltd., Polestar Performance AB and Polestar New Energy Vehicle Co. Ltd., as amended by the Amendment</w:t>
              </w:r>
            </w:hyperlink>
          </w:p>
        </w:tc>
        <w:tc>
          <w:tcPr>
            <w:tcW w:w="60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Agreement to the Service Agreement, dated as of November 28, 2019, between Volvo Cars (China) Investment Co. Ltd. and</w:t>
              </w:r>
            </w:hyperlink>
          </w:p>
        </w:tc>
        <w:tc>
          <w:tcPr>
            <w:tcW w:w="42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Polestar New Energy Vehicle Co. Ltd., as amended by the Novation Agreement, dated as of December 8, 2020, by and among</w:t>
              </w:r>
            </w:hyperlink>
          </w:p>
        </w:tc>
        <w:tc>
          <w:tcPr>
            <w:tcW w:w="34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31"/>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Polestar New Energy Vehicle Co., Ltd., Polestar Automotive China Distribution Co., Ltd. and Volvo Cars (China) Investment Co.,</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Ltd.</w:t>
              </w:r>
            </w:hyperlink>
          </w:p>
        </w:tc>
        <w:tc>
          <w:tcPr>
            <w:tcW w:w="10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30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24"/>
                <w:szCs w:val="24"/>
                <w:color w:val="auto"/>
              </w:rPr>
            </w:pPr>
          </w:p>
        </w:tc>
        <w:tc>
          <w:tcPr>
            <w:tcW w:w="9480" w:type="dxa"/>
            <w:vAlign w:val="bottom"/>
            <w:gridSpan w:val="31"/>
          </w:tcPr>
          <w:p>
            <w:pPr>
              <w:spacing w:after="0"/>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Service Agreement, dated as of August 31, 2020, between Volvo Cars Technology (Shanghai) Co., Ltd. and Polestar Automotive</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China Distribution Co. Ltd.</w:t>
              </w:r>
            </w:hyperlink>
          </w:p>
        </w:tc>
        <w:tc>
          <w:tcPr>
            <w:tcW w:w="7320" w:type="dxa"/>
            <w:vAlign w:val="bottom"/>
            <w:tcBorders>
              <w:top w:val="single" w:sz="8" w:color="0000EE"/>
            </w:tcBorders>
            <w:gridSpan w:val="20"/>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tcPr>
          <w:p>
            <w:pPr>
              <w:spacing w:after="0"/>
              <w:rPr>
                <w:sz w:val="24"/>
                <w:szCs w:val="24"/>
                <w:color w:val="auto"/>
              </w:rPr>
            </w:pPr>
          </w:p>
        </w:tc>
        <w:tc>
          <w:tcPr>
            <w:tcW w:w="9480" w:type="dxa"/>
            <w:vAlign w:val="bottom"/>
            <w:gridSpan w:val="31"/>
          </w:tcPr>
          <w:p>
            <w:pPr>
              <w:spacing w:after="0"/>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Service Agreement, dated as of September 1, 2020, between Volvo Car Corporation and Polestar Automotive China Distribution</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Co. Ltd.</w:t>
              </w:r>
            </w:hyperlink>
          </w:p>
        </w:tc>
        <w:tc>
          <w:tcPr>
            <w:tcW w:w="180" w:type="dxa"/>
            <w:vAlign w:val="bottom"/>
            <w:gridSpan w:val="8"/>
          </w:tcPr>
          <w:p>
            <w:pPr>
              <w:spacing w:after="0"/>
              <w:rPr>
                <w:sz w:val="17"/>
                <w:szCs w:val="17"/>
                <w:color w:val="auto"/>
              </w:rPr>
            </w:pPr>
          </w:p>
        </w:tc>
      </w:tr>
      <w:tr>
        <w:trPr>
          <w:trHeight w:val="385"/>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456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color w:val="auto"/>
              </w:rPr>
              <w:t>226</w:t>
            </w: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46" w:right="479" w:bottom="1440" w:gutter="0" w:footer="0" w:header="0"/>
        </w:sectPr>
      </w:pPr>
    </w:p>
    <w:bookmarkStart w:id="229" w:name="page230"/>
    <w:bookmarkEnd w:id="2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24"/>
                <w:szCs w:val="24"/>
                <w:color w:val="auto"/>
              </w:rPr>
            </w:pPr>
          </w:p>
        </w:tc>
        <w:tc>
          <w:tcPr>
            <w:tcW w:w="87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Financial Undertaking Agreement—Investments for Vehicle Assembly, dated as of February 27, 2020, between Zhongjia</w:t>
              </w:r>
            </w:hyperlink>
          </w:p>
        </w:tc>
        <w:tc>
          <w:tcPr>
            <w:tcW w:w="64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20" w:type="dxa"/>
            <w:vAlign w:val="bottom"/>
            <w:gridSpan w:val="23"/>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Automobile Manufacturing (Chengdu) Co., Ltd. and Polestar Automotive China Distribution Co., Ltd.</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303">
              <w:r>
                <w:rPr>
                  <w:rFonts w:ascii="Times New Roman" w:cs="Times New Roman" w:eastAsia="Times New Roman" w:hAnsi="Times New Roman"/>
                  <w:sz w:val="18"/>
                  <w:szCs w:val="18"/>
                  <w:color w:val="0000EE"/>
                  <w:w w:val="99"/>
                </w:rPr>
                <w:t>Service Agreement, dated as of February 2021, between Zhongjia Automobile Manufacturing (Chengdu) Co., Ltd. and Polestar</w:t>
              </w:r>
            </w:hyperlink>
          </w:p>
        </w:tc>
        <w:tc>
          <w:tcPr>
            <w:tcW w:w="2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03">
              <w:r>
                <w:rPr>
                  <w:rFonts w:ascii="Times New Roman" w:cs="Times New Roman" w:eastAsia="Times New Roman" w:hAnsi="Times New Roman"/>
                  <w:sz w:val="18"/>
                  <w:szCs w:val="18"/>
                  <w:color w:val="0000EE"/>
                  <w:w w:val="99"/>
                </w:rPr>
                <w:t>Automotive China Distribution Co. Ltd.</w:t>
              </w:r>
            </w:hyperlink>
          </w:p>
        </w:tc>
        <w:tc>
          <w:tcPr>
            <w:tcW w:w="6520" w:type="dxa"/>
            <w:vAlign w:val="bottom"/>
            <w:gridSpan w:val="20"/>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24"/>
                <w:szCs w:val="24"/>
                <w:color w:val="auto"/>
              </w:rPr>
            </w:pPr>
          </w:p>
        </w:tc>
        <w:tc>
          <w:tcPr>
            <w:tcW w:w="9420" w:type="dxa"/>
            <w:vAlign w:val="bottom"/>
            <w:gridSpan w:val="23"/>
          </w:tcPr>
          <w:p>
            <w:pPr>
              <w:spacing w:after="0"/>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Service Agreement, dated as of April 28, 2021, between Volvo Car Corporation and Polestar Automotive China Distribution Co.</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Ltd.</w:t>
              </w:r>
            </w:hyperlink>
          </w:p>
        </w:tc>
        <w:tc>
          <w:tcPr>
            <w:tcW w:w="16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Pr>
          <w:p>
            <w:pPr>
              <w:spacing w:after="0"/>
              <w:rPr>
                <w:sz w:val="24"/>
                <w:szCs w:val="24"/>
                <w:color w:val="auto"/>
              </w:rPr>
            </w:pPr>
          </w:p>
        </w:tc>
        <w:tc>
          <w:tcPr>
            <w:tcW w:w="8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05">
              <w:r>
                <w:rPr>
                  <w:rFonts w:ascii="Times New Roman" w:cs="Times New Roman" w:eastAsia="Times New Roman" w:hAnsi="Times New Roman"/>
                  <w:sz w:val="18"/>
                  <w:szCs w:val="18"/>
                  <w:color w:val="0000EE"/>
                  <w:w w:val="99"/>
                </w:rPr>
                <w:t>License Agreement, dated as of December 23, 2020, between Polestar Performance AB and Volvo Car Corporation.</w:t>
              </w:r>
            </w:hyperlink>
          </w:p>
        </w:tc>
        <w:tc>
          <w:tcPr>
            <w:tcW w:w="1060" w:type="dxa"/>
            <w:vAlign w:val="bottom"/>
            <w:gridSpan w:val="11"/>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24"/>
                <w:szCs w:val="24"/>
                <w:color w:val="auto"/>
              </w:rPr>
            </w:pPr>
          </w:p>
        </w:tc>
        <w:tc>
          <w:tcPr>
            <w:tcW w:w="9420" w:type="dxa"/>
            <w:vAlign w:val="bottom"/>
            <w:gridSpan w:val="23"/>
          </w:tcPr>
          <w:p>
            <w:pPr>
              <w:spacing w:after="0"/>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Performance Software Agreement, dated as of January 1, 2020, by and between Volvo Car Corporation and Polestar Performance</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AB.</w:t>
              </w:r>
            </w:hyperlink>
          </w:p>
        </w:tc>
        <w:tc>
          <w:tcPr>
            <w:tcW w:w="10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Financial Undertaking Agreement—Investments for Vehicle Assembly, dated as of March 17, 2021, between Volvo Car</w:t>
              </w:r>
            </w:hyperlink>
          </w:p>
        </w:tc>
        <w:tc>
          <w:tcPr>
            <w:tcW w:w="74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Corporation and Polestar Performance AB.</w:t>
              </w:r>
            </w:hyperlink>
          </w:p>
        </w:tc>
        <w:tc>
          <w:tcPr>
            <w:tcW w:w="6300" w:type="dxa"/>
            <w:vAlign w:val="bottom"/>
            <w:gridSpan w:val="1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Financial Undertaking Agreement—Investments for Vehicle Assembly, dated as of March 23, 2021, between Volvo Car</w:t>
              </w:r>
            </w:hyperlink>
          </w:p>
        </w:tc>
        <w:tc>
          <w:tcPr>
            <w:tcW w:w="74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Corporation and Polestar Performance AB.</w:t>
              </w:r>
            </w:hyperlink>
          </w:p>
        </w:tc>
        <w:tc>
          <w:tcPr>
            <w:tcW w:w="6300" w:type="dxa"/>
            <w:vAlign w:val="bottom"/>
            <w:gridSpan w:val="1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spacing w:after="0"/>
              <w:rPr>
                <w:sz w:val="24"/>
                <w:szCs w:val="24"/>
                <w:color w:val="auto"/>
              </w:rPr>
            </w:pPr>
          </w:p>
        </w:tc>
        <w:tc>
          <w:tcPr>
            <w:tcW w:w="9420" w:type="dxa"/>
            <w:vAlign w:val="bottom"/>
            <w:gridSpan w:val="23"/>
          </w:tcPr>
          <w:p>
            <w:pPr>
              <w:spacing w:after="0"/>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Service Agreement, dated as of March 24, 2020, between Volvo Car Corporation and Polestar Performance AB.</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24"/>
                <w:szCs w:val="24"/>
                <w:color w:val="auto"/>
              </w:rPr>
            </w:pPr>
          </w:p>
        </w:tc>
        <w:tc>
          <w:tcPr>
            <w:tcW w:w="8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Service Agreement, dated as of November 27, 2020, between Volvo Car Corporation and Polestar Performance AB.</w:t>
              </w:r>
            </w:hyperlink>
          </w:p>
        </w:tc>
        <w:tc>
          <w:tcPr>
            <w:tcW w:w="1060" w:type="dxa"/>
            <w:vAlign w:val="bottom"/>
            <w:gridSpan w:val="11"/>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spacing w:after="0"/>
              <w:rPr>
                <w:sz w:val="24"/>
                <w:szCs w:val="24"/>
                <w:color w:val="auto"/>
              </w:rPr>
            </w:pPr>
          </w:p>
        </w:tc>
        <w:tc>
          <w:tcPr>
            <w:tcW w:w="9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Service Agreement, dated as of January 18, 2021, between Ningbo Geely Automobile Research &amp; Development Co., Ltd. and</w:t>
              </w:r>
            </w:hyperlink>
          </w:p>
        </w:tc>
        <w:tc>
          <w:tcPr>
            <w:tcW w:w="28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Polestar Performance AB.</w:t>
              </w:r>
            </w:hyperlink>
          </w:p>
        </w:tc>
        <w:tc>
          <w:tcPr>
            <w:tcW w:w="7520" w:type="dxa"/>
            <w:vAlign w:val="bottom"/>
            <w:gridSpan w:val="21"/>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tcPr>
          <w:p>
            <w:pPr>
              <w:spacing w:after="0"/>
              <w:rPr>
                <w:sz w:val="24"/>
                <w:szCs w:val="24"/>
                <w:color w:val="auto"/>
              </w:rPr>
            </w:pPr>
          </w:p>
        </w:tc>
        <w:tc>
          <w:tcPr>
            <w:tcW w:w="8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Service Agreement, dated as of January 28, 2020, between Volvo Car Corporation and Polestar Performance AB.</w:t>
              </w:r>
            </w:hyperlink>
          </w:p>
        </w:tc>
        <w:tc>
          <w:tcPr>
            <w:tcW w:w="1260" w:type="dxa"/>
            <w:vAlign w:val="bottom"/>
            <w:gridSpan w:val="14"/>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spacing w:after="0"/>
              <w:rPr>
                <w:sz w:val="24"/>
                <w:szCs w:val="24"/>
                <w:color w:val="auto"/>
              </w:rPr>
            </w:pPr>
          </w:p>
        </w:tc>
        <w:tc>
          <w:tcPr>
            <w:tcW w:w="8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Service Agreement, dated as of September 4, 2020, between Volvo Car Corporation and Polestar Performance AB.</w:t>
              </w:r>
            </w:hyperlink>
          </w:p>
        </w:tc>
        <w:tc>
          <w:tcPr>
            <w:tcW w:w="1140" w:type="dxa"/>
            <w:vAlign w:val="bottom"/>
            <w:gridSpan w:val="12"/>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Pr>
          <w:p>
            <w:pPr>
              <w:spacing w:after="0"/>
              <w:rPr>
                <w:sz w:val="24"/>
                <w:szCs w:val="24"/>
                <w:color w:val="auto"/>
              </w:rPr>
            </w:pPr>
          </w:p>
        </w:tc>
        <w:tc>
          <w:tcPr>
            <w:tcW w:w="79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Service Agreement, dated as of May 11, 2020, between Volvo Car Corporation and Polestar Performance AB.</w:t>
              </w:r>
            </w:hyperlink>
          </w:p>
        </w:tc>
        <w:tc>
          <w:tcPr>
            <w:tcW w:w="1500" w:type="dxa"/>
            <w:vAlign w:val="bottom"/>
            <w:gridSpan w:val="16"/>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24"/>
                <w:szCs w:val="24"/>
                <w:color w:val="auto"/>
              </w:rPr>
            </w:pPr>
          </w:p>
        </w:tc>
        <w:tc>
          <w:tcPr>
            <w:tcW w:w="8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Service Agreement, dated as of September 4, 2020, between Polestar Performance AB and Volvo Bil i Göteborg AB.</w:t>
              </w:r>
            </w:hyperlink>
          </w:p>
        </w:tc>
        <w:tc>
          <w:tcPr>
            <w:tcW w:w="980" w:type="dxa"/>
            <w:vAlign w:val="bottom"/>
            <w:gridSpan w:val="10"/>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tcPr>
          <w:p>
            <w:pPr>
              <w:spacing w:after="0"/>
              <w:rPr>
                <w:sz w:val="24"/>
                <w:szCs w:val="24"/>
                <w:color w:val="auto"/>
              </w:rPr>
            </w:pPr>
          </w:p>
        </w:tc>
        <w:tc>
          <w:tcPr>
            <w:tcW w:w="94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License Agreement, dated as of December 6, 2020, between Volvo Car Corporation and Polestar Performance AB, as amended by</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16">
              <w:r>
                <w:rPr>
                  <w:rFonts w:ascii="Times New Roman" w:cs="Times New Roman" w:eastAsia="Times New Roman" w:hAnsi="Times New Roman"/>
                  <w:sz w:val="18"/>
                  <w:szCs w:val="18"/>
                  <w:color w:val="0000EE"/>
                  <w:w w:val="99"/>
                </w:rPr>
                <w:t>the Amendment Agreement, dated as of June 30, 2021, between Volvo Car Corporation and Polestar Performance AB.</w:t>
              </w:r>
            </w:hyperlink>
          </w:p>
        </w:tc>
        <w:tc>
          <w:tcPr>
            <w:tcW w:w="880" w:type="dxa"/>
            <w:vAlign w:val="bottom"/>
            <w:gridSpan w:val="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Pr>
          <w:p>
            <w:pPr>
              <w:spacing w:after="0"/>
              <w:rPr>
                <w:sz w:val="24"/>
                <w:szCs w:val="24"/>
                <w:color w:val="auto"/>
              </w:rPr>
            </w:pPr>
          </w:p>
        </w:tc>
        <w:tc>
          <w:tcPr>
            <w:tcW w:w="9420" w:type="dxa"/>
            <w:vAlign w:val="bottom"/>
            <w:gridSpan w:val="23"/>
          </w:tcPr>
          <w:p>
            <w:pPr>
              <w:spacing w:after="0"/>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Service Agreement, dated as of December 6, 2020, between Volvo Car Corporation and Polestar Performance AB.</w:t>
              </w:r>
            </w:hyperlink>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24"/>
                <w:szCs w:val="24"/>
                <w:color w:val="auto"/>
              </w:rPr>
            </w:pPr>
          </w:p>
        </w:tc>
        <w:tc>
          <w:tcPr>
            <w:tcW w:w="82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Service Agreement, dated as of March 24, 2020, between Volvo Car Corporation and Polestar Performance AB.</w:t>
              </w:r>
            </w:hyperlink>
          </w:p>
        </w:tc>
        <w:tc>
          <w:tcPr>
            <w:tcW w:w="1180" w:type="dxa"/>
            <w:vAlign w:val="bottom"/>
            <w:gridSpan w:val="13"/>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24"/>
                <w:szCs w:val="24"/>
                <w:color w:val="auto"/>
              </w:rPr>
            </w:pPr>
          </w:p>
        </w:tc>
        <w:tc>
          <w:tcPr>
            <w:tcW w:w="8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19">
              <w:r>
                <w:rPr>
                  <w:rFonts w:ascii="Times New Roman" w:cs="Times New Roman" w:eastAsia="Times New Roman" w:hAnsi="Times New Roman"/>
                  <w:sz w:val="18"/>
                  <w:szCs w:val="18"/>
                  <w:color w:val="0000EE"/>
                  <w:w w:val="99"/>
                </w:rPr>
                <w:t>Service Agreement, dated as of January 19, 2021, between Volvo Car UK Limited and Polestar Performance AB.</w:t>
              </w:r>
            </w:hyperlink>
          </w:p>
        </w:tc>
        <w:tc>
          <w:tcPr>
            <w:tcW w:w="1260" w:type="dxa"/>
            <w:vAlign w:val="bottom"/>
            <w:gridSpan w:val="14"/>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spacing w:after="0"/>
              <w:rPr>
                <w:sz w:val="24"/>
                <w:szCs w:val="24"/>
                <w:color w:val="auto"/>
              </w:rPr>
            </w:pPr>
          </w:p>
        </w:tc>
        <w:tc>
          <w:tcPr>
            <w:tcW w:w="9420" w:type="dxa"/>
            <w:vAlign w:val="bottom"/>
            <w:gridSpan w:val="23"/>
          </w:tcPr>
          <w:p>
            <w:pPr>
              <w:spacing w:after="0"/>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European CO2 Emission Credits 2020 Payment Agreement, dated as of November 27, 2020, between Volvo Car Corporation and</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Polestar Performance AB.</w:t>
              </w:r>
            </w:hyperlink>
          </w:p>
        </w:tc>
        <w:tc>
          <w:tcPr>
            <w:tcW w:w="7460" w:type="dxa"/>
            <w:vAlign w:val="bottom"/>
            <w:tcBorders>
              <w:top w:val="single" w:sz="8" w:color="0000EE"/>
            </w:tcBorders>
            <w:gridSpan w:val="20"/>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Pr>
          <w:p>
            <w:pPr>
              <w:spacing w:after="0"/>
              <w:rPr>
                <w:sz w:val="24"/>
                <w:szCs w:val="24"/>
                <w:color w:val="auto"/>
              </w:rPr>
            </w:pPr>
          </w:p>
        </w:tc>
        <w:tc>
          <w:tcPr>
            <w:tcW w:w="9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Parts Supply and License Agreement Polestar Aftermarket Parts and Accessories (CHINA), dated as of November 22, 2021,</w:t>
              </w:r>
            </w:hyperlink>
          </w:p>
        </w:tc>
        <w:tc>
          <w:tcPr>
            <w:tcW w:w="40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20" w:type="dxa"/>
            <w:vAlign w:val="bottom"/>
            <w:gridSpan w:val="23"/>
          </w:tcPr>
          <w:p>
            <w:pPr>
              <w:spacing w:after="0" w:line="19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between Polestar Automotive China Distribution Co., Ltd and Volvo Car Distribution (Shanghai) Co., Ltd.</w:t>
              </w:r>
            </w:hyperlink>
          </w:p>
        </w:tc>
      </w:tr>
      <w:tr>
        <w:trPr>
          <w:trHeight w:val="385"/>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80" w:type="dxa"/>
            <w:vAlign w:val="bottom"/>
            <w:tcBorders>
              <w:top w:val="single" w:sz="8" w:color="0000EE"/>
            </w:tcBorders>
            <w:gridSpan w:val="5"/>
          </w:tcPr>
          <w:p>
            <w:pPr>
              <w:ind w:left="386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46" w:right="539" w:bottom="1440" w:gutter="0" w:footer="0" w:header="0"/>
        </w:sectPr>
      </w:pPr>
    </w:p>
    <w:bookmarkStart w:id="230" w:name="page231"/>
    <w:bookmarkEnd w:id="2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4.63**†</w:t>
            </w:r>
          </w:p>
        </w:tc>
        <w:tc>
          <w:tcPr>
            <w:tcW w:w="460" w:type="dxa"/>
            <w:vAlign w:val="bottom"/>
          </w:tcPr>
          <w:p>
            <w:pPr>
              <w:spacing w:after="0"/>
              <w:rPr>
                <w:sz w:val="24"/>
                <w:szCs w:val="24"/>
                <w:color w:val="auto"/>
              </w:rPr>
            </w:pPr>
          </w:p>
        </w:tc>
        <w:tc>
          <w:tcPr>
            <w:tcW w:w="90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23">
              <w:r>
                <w:rPr>
                  <w:rFonts w:ascii="Times New Roman" w:cs="Times New Roman" w:eastAsia="Times New Roman" w:hAnsi="Times New Roman"/>
                  <w:sz w:val="18"/>
                  <w:szCs w:val="18"/>
                  <w:color w:val="0000EE"/>
                  <w:w w:val="99"/>
                </w:rPr>
                <w:t>Service Agreement, dated as of June 23, 2021, between Volvo Car Corporation and Polestar Automotive China Distribution.,</w:t>
              </w:r>
            </w:hyperlink>
          </w:p>
        </w:tc>
        <w:tc>
          <w:tcPr>
            <w:tcW w:w="30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23">
              <w:r>
                <w:rPr>
                  <w:rFonts w:ascii="Times New Roman" w:cs="Times New Roman" w:eastAsia="Times New Roman" w:hAnsi="Times New Roman"/>
                  <w:sz w:val="18"/>
                  <w:szCs w:val="18"/>
                  <w:color w:val="0000EE"/>
                  <w:w w:val="94"/>
                </w:rPr>
                <w:t>Ltd.</w:t>
              </w:r>
            </w:hyperlink>
          </w:p>
        </w:tc>
        <w:tc>
          <w:tcPr>
            <w:tcW w:w="9000" w:type="dxa"/>
            <w:vAlign w:val="bottom"/>
            <w:gridSpan w:val="2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4.64**†</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Service Agreement, dated as of December 7, 2021, between Volvo Cars Technology (Shanghai) Co., Ltd. and Polestar</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Automotive China Distribution Co., Ltd.</w:t>
              </w:r>
            </w:hyperlink>
          </w:p>
        </w:tc>
        <w:tc>
          <w:tcPr>
            <w:tcW w:w="5580" w:type="dxa"/>
            <w:vAlign w:val="bottom"/>
            <w:tcBorders>
              <w:top w:val="single" w:sz="8" w:color="0000EE"/>
            </w:tcBorders>
            <w:gridSpan w:val="7"/>
          </w:tcPr>
          <w:p>
            <w:pPr>
              <w:spacing w:after="0"/>
              <w:rPr>
                <w:sz w:val="17"/>
                <w:szCs w:val="17"/>
                <w:color w:val="auto"/>
              </w:rPr>
            </w:pPr>
          </w:p>
        </w:tc>
        <w:tc>
          <w:tcPr>
            <w:tcW w:w="760" w:type="dxa"/>
            <w:vAlign w:val="bottom"/>
            <w:gridSpan w:val="1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4.65**†</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Service Agreement, effective as of July 1, 2021, between Volvo Car Corporation and Polestar Automotive China Distribution.,</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25">
              <w:r>
                <w:rPr>
                  <w:rFonts w:ascii="Times New Roman" w:cs="Times New Roman" w:eastAsia="Times New Roman" w:hAnsi="Times New Roman"/>
                  <w:sz w:val="18"/>
                  <w:szCs w:val="18"/>
                  <w:color w:val="0000EE"/>
                  <w:w w:val="94"/>
                </w:rPr>
                <w:t>Ltd.</w:t>
              </w:r>
            </w:hyperlink>
          </w:p>
        </w:tc>
        <w:tc>
          <w:tcPr>
            <w:tcW w:w="8800" w:type="dxa"/>
            <w:vAlign w:val="bottom"/>
            <w:tcBorders>
              <w:top w:val="single" w:sz="8" w:color="0000EE"/>
            </w:tcBorders>
            <w:gridSpan w:val="18"/>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4.66**†</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Service Agreement, dated as of December 7, 2021, between Volvo Cars Technology (Shanghai) Co., Ltd. and Polestar</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6">
              <w:r>
                <w:rPr>
                  <w:rFonts w:ascii="Times New Roman" w:cs="Times New Roman" w:eastAsia="Times New Roman" w:hAnsi="Times New Roman"/>
                  <w:sz w:val="18"/>
                  <w:szCs w:val="18"/>
                  <w:color w:val="0000EE"/>
                  <w:w w:val="99"/>
                </w:rPr>
                <w:t>Automotive China Distribution Co., Ltd.</w:t>
              </w:r>
            </w:hyperlink>
          </w:p>
        </w:tc>
        <w:tc>
          <w:tcPr>
            <w:tcW w:w="5600" w:type="dxa"/>
            <w:vAlign w:val="bottom"/>
            <w:tcBorders>
              <w:top w:val="single" w:sz="8" w:color="0000EE"/>
            </w:tcBorders>
            <w:gridSpan w:val="8"/>
          </w:tcPr>
          <w:p>
            <w:pPr>
              <w:spacing w:after="0"/>
              <w:rPr>
                <w:sz w:val="17"/>
                <w:szCs w:val="17"/>
                <w:color w:val="auto"/>
              </w:rPr>
            </w:pPr>
          </w:p>
        </w:tc>
        <w:tc>
          <w:tcPr>
            <w:tcW w:w="760" w:type="dxa"/>
            <w:vAlign w:val="bottom"/>
            <w:gridSpan w:val="1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4.67**†</w:t>
            </w:r>
          </w:p>
        </w:tc>
        <w:tc>
          <w:tcPr>
            <w:tcW w:w="460" w:type="dxa"/>
            <w:vAlign w:val="bottom"/>
          </w:tcPr>
          <w:p>
            <w:pPr>
              <w:spacing w:after="0"/>
              <w:rPr>
                <w:sz w:val="24"/>
                <w:szCs w:val="24"/>
                <w:color w:val="auto"/>
              </w:rPr>
            </w:pPr>
          </w:p>
        </w:tc>
        <w:tc>
          <w:tcPr>
            <w:tcW w:w="8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Service Agreement, dated as of June 23, 2021, between Volvo Car Corporation and Polestar New Energy Vehicle Co. Ltd.</w:t>
              </w:r>
            </w:hyperlink>
          </w:p>
        </w:tc>
        <w:tc>
          <w:tcPr>
            <w:tcW w:w="520" w:type="dxa"/>
            <w:vAlign w:val="bottom"/>
            <w:gridSpan w:val="10"/>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4.68**†</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Service Agreement, dated as of December 7, 2021, between Volvo Cars Technology (Shanghai) Co., Ltd. and Polestar</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Automotive China Distribution Co., Ltd.</w:t>
              </w:r>
            </w:hyperlink>
          </w:p>
        </w:tc>
        <w:tc>
          <w:tcPr>
            <w:tcW w:w="5580" w:type="dxa"/>
            <w:vAlign w:val="bottom"/>
            <w:tcBorders>
              <w:top w:val="single" w:sz="8" w:color="0000EE"/>
            </w:tcBorders>
            <w:gridSpan w:val="7"/>
          </w:tcPr>
          <w:p>
            <w:pPr>
              <w:spacing w:after="0"/>
              <w:rPr>
                <w:sz w:val="17"/>
                <w:szCs w:val="17"/>
                <w:color w:val="auto"/>
              </w:rPr>
            </w:pPr>
          </w:p>
        </w:tc>
        <w:tc>
          <w:tcPr>
            <w:tcW w:w="760" w:type="dxa"/>
            <w:vAlign w:val="bottom"/>
            <w:gridSpan w:val="1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4.69**†</w:t>
            </w:r>
          </w:p>
        </w:tc>
        <w:tc>
          <w:tcPr>
            <w:tcW w:w="460" w:type="dxa"/>
            <w:vAlign w:val="bottom"/>
          </w:tcPr>
          <w:p>
            <w:pPr>
              <w:spacing w:after="0"/>
              <w:rPr>
                <w:sz w:val="24"/>
                <w:szCs w:val="24"/>
                <w:color w:val="auto"/>
              </w:rPr>
            </w:pPr>
          </w:p>
        </w:tc>
        <w:tc>
          <w:tcPr>
            <w:tcW w:w="8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Technology License Agreement, dated as of December 30, 2021, between Zhejiang Zeekr Automobile Research and</w:t>
              </w:r>
            </w:hyperlink>
          </w:p>
        </w:tc>
        <w:tc>
          <w:tcPr>
            <w:tcW w:w="88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00" w:type="dxa"/>
            <w:vAlign w:val="bottom"/>
            <w:gridSpan w:val="24"/>
          </w:tcPr>
          <w:p>
            <w:pPr>
              <w:spacing w:after="0" w:line="196"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Development Co., Ltd. and Polestar Performance AB.</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4.70**†</w:t>
            </w:r>
          </w:p>
        </w:tc>
        <w:tc>
          <w:tcPr>
            <w:tcW w:w="460" w:type="dxa"/>
            <w:vAlign w:val="bottom"/>
          </w:tcPr>
          <w:p>
            <w:pPr>
              <w:spacing w:after="0"/>
              <w:rPr>
                <w:sz w:val="24"/>
                <w:szCs w:val="24"/>
                <w:color w:val="auto"/>
              </w:rPr>
            </w:pPr>
          </w:p>
        </w:tc>
        <w:tc>
          <w:tcPr>
            <w:tcW w:w="92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Service Agreement, dated as of December 28, 2021, between Ningbo Geely Automobile Research &amp; Development Co., Ltd and</w:t>
              </w:r>
            </w:hyperlink>
          </w:p>
        </w:tc>
        <w:tc>
          <w:tcPr>
            <w:tcW w:w="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00" w:type="dxa"/>
            <w:vAlign w:val="bottom"/>
            <w:gridSpan w:val="24"/>
          </w:tcPr>
          <w:p>
            <w:pPr>
              <w:spacing w:after="0" w:line="196" w:lineRule="exact"/>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Polestar Performance AB.</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4.71**†</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31">
              <w:r>
                <w:rPr>
                  <w:rFonts w:ascii="Times New Roman" w:cs="Times New Roman" w:eastAsia="Times New Roman" w:hAnsi="Times New Roman"/>
                  <w:sz w:val="18"/>
                  <w:szCs w:val="18"/>
                  <w:color w:val="0000EE"/>
                </w:rPr>
                <w:t>Tooling and Equipment Agreement, dated as of December 10, 2021, by and among Polestar Automotive China Distribution Co.,</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31">
              <w:r>
                <w:rPr>
                  <w:rFonts w:ascii="Times New Roman" w:cs="Times New Roman" w:eastAsia="Times New Roman" w:hAnsi="Times New Roman"/>
                  <w:sz w:val="18"/>
                  <w:szCs w:val="18"/>
                  <w:color w:val="0000EE"/>
                </w:rPr>
                <w:t>Ltd. and Ningbo Hangzhou Bay Geely Automotive Parts Co., Ltd.</w:t>
              </w:r>
            </w:hyperlink>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4.72**†</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Technology License Agreement, effective as of March 4, 2022, between Zhejiang Liankong Technologies Co., Ltd and Polestar</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Automotive Distribution China Co., Ltd.</w:t>
              </w:r>
            </w:hyperlink>
          </w:p>
        </w:tc>
        <w:tc>
          <w:tcPr>
            <w:tcW w:w="6260" w:type="dxa"/>
            <w:vAlign w:val="bottom"/>
            <w:tcBorders>
              <w:top w:val="single" w:sz="8" w:color="0000EE"/>
            </w:tcBorders>
            <w:gridSpan w:val="16"/>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4.73**†</w:t>
            </w:r>
          </w:p>
        </w:tc>
        <w:tc>
          <w:tcPr>
            <w:tcW w:w="460" w:type="dxa"/>
            <w:vAlign w:val="bottom"/>
          </w:tcPr>
          <w:p>
            <w:pPr>
              <w:spacing w:after="0"/>
              <w:rPr>
                <w:sz w:val="24"/>
                <w:szCs w:val="24"/>
                <w:color w:val="auto"/>
              </w:rPr>
            </w:pPr>
          </w:p>
        </w:tc>
        <w:tc>
          <w:tcPr>
            <w:tcW w:w="8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33">
              <w:r>
                <w:rPr>
                  <w:rFonts w:ascii="Times New Roman" w:cs="Times New Roman" w:eastAsia="Times New Roman" w:hAnsi="Times New Roman"/>
                  <w:sz w:val="18"/>
                  <w:szCs w:val="18"/>
                  <w:color w:val="0000EE"/>
                </w:rPr>
                <w:t>Technology License Agreement, dated as of December 10, 2021, between Zhejiang Zeekr Automobile Research and</w:t>
              </w:r>
            </w:hyperlink>
          </w:p>
        </w:tc>
        <w:tc>
          <w:tcPr>
            <w:tcW w:w="88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33">
              <w:r>
                <w:rPr>
                  <w:rFonts w:ascii="Times New Roman" w:cs="Times New Roman" w:eastAsia="Times New Roman" w:hAnsi="Times New Roman"/>
                  <w:sz w:val="18"/>
                  <w:szCs w:val="18"/>
                  <w:color w:val="0000EE"/>
                  <w:w w:val="99"/>
                </w:rPr>
                <w:t>Development Co., Ltd and Polestar Automotive Distribution China Co., Ltd.</w:t>
              </w:r>
            </w:hyperlink>
          </w:p>
        </w:tc>
        <w:tc>
          <w:tcPr>
            <w:tcW w:w="3780" w:type="dxa"/>
            <w:vAlign w:val="bottom"/>
            <w:gridSpan w:val="1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4.74**†</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0000EE"/>
                </w:rPr>
                <w:t>Technology License Agreement, effective as of March 4, 2022, between Zhejiang Liankong Technologies Co., Ltd and Polestar</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34">
              <w:r>
                <w:rPr>
                  <w:rFonts w:ascii="Times New Roman" w:cs="Times New Roman" w:eastAsia="Times New Roman" w:hAnsi="Times New Roman"/>
                  <w:sz w:val="18"/>
                  <w:szCs w:val="18"/>
                  <w:color w:val="0000EE"/>
                  <w:w w:val="98"/>
                </w:rPr>
                <w:t>Performance AB.</w:t>
              </w:r>
            </w:hyperlink>
          </w:p>
        </w:tc>
        <w:tc>
          <w:tcPr>
            <w:tcW w:w="7960" w:type="dxa"/>
            <w:vAlign w:val="bottom"/>
            <w:tcBorders>
              <w:top w:val="single" w:sz="8" w:color="0000EE"/>
            </w:tcBorders>
            <w:gridSpan w:val="19"/>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4.75**+†</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35">
              <w:r>
                <w:rPr>
                  <w:rFonts w:ascii="Times New Roman" w:cs="Times New Roman" w:eastAsia="Times New Roman" w:hAnsi="Times New Roman"/>
                  <w:sz w:val="18"/>
                  <w:szCs w:val="18"/>
                  <w:color w:val="0000EE"/>
                </w:rPr>
                <w:t>Employment Agreement, effective as of July 1, 2017, by and between Polestar Performance AB and Thomas Ingenlath.</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20" w:type="dxa"/>
            <w:vAlign w:val="bottom"/>
            <w:gridSpan w:val="9"/>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4.76**+†</w:t>
            </w:r>
          </w:p>
        </w:tc>
        <w:tc>
          <w:tcPr>
            <w:tcW w:w="460" w:type="dxa"/>
            <w:vAlign w:val="bottom"/>
          </w:tcPr>
          <w:p>
            <w:pPr>
              <w:spacing w:after="0"/>
              <w:rPr>
                <w:sz w:val="24"/>
                <w:szCs w:val="24"/>
                <w:color w:val="auto"/>
              </w:rPr>
            </w:pPr>
          </w:p>
        </w:tc>
        <w:tc>
          <w:tcPr>
            <w:tcW w:w="88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36">
              <w:r>
                <w:rPr>
                  <w:rFonts w:ascii="Times New Roman" w:cs="Times New Roman" w:eastAsia="Times New Roman" w:hAnsi="Times New Roman"/>
                  <w:sz w:val="18"/>
                  <w:szCs w:val="18"/>
                  <w:color w:val="0000EE"/>
                  <w:w w:val="99"/>
                </w:rPr>
                <w:t>Employment Agreement, dated as of September 17, 2021, by and between Polestar Performance AB and Johan Malmqvist.</w:t>
              </w:r>
            </w:hyperlink>
          </w:p>
        </w:tc>
        <w:tc>
          <w:tcPr>
            <w:tcW w:w="420" w:type="dxa"/>
            <w:vAlign w:val="bottom"/>
            <w:gridSpan w:val="8"/>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4.77**+†</w:t>
            </w:r>
          </w:p>
        </w:tc>
        <w:tc>
          <w:tcPr>
            <w:tcW w:w="460" w:type="dxa"/>
            <w:vAlign w:val="bottom"/>
          </w:tcPr>
          <w:p>
            <w:pPr>
              <w:spacing w:after="0"/>
              <w:rPr>
                <w:sz w:val="24"/>
                <w:szCs w:val="24"/>
                <w:color w:val="auto"/>
              </w:rPr>
            </w:pPr>
          </w:p>
        </w:tc>
        <w:tc>
          <w:tcPr>
            <w:tcW w:w="9300" w:type="dxa"/>
            <w:vAlign w:val="bottom"/>
            <w:gridSpan w:val="24"/>
          </w:tcPr>
          <w:p>
            <w:pPr>
              <w:spacing w:after="0"/>
              <w:rPr>
                <w:rFonts w:ascii="Times New Roman" w:cs="Times New Roman" w:eastAsia="Times New Roman" w:hAnsi="Times New Roman"/>
                <w:sz w:val="18"/>
                <w:szCs w:val="18"/>
                <w:color w:val="0000EE"/>
              </w:rPr>
            </w:pPr>
            <w:hyperlink r:id="rId337">
              <w:r>
                <w:rPr>
                  <w:rFonts w:ascii="Times New Roman" w:cs="Times New Roman" w:eastAsia="Times New Roman" w:hAnsi="Times New Roman"/>
                  <w:sz w:val="18"/>
                  <w:szCs w:val="18"/>
                  <w:color w:val="0000EE"/>
                </w:rPr>
                <w:t>Employment Agreement, dated as of July 13, 2020, by and between Polestar Performance AB and Dennis Nobelius.</w:t>
              </w:r>
            </w:hyperlink>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20" w:type="dxa"/>
            <w:vAlign w:val="bottom"/>
            <w:gridSpan w:val="9"/>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4.78**</w:t>
            </w:r>
          </w:p>
        </w:tc>
        <w:tc>
          <w:tcPr>
            <w:tcW w:w="460" w:type="dxa"/>
            <w:vAlign w:val="bottom"/>
          </w:tcPr>
          <w:p>
            <w:pPr>
              <w:spacing w:after="0"/>
              <w:rPr>
                <w:sz w:val="24"/>
                <w:szCs w:val="24"/>
                <w:color w:val="auto"/>
              </w:rPr>
            </w:pPr>
          </w:p>
        </w:tc>
        <w:tc>
          <w:tcPr>
            <w:tcW w:w="91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Registration Rights Agreement Amendment No. 1, dated December 17, 2021, by and among Polestar Automotive Holding UK</w:t>
              </w:r>
            </w:hyperlink>
          </w:p>
        </w:tc>
        <w:tc>
          <w:tcPr>
            <w:tcW w:w="1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0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338">
              <w:r>
                <w:rPr>
                  <w:rFonts w:ascii="Times New Roman" w:cs="Times New Roman" w:eastAsia="Times New Roman" w:hAnsi="Times New Roman"/>
                  <w:sz w:val="18"/>
                  <w:szCs w:val="18"/>
                  <w:color w:val="0000EE"/>
                  <w:w w:val="99"/>
                </w:rPr>
                <w:t>Limited, Gores Guggenheim Sponsor LLC, Randall Bort, Elizabeth Marcellino and Nancy Tellem, Polestar Automotive Holding</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38">
              <w:r>
                <w:rPr>
                  <w:rFonts w:ascii="Times New Roman" w:cs="Times New Roman" w:eastAsia="Times New Roman" w:hAnsi="Times New Roman"/>
                  <w:sz w:val="18"/>
                  <w:szCs w:val="18"/>
                  <w:color w:val="0000EE"/>
                  <w:w w:val="99"/>
                </w:rPr>
                <w:t>Limited and certain of its shareholders (incorporated by reference to Annex G-2 to the proxy statement/prospectus and was</w:t>
              </w:r>
            </w:hyperlink>
          </w:p>
        </w:tc>
        <w:tc>
          <w:tcPr>
            <w:tcW w:w="40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38">
              <w:r>
                <w:rPr>
                  <w:rFonts w:ascii="Times New Roman" w:cs="Times New Roman" w:eastAsia="Times New Roman" w:hAnsi="Times New Roman"/>
                  <w:sz w:val="18"/>
                  <w:szCs w:val="18"/>
                  <w:color w:val="0000EE"/>
                  <w:w w:val="99"/>
                </w:rPr>
                <w:t>previously included as Exhibit 10.2 to GGI’s current report on Form 8-K, filed December 17, 2021).</w:t>
              </w:r>
            </w:hyperlink>
          </w:p>
        </w:tc>
        <w:tc>
          <w:tcPr>
            <w:tcW w:w="2080" w:type="dxa"/>
            <w:vAlign w:val="bottom"/>
            <w:gridSpan w:val="15"/>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4.79**</w:t>
            </w:r>
          </w:p>
        </w:tc>
        <w:tc>
          <w:tcPr>
            <w:tcW w:w="460" w:type="dxa"/>
            <w:vAlign w:val="bottom"/>
          </w:tcPr>
          <w:p>
            <w:pPr>
              <w:spacing w:after="0"/>
              <w:rPr>
                <w:sz w:val="24"/>
                <w:szCs w:val="24"/>
                <w:color w:val="auto"/>
              </w:rPr>
            </w:pPr>
          </w:p>
        </w:tc>
        <w:tc>
          <w:tcPr>
            <w:tcW w:w="9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39">
              <w:r>
                <w:rPr>
                  <w:rFonts w:ascii="Times New Roman" w:cs="Times New Roman" w:eastAsia="Times New Roman" w:hAnsi="Times New Roman"/>
                  <w:sz w:val="18"/>
                  <w:szCs w:val="18"/>
                  <w:color w:val="0000EE"/>
                </w:rPr>
                <w:t>Sponsor and Supporting Sponsor Stockholder Lock-Up Agreement Amendment No. 1, dated December 17, 2021, by and among</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Gores Guggenheim Sponsor, LLC, Polestar Automotive Holding Limited, Polestar Automotive Holding UK Limited, Gores</w:t>
              </w:r>
            </w:hyperlink>
          </w:p>
        </w:tc>
        <w:tc>
          <w:tcPr>
            <w:tcW w:w="3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Guggenheim, Inc. and certain of its directors (incorporated by reference to Annex K-2 to the proxy statement/prospectus and was</w:t>
              </w:r>
            </w:hyperlink>
          </w:p>
        </w:tc>
      </w:tr>
      <w:tr>
        <w:trPr>
          <w:trHeight w:val="196"/>
        </w:trPr>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previously included as Exhibit 10.3 to GGI’s current report on Form 8-K, filed December 17, 2021).</w:t>
              </w:r>
            </w:hyperlink>
          </w:p>
        </w:tc>
        <w:tc>
          <w:tcPr>
            <w:tcW w:w="2080" w:type="dxa"/>
            <w:vAlign w:val="bottom"/>
            <w:gridSpan w:val="15"/>
          </w:tcPr>
          <w:p>
            <w:pPr>
              <w:spacing w:after="0"/>
              <w:rPr>
                <w:sz w:val="17"/>
                <w:szCs w:val="17"/>
                <w:color w:val="auto"/>
              </w:rPr>
            </w:pPr>
          </w:p>
        </w:tc>
      </w:tr>
      <w:tr>
        <w:trPr>
          <w:trHeight w:val="385"/>
        </w:trPr>
        <w:tc>
          <w:tcPr>
            <w:tcW w:w="1360" w:type="dxa"/>
            <w:vAlign w:val="bottom"/>
          </w:tcPr>
          <w:p>
            <w:pPr>
              <w:spacing w:after="0"/>
              <w:rPr>
                <w:sz w:val="24"/>
                <w:szCs w:val="24"/>
                <w:color w:val="auto"/>
              </w:rPr>
            </w:pPr>
          </w:p>
        </w:tc>
        <w:tc>
          <w:tcPr>
            <w:tcW w:w="5220" w:type="dxa"/>
            <w:vAlign w:val="bottom"/>
            <w:gridSpan w:val="8"/>
          </w:tcPr>
          <w:p>
            <w:pPr>
              <w:jc w:val="right"/>
              <w:ind w:right="820"/>
              <w:spacing w:after="0"/>
              <w:rPr>
                <w:sz w:val="20"/>
                <w:szCs w:val="20"/>
                <w:color w:val="auto"/>
              </w:rPr>
            </w:pPr>
            <w:r>
              <w:rPr>
                <w:rFonts w:ascii="Times New Roman" w:cs="Times New Roman" w:eastAsia="Times New Roman" w:hAnsi="Times New Roman"/>
                <w:sz w:val="18"/>
                <w:szCs w:val="18"/>
                <w:color w:val="auto"/>
              </w:rPr>
              <w:t>228</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231" w:name="page232"/>
    <w:bookmarkEnd w:id="2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tcPr>
          <w:p>
            <w:pPr>
              <w:spacing w:after="0"/>
              <w:rPr>
                <w:sz w:val="24"/>
                <w:szCs w:val="24"/>
                <w:color w:val="auto"/>
              </w:rPr>
            </w:pPr>
          </w:p>
        </w:tc>
        <w:tc>
          <w:tcPr>
            <w:tcW w:w="92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Parts Supply and License Agreement, effective as of January 1, 2020, by and between Polestar Performance AB and Volvo Car</w:t>
              </w:r>
            </w:hyperlink>
          </w:p>
        </w:tc>
        <w:tc>
          <w:tcPr>
            <w:tcW w:w="26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28"/>
          </w:tcPr>
          <w:p>
            <w:pPr>
              <w:spacing w:after="0" w:line="196" w:lineRule="exact"/>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Corporation.</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24"/>
                <w:szCs w:val="24"/>
                <w:color w:val="auto"/>
              </w:rPr>
            </w:pPr>
          </w:p>
        </w:tc>
        <w:tc>
          <w:tcPr>
            <w:tcW w:w="9480" w:type="dxa"/>
            <w:vAlign w:val="bottom"/>
            <w:gridSpan w:val="28"/>
          </w:tcPr>
          <w:p>
            <w:pPr>
              <w:spacing w:after="0"/>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Acknowledgement Agreement to the Shareholders Agreement, dated September 27, 2021, by and among Polestar Automotive</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Holding UK Limited, Snita, PSINV AB, PSD Investment Limited, GLY New Mobility 1. LP, Northpole GLY 1 LP, Chongqing</w:t>
              </w:r>
            </w:hyperlink>
          </w:p>
        </w:tc>
        <w:tc>
          <w:tcPr>
            <w:tcW w:w="30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Liangjiang, Zibo Financial Holding Group Co., Ltd. and Zibo High-Tech Industrial Investment Co., Ltd. (incorporated by reference</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28"/>
          </w:tcPr>
          <w:p>
            <w:pPr>
              <w:spacing w:after="0" w:line="196" w:lineRule="exact"/>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to Annex M-1 to the proxy statement/prospectus).</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24"/>
                <w:szCs w:val="24"/>
                <w:color w:val="auto"/>
              </w:rPr>
            </w:pPr>
          </w:p>
        </w:tc>
        <w:tc>
          <w:tcPr>
            <w:tcW w:w="9480" w:type="dxa"/>
            <w:vAlign w:val="bottom"/>
            <w:gridSpan w:val="28"/>
          </w:tcPr>
          <w:p>
            <w:pPr>
              <w:spacing w:after="0"/>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Amendment No. 1 to the Acknowledgement Agreement to the Shareholders Agreement, dated March 24, 2022, by and among</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Polestar Automative Holding UK Limited, Snita, PSINV AB, PSD Investment Limited, GLY New Mobility 1. LP, Northpole GLY</w:t>
              </w:r>
            </w:hyperlink>
          </w:p>
        </w:tc>
        <w:tc>
          <w:tcPr>
            <w:tcW w:w="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28"/>
          </w:tcPr>
          <w:p>
            <w:pPr>
              <w:spacing w:after="0" w:line="196" w:lineRule="exact"/>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1 LP, Chongqing Liangjiang, Zibo Financial Holding Group Co., Ltd. and Zibo High-Tech Industrial Investment Co., Ltd.</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(incorporated by reference to Annex M-2 to the proxy statement/prospectus).</w:t>
              </w:r>
            </w:hyperlink>
          </w:p>
        </w:tc>
        <w:tc>
          <w:tcPr>
            <w:tcW w:w="3220" w:type="dxa"/>
            <w:vAlign w:val="bottom"/>
            <w:tcBorders>
              <w:top w:val="single" w:sz="8" w:color="0000EE"/>
            </w:tcBorders>
            <w:gridSpan w:val="4"/>
          </w:tcPr>
          <w:p>
            <w:pPr>
              <w:spacing w:after="0"/>
              <w:rPr>
                <w:sz w:val="17"/>
                <w:szCs w:val="17"/>
                <w:color w:val="auto"/>
              </w:rPr>
            </w:pPr>
          </w:p>
        </w:tc>
        <w:tc>
          <w:tcPr>
            <w:tcW w:w="700" w:type="dxa"/>
            <w:vAlign w:val="bottom"/>
            <w:gridSpan w:val="1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tcPr>
          <w:p>
            <w:pPr>
              <w:spacing w:after="0"/>
              <w:rPr>
                <w:sz w:val="24"/>
                <w:szCs w:val="24"/>
                <w:color w:val="auto"/>
              </w:rPr>
            </w:pPr>
          </w:p>
        </w:tc>
        <w:tc>
          <w:tcPr>
            <w:tcW w:w="93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New, Used and Demonstrator Funding Agreement, dated June 14, 2021, by and among Volvo Car Financial Services UK Limited</w:t>
              </w:r>
            </w:hyperlink>
          </w:p>
        </w:tc>
        <w:tc>
          <w:tcPr>
            <w:tcW w:w="10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28"/>
          </w:tcPr>
          <w:p>
            <w:pPr>
              <w:spacing w:after="0" w:line="196" w:lineRule="exact"/>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and Polestar Automotive UK Limited.</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tcPr>
          <w:p>
            <w:pPr>
              <w:spacing w:after="0"/>
              <w:rPr>
                <w:sz w:val="24"/>
                <w:szCs w:val="24"/>
                <w:color w:val="auto"/>
              </w:rPr>
            </w:pPr>
          </w:p>
        </w:tc>
        <w:tc>
          <w:tcPr>
            <w:tcW w:w="92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345">
              <w:r>
                <w:rPr>
                  <w:rFonts w:ascii="Times New Roman" w:cs="Times New Roman" w:eastAsia="Times New Roman" w:hAnsi="Times New Roman"/>
                  <w:sz w:val="18"/>
                  <w:szCs w:val="18"/>
                  <w:color w:val="0000EE"/>
                  <w:w w:val="99"/>
                </w:rPr>
                <w:t>Service Agreement, effective as of January 28, 2022, by and between Volvo Cars USA LLC and Polestar Automotive USA Inc.</w:t>
              </w:r>
            </w:hyperlink>
          </w:p>
        </w:tc>
        <w:tc>
          <w:tcPr>
            <w:tcW w:w="280" w:type="dxa"/>
            <w:vAlign w:val="bottom"/>
            <w:gridSpan w:val="8"/>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tcPr>
          <w:p>
            <w:pPr>
              <w:spacing w:after="0"/>
              <w:rPr>
                <w:sz w:val="24"/>
                <w:szCs w:val="24"/>
                <w:color w:val="auto"/>
              </w:rPr>
            </w:pPr>
          </w:p>
        </w:tc>
        <w:tc>
          <w:tcPr>
            <w:tcW w:w="91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346">
              <w:r>
                <w:rPr>
                  <w:rFonts w:ascii="Times New Roman" w:cs="Times New Roman" w:eastAsia="Times New Roman" w:hAnsi="Times New Roman"/>
                  <w:sz w:val="18"/>
                  <w:szCs w:val="18"/>
                  <w:color w:val="0000EE"/>
                </w:rPr>
                <w:t>Finance Cooperation Agreement, dated May 28, 2021, by and between Volvo Car Financial Services UK Limited and Polestar</w:t>
              </w:r>
            </w:hyperlink>
          </w:p>
        </w:tc>
        <w:tc>
          <w:tcPr>
            <w:tcW w:w="32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46">
              <w:r>
                <w:rPr>
                  <w:rFonts w:ascii="Times New Roman" w:cs="Times New Roman" w:eastAsia="Times New Roman" w:hAnsi="Times New Roman"/>
                  <w:sz w:val="18"/>
                  <w:szCs w:val="18"/>
                  <w:color w:val="0000EE"/>
                  <w:w w:val="99"/>
                </w:rPr>
                <w:t>Automotive UK Limited.</w:t>
              </w:r>
            </w:hyperlink>
          </w:p>
        </w:tc>
        <w:tc>
          <w:tcPr>
            <w:tcW w:w="7640" w:type="dxa"/>
            <w:vAlign w:val="bottom"/>
            <w:gridSpan w:val="25"/>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tcPr>
          <w:p>
            <w:pPr>
              <w:spacing w:after="0"/>
              <w:rPr>
                <w:sz w:val="24"/>
                <w:szCs w:val="24"/>
                <w:color w:val="auto"/>
              </w:rPr>
            </w:pPr>
          </w:p>
        </w:tc>
        <w:tc>
          <w:tcPr>
            <w:tcW w:w="93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Corporate Guarantee and Indemnity Relating to Polestar Automotive UK Limited, dated June 14, 2021, by and between Polestar</w:t>
              </w:r>
            </w:hyperlink>
          </w:p>
        </w:tc>
        <w:tc>
          <w:tcPr>
            <w:tcW w:w="1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47">
              <w:r>
                <w:rPr>
                  <w:rFonts w:ascii="Times New Roman" w:cs="Times New Roman" w:eastAsia="Times New Roman" w:hAnsi="Times New Roman"/>
                  <w:sz w:val="18"/>
                  <w:szCs w:val="18"/>
                  <w:color w:val="0000EE"/>
                  <w:w w:val="99"/>
                </w:rPr>
                <w:t>Performance AB and Volvo Car Financial Services UK Limited.</w:t>
              </w:r>
            </w:hyperlink>
          </w:p>
        </w:tc>
        <w:tc>
          <w:tcPr>
            <w:tcW w:w="4840" w:type="dxa"/>
            <w:vAlign w:val="bottom"/>
            <w:gridSpan w:val="1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24"/>
                <w:szCs w:val="24"/>
                <w:color w:val="auto"/>
              </w:rPr>
            </w:pPr>
          </w:p>
        </w:tc>
        <w:tc>
          <w:tcPr>
            <w:tcW w:w="9480" w:type="dxa"/>
            <w:vAlign w:val="bottom"/>
            <w:gridSpan w:val="28"/>
          </w:tcPr>
          <w:p>
            <w:pPr>
              <w:spacing w:after="0"/>
              <w:rPr>
                <w:rFonts w:ascii="Times New Roman" w:cs="Times New Roman" w:eastAsia="Times New Roman" w:hAnsi="Times New Roman"/>
                <w:sz w:val="18"/>
                <w:szCs w:val="18"/>
                <w:color w:val="0000EE"/>
              </w:rPr>
            </w:pPr>
            <w:hyperlink r:id="rId348">
              <w:r>
                <w:rPr>
                  <w:rFonts w:ascii="Times New Roman" w:cs="Times New Roman" w:eastAsia="Times New Roman" w:hAnsi="Times New Roman"/>
                  <w:sz w:val="18"/>
                  <w:szCs w:val="18"/>
                  <w:color w:val="0000EE"/>
                </w:rPr>
                <w:t>Amendment No. 2 to Registration Rights Agreement, dated March 24, 2022, by and among Polestar Automotive Holding UK</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48">
              <w:r>
                <w:rPr>
                  <w:rFonts w:ascii="Times New Roman" w:cs="Times New Roman" w:eastAsia="Times New Roman" w:hAnsi="Times New Roman"/>
                  <w:sz w:val="18"/>
                  <w:szCs w:val="18"/>
                  <w:color w:val="0000EE"/>
                  <w:w w:val="99"/>
                </w:rPr>
                <w:t>Limited, Gores Guggenheim Sponsor LLC, Randall Bort, Elizabeth Marcellino and Nancy Tellem, Polestar Automotive Holding</w:t>
              </w:r>
            </w:hyperlink>
          </w:p>
        </w:tc>
        <w:tc>
          <w:tcPr>
            <w:tcW w:w="2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28"/>
          </w:tcPr>
          <w:p>
            <w:pPr>
              <w:spacing w:after="0" w:line="196" w:lineRule="exact"/>
              <w:rPr>
                <w:rFonts w:ascii="Times New Roman" w:cs="Times New Roman" w:eastAsia="Times New Roman" w:hAnsi="Times New Roman"/>
                <w:sz w:val="18"/>
                <w:szCs w:val="18"/>
                <w:color w:val="0000EE"/>
              </w:rPr>
            </w:pPr>
            <w:hyperlink r:id="rId348">
              <w:r>
                <w:rPr>
                  <w:rFonts w:ascii="Times New Roman" w:cs="Times New Roman" w:eastAsia="Times New Roman" w:hAnsi="Times New Roman"/>
                  <w:sz w:val="18"/>
                  <w:szCs w:val="18"/>
                  <w:color w:val="0000EE"/>
                </w:rPr>
                <w:t>Limited and certain of its shareholders (incorporated by reference to Annex G-3 to the proxy statement/prospectus and was</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48">
              <w:r>
                <w:rPr>
                  <w:rFonts w:ascii="Times New Roman" w:cs="Times New Roman" w:eastAsia="Times New Roman" w:hAnsi="Times New Roman"/>
                  <w:sz w:val="18"/>
                  <w:szCs w:val="18"/>
                  <w:color w:val="0000EE"/>
                  <w:w w:val="99"/>
                </w:rPr>
                <w:t>previously included as Exhibit 10.2 to GGI’s current report on Form 8-K, filed March 25, 2022).</w:t>
              </w:r>
            </w:hyperlink>
          </w:p>
        </w:tc>
        <w:tc>
          <w:tcPr>
            <w:tcW w:w="1900" w:type="dxa"/>
            <w:vAlign w:val="bottom"/>
            <w:tcBorders>
              <w:top w:val="single" w:sz="8" w:color="0000EE"/>
            </w:tcBorders>
            <w:gridSpan w:val="4"/>
          </w:tcPr>
          <w:p>
            <w:pPr>
              <w:spacing w:after="0"/>
              <w:rPr>
                <w:sz w:val="17"/>
                <w:szCs w:val="17"/>
                <w:color w:val="auto"/>
              </w:rPr>
            </w:pPr>
          </w:p>
        </w:tc>
        <w:tc>
          <w:tcPr>
            <w:tcW w:w="620" w:type="dxa"/>
            <w:vAlign w:val="bottom"/>
            <w:gridSpan w:val="1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tcPr>
          <w:p>
            <w:pPr>
              <w:spacing w:after="0"/>
              <w:rPr>
                <w:sz w:val="24"/>
                <w:szCs w:val="24"/>
                <w:color w:val="auto"/>
              </w:rPr>
            </w:pPr>
          </w:p>
        </w:tc>
        <w:tc>
          <w:tcPr>
            <w:tcW w:w="9480" w:type="dxa"/>
            <w:vAlign w:val="bottom"/>
            <w:gridSpan w:val="28"/>
          </w:tcPr>
          <w:p>
            <w:pPr>
              <w:spacing w:after="0"/>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Amendment No. 2 to Sponsor and Supporting Sponsor Stockholder Lock-Up Agreement, dated March 24, 2022, by and among</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Gores Guggenheim Sponsor, LLC, Polestar Automotive Holding Limited, Polestar Automotive Holding UK Limited, Gores</w:t>
              </w:r>
            </w:hyperlink>
          </w:p>
        </w:tc>
        <w:tc>
          <w:tcPr>
            <w:tcW w:w="220" w:type="dxa"/>
            <w:vAlign w:val="bottom"/>
            <w:gridSpan w:val="6"/>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349">
              <w:r>
                <w:rPr>
                  <w:rFonts w:ascii="Times New Roman" w:cs="Times New Roman" w:eastAsia="Times New Roman" w:hAnsi="Times New Roman"/>
                  <w:sz w:val="18"/>
                  <w:szCs w:val="18"/>
                  <w:color w:val="0000EE"/>
                  <w:w w:val="99"/>
                </w:rPr>
                <w:t>Guggenheim, Inc. and certain of its directors (incorporated by reference to Annex K-3 to the proxy statement/prospectus and was</w:t>
              </w:r>
            </w:hyperlink>
          </w:p>
        </w:tc>
        <w:tc>
          <w:tcPr>
            <w:tcW w:w="1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49">
              <w:r>
                <w:rPr>
                  <w:rFonts w:ascii="Times New Roman" w:cs="Times New Roman" w:eastAsia="Times New Roman" w:hAnsi="Times New Roman"/>
                  <w:sz w:val="18"/>
                  <w:szCs w:val="18"/>
                  <w:color w:val="0000EE"/>
                  <w:w w:val="99"/>
                </w:rPr>
                <w:t>previously included as Exhibit 10.3 to GGI’s current report on Form 8-K, filed March 25, 2022).</w:t>
              </w:r>
            </w:hyperlink>
          </w:p>
        </w:tc>
        <w:tc>
          <w:tcPr>
            <w:tcW w:w="2520" w:type="dxa"/>
            <w:vAlign w:val="bottom"/>
            <w:gridSpan w:val="1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tcPr>
          <w:p>
            <w:pPr>
              <w:spacing w:after="0"/>
              <w:rPr>
                <w:sz w:val="24"/>
                <w:szCs w:val="24"/>
                <w:color w:val="auto"/>
              </w:rPr>
            </w:pPr>
          </w:p>
        </w:tc>
        <w:tc>
          <w:tcPr>
            <w:tcW w:w="9480" w:type="dxa"/>
            <w:vAlign w:val="bottom"/>
            <w:gridSpan w:val="28"/>
          </w:tcPr>
          <w:p>
            <w:pPr>
              <w:spacing w:after="0"/>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Cooperation Agreement, dated April 1, 2020, by and between Polestar Automotive China Distribution Co., Ltd. and Hangzhou</w:t>
              </w:r>
            </w:hyperlink>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50">
              <w:r>
                <w:rPr>
                  <w:rFonts w:ascii="Times New Roman" w:cs="Times New Roman" w:eastAsia="Times New Roman" w:hAnsi="Times New Roman"/>
                  <w:sz w:val="18"/>
                  <w:szCs w:val="18"/>
                  <w:color w:val="0000EE"/>
                  <w:w w:val="99"/>
                </w:rPr>
                <w:t>Easybao Technology Co., Ltd.</w:t>
              </w:r>
            </w:hyperlink>
          </w:p>
        </w:tc>
        <w:tc>
          <w:tcPr>
            <w:tcW w:w="6900" w:type="dxa"/>
            <w:vAlign w:val="bottom"/>
            <w:tcBorders>
              <w:top w:val="single" w:sz="8" w:color="0000EE"/>
            </w:tcBorders>
            <w:gridSpan w:val="13"/>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4"/>
                <w:szCs w:val="24"/>
                <w:color w:val="auto"/>
              </w:rPr>
            </w:pPr>
          </w:p>
        </w:tc>
        <w:tc>
          <w:tcPr>
            <w:tcW w:w="9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351">
              <w:r>
                <w:rPr>
                  <w:rFonts w:ascii="Times New Roman" w:cs="Times New Roman" w:eastAsia="Times New Roman" w:hAnsi="Times New Roman"/>
                  <w:sz w:val="18"/>
                  <w:szCs w:val="18"/>
                  <w:color w:val="0000EE"/>
                  <w:w w:val="99"/>
                </w:rPr>
                <w:t>Finance Cooperation Agreement, dated as of June 1, 2021, between Polestar Automotive China Distribution Co., Ltd and Genius</w:t>
              </w:r>
            </w:hyperlink>
          </w:p>
        </w:tc>
        <w:tc>
          <w:tcPr>
            <w:tcW w:w="1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80" w:type="dxa"/>
            <w:vAlign w:val="bottom"/>
            <w:gridSpan w:val="28"/>
          </w:tcPr>
          <w:p>
            <w:pPr>
              <w:spacing w:after="0" w:line="196" w:lineRule="exact"/>
              <w:rPr>
                <w:rFonts w:ascii="Times New Roman" w:cs="Times New Roman" w:eastAsia="Times New Roman" w:hAnsi="Times New Roman"/>
                <w:sz w:val="18"/>
                <w:szCs w:val="18"/>
                <w:color w:val="0000EE"/>
              </w:rPr>
            </w:pPr>
            <w:hyperlink r:id="rId351">
              <w:r>
                <w:rPr>
                  <w:rFonts w:ascii="Times New Roman" w:cs="Times New Roman" w:eastAsia="Times New Roman" w:hAnsi="Times New Roman"/>
                  <w:sz w:val="18"/>
                  <w:szCs w:val="18"/>
                  <w:color w:val="0000EE"/>
                </w:rPr>
                <w:t>Auto Finance Co., Ltd.</w:t>
              </w:r>
            </w:hyperlink>
          </w:p>
        </w:tc>
      </w:tr>
      <w:tr>
        <w:trPr>
          <w:trHeight w:val="20"/>
        </w:trPr>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Pr>
          <w:p>
            <w:pPr>
              <w:spacing w:after="0"/>
              <w:rPr>
                <w:sz w:val="24"/>
                <w:szCs w:val="24"/>
                <w:color w:val="auto"/>
              </w:rPr>
            </w:pPr>
          </w:p>
        </w:tc>
        <w:tc>
          <w:tcPr>
            <w:tcW w:w="94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Framework Agreement on Import &amp; Export Polestar Vehicles, dated as of June 21, 2022, by and between Volvo Car Corporation</w:t>
            </w:r>
          </w:p>
        </w:tc>
      </w:tr>
      <w:tr>
        <w:trPr>
          <w:trHeight w:val="196"/>
        </w:trPr>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and Polestar Performance AB.</w:t>
            </w:r>
          </w:p>
        </w:tc>
        <w:tc>
          <w:tcPr>
            <w:tcW w:w="7060" w:type="dxa"/>
            <w:vAlign w:val="bottom"/>
            <w:tcBorders>
              <w:top w:val="single" w:sz="8" w:color="0000EE"/>
            </w:tcBorders>
            <w:gridSpan w:val="18"/>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Pr>
          <w:p>
            <w:pPr>
              <w:spacing w:after="0"/>
              <w:rPr>
                <w:sz w:val="24"/>
                <w:szCs w:val="24"/>
                <w:color w:val="auto"/>
              </w:rPr>
            </w:pPr>
          </w:p>
        </w:tc>
        <w:tc>
          <w:tcPr>
            <w:tcW w:w="93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Sale &amp; Purchase Agreement, dated as of June 21, 2022, by and between Volvo Cars USA LLC and Polestar Automotive USA Inc.</w:t>
            </w:r>
          </w:p>
        </w:tc>
        <w:tc>
          <w:tcPr>
            <w:tcW w:w="100" w:type="dxa"/>
            <w:vAlign w:val="bottom"/>
            <w:gridSpan w:val="2"/>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Pr>
          <w:p>
            <w:pPr>
              <w:spacing w:after="0"/>
              <w:rPr>
                <w:sz w:val="24"/>
                <w:szCs w:val="24"/>
                <w:color w:val="auto"/>
              </w:rPr>
            </w:pPr>
          </w:p>
        </w:tc>
        <w:tc>
          <w:tcPr>
            <w:tcW w:w="94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Importer Agreement, dated as of June 21, 2022, by and between Polestar Performance AB and Volvo Cars USA LLC.</w:t>
            </w: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tcPr>
          <w:p>
            <w:pPr>
              <w:spacing w:after="0"/>
              <w:rPr>
                <w:sz w:val="24"/>
                <w:szCs w:val="24"/>
                <w:color w:val="auto"/>
              </w:rPr>
            </w:pPr>
          </w:p>
        </w:tc>
        <w:tc>
          <w:tcPr>
            <w:tcW w:w="7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Form of Letter of Appointment as Non-Executive Director of Polestar Automotive Holding UK PLC.</w:t>
            </w:r>
          </w:p>
        </w:tc>
        <w:tc>
          <w:tcPr>
            <w:tcW w:w="1160" w:type="dxa"/>
            <w:vAlign w:val="bottom"/>
            <w:tcBorders>
              <w:top w:val="single" w:sz="8" w:color="0000EE"/>
            </w:tcBorders>
          </w:tcPr>
          <w:p>
            <w:pPr>
              <w:spacing w:after="0"/>
              <w:rPr>
                <w:sz w:val="24"/>
                <w:szCs w:val="24"/>
                <w:color w:val="auto"/>
              </w:rPr>
            </w:pPr>
          </w:p>
        </w:tc>
        <w:tc>
          <w:tcPr>
            <w:tcW w:w="1000" w:type="dxa"/>
            <w:vAlign w:val="bottom"/>
            <w:gridSpan w:val="15"/>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4"/>
                <w:szCs w:val="24"/>
                <w:color w:val="auto"/>
              </w:rPr>
            </w:pPr>
          </w:p>
        </w:tc>
        <w:tc>
          <w:tcPr>
            <w:tcW w:w="3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Subsidiaries of Polestar Automotive UK PLC.</w:t>
            </w:r>
          </w:p>
        </w:tc>
        <w:tc>
          <w:tcPr>
            <w:tcW w:w="6140" w:type="dxa"/>
            <w:vAlign w:val="bottom"/>
            <w:gridSpan w:val="22"/>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24"/>
                <w:szCs w:val="24"/>
                <w:color w:val="auto"/>
              </w:rPr>
            </w:pPr>
          </w:p>
        </w:tc>
        <w:tc>
          <w:tcPr>
            <w:tcW w:w="94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Financial Statements of Gores Guggenheim, Inc.</w:t>
            </w:r>
          </w:p>
        </w:tc>
      </w:tr>
      <w:tr>
        <w:trPr>
          <w:trHeight w:val="385"/>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tcBorders>
              <w:top w:val="single" w:sz="8" w:color="0000EE"/>
            </w:tcBorders>
            <w:gridSpan w:val="7"/>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229</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46" w:right="479" w:bottom="1440" w:gutter="0" w:footer="0" w:header="0"/>
        </w:sectPr>
      </w:pPr>
    </w:p>
    <w:bookmarkStart w:id="232" w:name="page233"/>
    <w:bookmarkEnd w:id="2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Financial Statements of Gores Guggenheim, Inc.</w:t>
            </w: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4"/>
                <w:szCs w:val="24"/>
                <w:color w:val="auto"/>
              </w:rPr>
            </w:pPr>
          </w:p>
        </w:tc>
        <w:tc>
          <w:tcPr>
            <w:tcW w:w="7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KPMG LLP, former independent registered accounting firm to Gores Guggenheim, Inc.</w:t>
            </w:r>
          </w:p>
        </w:tc>
        <w:tc>
          <w:tcPr>
            <w:tcW w:w="1960" w:type="dxa"/>
            <w:vAlign w:val="bottom"/>
            <w:gridSpan w:val="3"/>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accounting firm to Gores Guggenheim, Inc.</w:t>
            </w: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4"/>
                <w:szCs w:val="24"/>
                <w:color w:val="auto"/>
              </w:rPr>
            </w:pPr>
          </w:p>
        </w:tc>
        <w:tc>
          <w:tcPr>
            <w:tcW w:w="76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Deloitte AB, independent registered accounting firm to Polestar Automotive Holding Limited.</w:t>
            </w:r>
          </w:p>
        </w:tc>
        <w:tc>
          <w:tcPr>
            <w:tcW w:w="2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4"/>
                <w:szCs w:val="24"/>
                <w:color w:val="auto"/>
              </w:rPr>
            </w:pPr>
          </w:p>
        </w:tc>
        <w:tc>
          <w:tcPr>
            <w:tcW w:w="91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Deloitte AB, independent registered accounting firm to Polestar Automotive Holding UK PLC (formerly known as</w:t>
            </w: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Polestar Automotive Holding UK Limited).</w:t>
            </w:r>
          </w:p>
        </w:tc>
        <w:tc>
          <w:tcPr>
            <w:tcW w:w="5960" w:type="dxa"/>
            <w:vAlign w:val="bottom"/>
            <w:gridSpan w:val="7"/>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4"/>
                <w:szCs w:val="24"/>
                <w:color w:val="auto"/>
              </w:rPr>
            </w:pPr>
          </w:p>
        </w:tc>
        <w:tc>
          <w:tcPr>
            <w:tcW w:w="4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353">
              <w:r>
                <w:rPr>
                  <w:rFonts w:ascii="Times New Roman" w:cs="Times New Roman" w:eastAsia="Times New Roman" w:hAnsi="Times New Roman"/>
                  <w:sz w:val="18"/>
                  <w:szCs w:val="18"/>
                  <w:color w:val="0000EE"/>
                  <w:w w:val="99"/>
                </w:rPr>
                <w:t>Declaration of Intent, dated March 3, 2022, by Snita Holding B.V.</w:t>
              </w:r>
            </w:hyperlink>
          </w:p>
        </w:tc>
        <w:tc>
          <w:tcPr>
            <w:tcW w:w="4340" w:type="dxa"/>
            <w:vAlign w:val="bottom"/>
            <w:gridSpan w:val="5"/>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4"/>
                <w:szCs w:val="24"/>
                <w:color w:val="auto"/>
              </w:rPr>
            </w:pPr>
          </w:p>
        </w:tc>
        <w:tc>
          <w:tcPr>
            <w:tcW w:w="9100" w:type="dxa"/>
            <w:vAlign w:val="bottom"/>
            <w:gridSpan w:val="8"/>
          </w:tcPr>
          <w:p>
            <w:pPr>
              <w:spacing w:after="0"/>
              <w:rPr>
                <w:rFonts w:ascii="Times New Roman" w:cs="Times New Roman" w:eastAsia="Times New Roman" w:hAnsi="Times New Roman"/>
                <w:sz w:val="18"/>
                <w:szCs w:val="18"/>
                <w:color w:val="0000EE"/>
              </w:rPr>
            </w:pPr>
            <w:hyperlink r:id="rId354">
              <w:r>
                <w:rPr>
                  <w:rFonts w:ascii="Times New Roman" w:cs="Times New Roman" w:eastAsia="Times New Roman" w:hAnsi="Times New Roman"/>
                  <w:sz w:val="18"/>
                  <w:szCs w:val="18"/>
                  <w:color w:val="0000EE"/>
                </w:rPr>
                <w:t>Declaration of Intent, dated March 3, 2022, by PSD Investment Ltd.</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right="220" w:hanging="424"/>
        <w:spacing w:after="0" w:line="250"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Registration Statement on Form F-4 and the proxy statement/prospectus included therein (File No. 333-360992) and filed with the SEC on May 23, 2022.</w:t>
      </w:r>
    </w:p>
    <w:p>
      <w:pPr>
        <w:spacing w:after="0" w:line="1"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4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line="1" w:lineRule="exact"/>
        <w:rPr>
          <w:sz w:val="20"/>
          <w:szCs w:val="20"/>
          <w:color w:val="auto"/>
        </w:rPr>
      </w:pPr>
    </w:p>
    <w:p>
      <w:pPr>
        <w:ind w:left="5480" w:right="1100" w:hanging="5364"/>
        <w:spacing w:after="0" w:line="433" w:lineRule="auto"/>
        <w:tabs>
          <w:tab w:leader="none" w:pos="53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the exhibit have been omitted in accordance with Regulation S-K Item 601(a)(5). 230</w:t>
      </w:r>
    </w:p>
    <w:p>
      <w:pPr>
        <w:sectPr>
          <w:pgSz w:w="11900" w:h="16838" w:orient="portrait"/>
          <w:cols w:equalWidth="0" w:num="1">
            <w:col w:w="10760"/>
          </w:cols>
          <w:pgMar w:left="320" w:top="446" w:right="8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29, 2022</w:t>
      </w:r>
    </w:p>
    <w:p>
      <w:pPr>
        <w:spacing w:after="0" w:line="248"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140"/>
          </w:cols>
          <w:pgMar w:left="320" w:top="455" w:right="439" w:bottom="1440" w:gutter="0" w:footer="0" w:header="0"/>
        </w:sectPr>
      </w:pPr>
    </w:p>
    <w:bookmarkStart w:id="234" w:name="page235"/>
    <w:bookmarkEnd w:id="2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980" w:type="dxa"/>
            <w:vAlign w:val="bottom"/>
            <w:gridSpan w:val="11"/>
          </w:tcPr>
          <w:p>
            <w:pPr>
              <w:spacing w:after="0"/>
              <w:rPr>
                <w:sz w:val="17"/>
                <w:szCs w:val="17"/>
                <w:color w:val="auto"/>
              </w:rPr>
            </w:pPr>
          </w:p>
        </w:tc>
        <w:tc>
          <w:tcPr>
            <w:tcW w:w="1740" w:type="dxa"/>
            <w:vAlign w:val="bottom"/>
          </w:tcPr>
          <w:p>
            <w:pPr>
              <w:spacing w:after="0"/>
              <w:rPr>
                <w:sz w:val="17"/>
                <w:szCs w:val="17"/>
                <w:color w:val="auto"/>
              </w:rPr>
            </w:pPr>
          </w:p>
        </w:tc>
      </w:tr>
      <w:tr>
        <w:trPr>
          <w:trHeight w:val="53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7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tc>
        <w:tc>
          <w:tcPr>
            <w:tcW w:w="17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years ended December 31, 2021, 2020 and 2019</w:t>
            </w:r>
          </w:p>
        </w:tc>
        <w:tc>
          <w:tcPr>
            <w:tcW w:w="1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00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for the Years Ended December 31, 2021, 2020 and 2019</w:t>
            </w:r>
          </w:p>
        </w:tc>
        <w:tc>
          <w:tcPr>
            <w:tcW w:w="272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2021, 2020 and 2019</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120" w:type="dxa"/>
            <w:vAlign w:val="bottom"/>
          </w:tcPr>
          <w:p>
            <w:pPr>
              <w:spacing w:after="0"/>
              <w:rPr>
                <w:sz w:val="17"/>
                <w:szCs w:val="17"/>
                <w:color w:val="auto"/>
              </w:rPr>
            </w:pPr>
          </w:p>
        </w:tc>
        <w:tc>
          <w:tcPr>
            <w:tcW w:w="7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2021 and 2020</w:t>
            </w:r>
          </w:p>
        </w:tc>
        <w:tc>
          <w:tcPr>
            <w:tcW w:w="160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and 2019</w:t>
            </w:r>
          </w:p>
        </w:tc>
        <w:tc>
          <w:tcPr>
            <w:tcW w:w="2220" w:type="dxa"/>
            <w:vAlign w:val="bottom"/>
            <w:gridSpan w:val="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Changes in Equity for the Years Ended December 31, 2021, 2020 and 2019</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37"/>
        </w:trPr>
        <w:tc>
          <w:tcPr>
            <w:tcW w:w="120" w:type="dxa"/>
            <w:vAlign w:val="bottom"/>
          </w:tcPr>
          <w:p>
            <w:pPr>
              <w:spacing w:after="0"/>
              <w:rPr>
                <w:sz w:val="20"/>
                <w:szCs w:val="20"/>
                <w:color w:val="auto"/>
              </w:rPr>
            </w:pPr>
          </w:p>
        </w:tc>
        <w:tc>
          <w:tcPr>
            <w:tcW w:w="73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60" w:type="dxa"/>
            <w:vAlign w:val="bottom"/>
            <w:gridSpan w:val="3"/>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540"/>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(formerly known as Polestar Automotive Holding UK Limited)</w:t>
            </w:r>
          </w:p>
        </w:tc>
        <w:tc>
          <w:tcPr>
            <w:tcW w:w="17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period September 15, 2021 to December 31, 2021</w:t>
            </w:r>
          </w:p>
        </w:tc>
        <w:tc>
          <w:tcPr>
            <w:tcW w:w="1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F-66</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Financial Position as of September 15, 2021 and December 31, 2021</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F-67</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Equity for the period September 15, 2021 to December 31, 2021</w:t>
            </w:r>
          </w:p>
        </w:tc>
        <w:tc>
          <w:tcPr>
            <w:tcW w:w="178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F-68</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F-69</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gridSpan w:val="8"/>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174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Consolidated Financial Statements for the Years Ended December 31, 2021, 2020 and 2019</w:t>
      </w:r>
    </w:p>
    <w:p>
      <w:pPr>
        <w:spacing w:after="0" w:line="1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0139"/>
          </w:cols>
          <w:pgMar w:left="320" w:top="455"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Polestar Automotive Holding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financial position of Polestar Automotive Holding Limited (the “Company”) as of December 31, 2021 and 2020, the related consolidated statements of loss and comprehensive loss,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(IFRS) as issued by the International Accounting Standards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for the years ended December 31, 2021, 2020 and 2019, have been prepared assuming that the Company will continue as a going concern. As discussed in Note 1 to the financial statements, the Company’s recurring losses from operations raise substantial doubt about its ability to continue as a going concern. Management’s plans concerning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40" w:hanging="4"/>
        <w:spacing w:after="0" w:line="255" w:lineRule="auto"/>
        <w:tabs>
          <w:tab w:leader="none" w:pos="3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Notes 1 and 4 to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revenue primarily consists of revenue from the sales of vehicles, which are sold to individuals (end customers), fleet customers, financial service providers, and dealers based on contractual agreements. The Company recognizes revenue at the point in time when the customer obtains control of the vehicle, and thus has the ability to direct the use of, and obtain the benefits from, the vehicle. During the year ended December 31, 2021, the Company recognized approximately $1,290 million of revenue related to sales of vehicles.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identified revenue recognition related to the sales of vehicles as a critical audit matter because of the nature of the various agreements and the complexity of certain terms in these contracts, such as the existence of repurchase commitments. This required both extensive audit effort due to the variation in terms between, and complexity of some of the contracts, as well as a high degree of auditor judgment in determining the audit procedures as well as the nature and extent of audit evidence required to determine that revenue recognition was appropriate.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disclosed by management, the Company identified a material weakness in its internal controls over revenue recognition, which impacted this matter.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also included evaluating the nature and extent of audit procedures performed. Our audit procedures related to revenue recognized for the sale of vehicles included, but were not limited to:</w:t>
      </w:r>
    </w:p>
    <w:p>
      <w:pPr>
        <w:spacing w:after="0" w:line="203" w:lineRule="exact"/>
        <w:rPr>
          <w:sz w:val="20"/>
          <w:szCs w:val="20"/>
          <w:color w:val="auto"/>
        </w:rPr>
      </w:pPr>
    </w:p>
    <w:p>
      <w:pPr>
        <w:ind w:left="540" w:right="400" w:hanging="316"/>
        <w:spacing w:after="0" w:line="282" w:lineRule="auto"/>
        <w:tabs>
          <w:tab w:leader="none" w:pos="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obtained an understanding of management’s process for identifying and reviewing contracts with customers and determining the revenue recognition treatment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right="380" w:hanging="316"/>
        <w:spacing w:after="0" w:line="266" w:lineRule="auto"/>
        <w:tabs>
          <w:tab w:leader="none" w:pos="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with customers, we obtained the contract and reviewed the contract for those terms that could impact the appropriateness of revenue recognition. For those contracts identified with complex terms, we evaluated whether the Company appropriately accounted for those contracts in accordance with IFRS 15.</w:t>
      </w:r>
    </w:p>
    <w:p>
      <w:pPr>
        <w:spacing w:after="0" w:line="202" w:lineRule="exact"/>
        <w:rPr>
          <w:rFonts w:ascii="Times New Roman" w:cs="Times New Roman" w:eastAsia="Times New Roman" w:hAnsi="Times New Roman"/>
          <w:sz w:val="18"/>
          <w:szCs w:val="18"/>
          <w:color w:val="auto"/>
        </w:rPr>
      </w:pPr>
    </w:p>
    <w:p>
      <w:pPr>
        <w:jc w:val="both"/>
        <w:ind w:left="540" w:right="40" w:hanging="316"/>
        <w:spacing w:after="0" w:line="266" w:lineRule="auto"/>
        <w:tabs>
          <w:tab w:leader="none" w:pos="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detail transaction testing for a sample of revenue, by obtaining and inspecting sales orders or contracts with the customer and other related source documents, including delivery documents, invoices and cash receipts, as applicable, to determine that control has transferred to the customer</w:t>
      </w:r>
    </w:p>
    <w:p>
      <w:pPr>
        <w:spacing w:after="0" w:line="81"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audit evidence obtained throughout our audit as to whether there is any wider information relevant to the point in time at which the Company recognizes revenue</w:t>
      </w:r>
      <w:r>
        <w:rPr>
          <w:rFonts w:ascii="Times New Roman" w:cs="Times New Roman" w:eastAsia="Times New Roman" w:hAnsi="Times New Roman"/>
          <w:sz w:val="18"/>
          <w:szCs w:val="18"/>
          <w:i w:val="1"/>
          <w:iCs w:val="1"/>
          <w:color w:val="auto"/>
        </w:rPr>
        <w: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5"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except per share data and unless otherwise stated)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92,415</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(1,336,321)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(553,724)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(39,790)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56,521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52,625</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(232,922)</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(183,849)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(48,053)</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(190,994)</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(21,192)</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(1,007,118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(471,323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(1,007,454)</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(484,858)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(197,975)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(33,149)</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30,266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30,266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r>
      <w:tr>
        <w:trPr>
          <w:trHeight w:val="2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the year ended December 31,</w:t>
            </w:r>
          </w:p>
        </w:tc>
      </w:tr>
      <w:tr>
        <w:trPr>
          <w:trHeight w:val="142"/>
        </w:trPr>
        <w:tc>
          <w:tcPr>
            <w:tcW w:w="82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83"/>
        </w:trPr>
        <w:tc>
          <w:tcPr>
            <w:tcW w:w="8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and goodwill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1,368,356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1,171,337</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9, 13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208,193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Vehicles under operating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7"/>
                <w:szCs w:val="17"/>
                <w:color w:val="auto"/>
              </w:rPr>
            </w:pP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1,702,707</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1,376,607</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756,677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316,424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Marketable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receivables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99,250</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receivables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15, 23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208,444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income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545,743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tax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1,606,986</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1,171,957</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2,548,564</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(1,865,909)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(1,318,752)</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contributed capital</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(35,231)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reserve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16,784</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(16,365)</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1,761,860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754,406</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(122,496)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(580,711)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(28,922)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(12,424)</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(6,548)</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provisions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(38,711)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(18,537)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(11,764)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interest-bearing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(66,575)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(61,840)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(146,481)</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(99,661)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payables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(114,296)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(67,985)</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payables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(1,427,678)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(1,077,423)</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 related parties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(315,756)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(104,997)</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Advance payments from customers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(36,415)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(25,586)</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(44,042)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(35,579)</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Liabilities to credit institutions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(642,338)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(363,490)</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tax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(13,089)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(9,671)</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(10,283)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(11,187)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21, 23</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(13,789)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(58,368)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(4,648)</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(364,662)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(167,626)</w:t>
            </w:r>
          </w:p>
        </w:tc>
      </w:tr>
      <w:tr>
        <w:trPr>
          <w:trHeight w:val="27"/>
        </w:trPr>
        <w:tc>
          <w:tcPr>
            <w:tcW w:w="8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(3,040,716)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(1,868,192)</w:t>
            </w: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(3,187,197)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(1,967,853)</w:t>
            </w:r>
          </w:p>
        </w:tc>
        <w:tc>
          <w:tcPr>
            <w:tcW w:w="120" w:type="dxa"/>
            <w:vAlign w:val="bottom"/>
          </w:tcPr>
          <w:p>
            <w:pPr>
              <w:spacing w:after="0"/>
              <w:rPr>
                <w:sz w:val="18"/>
                <w:szCs w:val="18"/>
                <w:color w:val="auto"/>
              </w:rPr>
            </w:pP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(2,548,564)</w:t>
            </w:r>
          </w:p>
        </w:tc>
      </w:tr>
      <w:tr>
        <w:trPr>
          <w:trHeight w:val="20"/>
        </w:trPr>
        <w:tc>
          <w:tcPr>
            <w:tcW w:w="8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(1,007,454)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(484,858)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239,164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216,077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32,552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(reversals) for warranties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63,114</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58,651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35,984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(32,969)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(16,226)</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21,192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(gains) on disposals of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expense and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14,048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(169,816)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(428,067)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(20,801)</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(120,626)</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17,071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48,574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(268,004)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(62,316)</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519,676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764,661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46,471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13,286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(12,564)</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(312,156)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(57,050)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(190,059)</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(49,599)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(71,784)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(104,971)</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(194,108)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(213,664)</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(129,672)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(285,448)</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deposits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48,830</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134,681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205,681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698,882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569,087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388,625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(411,950)</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(780,167)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(365,840)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(8,578)</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582,388</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438,340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247,880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909,572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359,643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475,407</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440,253</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80,226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(18,860)</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236,198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255,058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236,198</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5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3"/>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left w:val="single" w:sz="8" w:color="auto"/>
            </w:tcBorders>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(197,975)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247,880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247,880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879,232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(13,901)</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(274,169)</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591,162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(484,858)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30,266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(879,232)</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438,340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438,340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1,318,752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16,365</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(754,406)</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(1,007,454)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547,157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547,157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1,865,909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(1,761,860)</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Polestar Automotive Holding Limited (the “Parent”), together with its subsidiaries, hereafter referred to as “Polestar,” “Polestar Group” or the “Group,” is a limited company incorporated in Hong Kong. Polestar Group operates principally in the automotive industry, engaging in research and development, manufacturing, branding and marketing, and the commercialisation and selling of vehicles, technology solutions and services related to battery electric vehicles. Polestar Group has a presence in nineteen markets across Europe, North America, and Asia. Polestar Group has its management headquarters located at Assar Gabrielssons väg 9, 41878 Göteborg, Sweden.</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September 2020, a common control transaction restructured Polestar Group such that the parent company changed from Polestar Automotive (Shanghai) Co., Ltd (incorporated in the People’s Republic of China) to Polestar Automotive Holding Limited (incorporated in Hong Kong). Refer to Note 3 – Common control transaction for more details.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operations remained unchanged through this transaction. However, the jurisdiction changed from China to Hong Kong and the reporting currency changed from the Renminbi (“CNY”), the official currency of the People’s Republic of China, to the United States dollar (“USD”). The reporting currency of Polestar Group is the same as the currency of the registered share capital of the parent company.</w:t>
      </w:r>
    </w:p>
    <w:p>
      <w:pPr>
        <w:spacing w:after="0" w:line="176"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September 27, 2021, Polestar Group entered into a business combination agreement with Gores Guggenheim Inc., a Special Purpose Acquisition Company (“SPAC”). Immediately following the closing of the proposed transaction, the post-combination company intends to change its name to Polestar Automotive Holding UK Limited and expects to begin trading on the National Association of Securities Dealers Automated Quotations (“NASDAQ”) under the ticker symbol “PSNY.”</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2021, PSD Investment Limited, a company controlled by Mr. Li Shufu, a private person, owns 42.7% of the Group. An additional 49.5% is owned by Volvo Cars via its subsidiaries Snita Holding B.V. and PS Investment AB, both limited companies. Other related parties and management own 1.8%, and the remaining 6.0% ownership is held by external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annual report of Polestar Group are prepared in accordance with the International Financial Reporting Standards (“IFRS”) issued by the International Accounting Standards Board (“IASB”). The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annual report is prepared in the presentation currency USD.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Polestar Group’s financial statements have been prepared on a basis that assumes Polestar Group will continue as a going concern and the ordinary course of business will continue in alignment with Management’s 2022-2025 business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2021, 2020 and 2019, amounted to $1,007,454, $484,858 and $197,975, respectively. Negative operating and investing cash flows for the years ended December 31, 2021, 2020 and 2019, amounted to $441,828, $300,757 and $475,507.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private equity contributions from existing shareholders, and the successful public listing in the United States from a merger with a SPAC that is expected to be completed in the first half of 2022. The timely realisation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18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new and amended IFRS</w:t>
      </w:r>
    </w:p>
    <w:p>
      <w:pPr>
        <w:spacing w:after="0" w:line="11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has not or will not have a material impact on the Group’s financial statements.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2020, the IASB published an amendment to IFRS 16 – Leases (“IFRS 16”) – COVID-19-Related Rent Concessions in which they provide an accounting policy choice to lessees to apply practical relief for rent concessions arising due to the COVID-19 pandemic. The practical expedient permits a lessee to elect not to assess whether a COVID-19-related rent concession is a lease modification and instead account for any change in lease payments resulting from the COVID-19-related rent concessions as it would under IFRS 16 – Leases, if the change were not a lease modification. In March 2021, the IASB published an amendment to IFRS 16 for Covid-19-related rent concessions beyond June 30, 2021 that extends the applicability of the 2020 amendment to IFRS 16.</w:t>
      </w:r>
    </w:p>
    <w:p>
      <w:pPr>
        <w:spacing w:after="0" w:line="187"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August 2020, the IASB published Interest Rate Benchmark Reform Phase 2 (Amendments to IFRS 9 – Financial Instruments (“IFRS 9”), IAS 39, IFRS 7, IFRS 4 – Insurance Contracts (“IFRS 4”) and IFRS 16), finalising its response to the ongoing reform of interest rate benchmarks around the world. The amendments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relate to changes to contractual cash flows, hedge accounting, and disclosures. For changes to contractual cash flows, a company is not required to derecognise or adjust the carrying amount of a financial instrument for changes required by the interest rate benchmark reform but will instead update the effective interest rate to reflect the change to the alternative benchmark rate. Related to hedge accounting, a company does not have to discontinue its hedge accounting solely because it makes changes required by the interest rate benchmark reform if the hedge meets other hedge accounting criteria. Amendments to disclosure requirements aim to assist reporting entities to provide investors with useful information about the effects of the reform on their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and amended IFRS issued but not yet effective</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that were issued but not effective for the period ended December 31, 2021, will not have a material impact on the Group’s financial statements.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amendment to IFRS 3 updates reference to the Conceptual Framework for Financial Reporting and adds an exception for the recognition of liabilities and contingent liabilities within the scope of IAS 37 – Provisions, Contingent Liabilities and Contingent Assets (“IAS 37”) and IFRIC Interpretation 21 – Liens (“IFRIC 21”). The amendment also clarifies that contingent assets acquired in a business combination should not be recognised by the acquirer at the acquisition date. This amendment will be effective for annual reporting periods beginning on or after January 1, 2022.</w:t>
      </w:r>
    </w:p>
    <w:p>
      <w:pPr>
        <w:spacing w:after="0" w:line="180"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amendment to IAS 37 clarifies that both incremental and other contract performance costs directly related to the performance of the contracts are classified as direct contract performance costs. This amendment will be effective for annual reporting periods beginning on or after January 1, 2022.</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Amendments to IAS 16 – Property, Plant and Equipment (“IAS 16”) clarify the accounting for costs related to the sale of property, plant and equipment (“PPE”). The amendment prohibits deducting proceeds produced before an asset is available for use from its cost. Accordingly, an entity will recognise such sales proceeds and related costs in profit or loss. The amendment also clarifies the meaning of “testing whether an asset is functioning properly” as assessing if the technical and physical performance of the asset matches the capabilities needed to be used in the production or supply of goods or services, for rental to others, or for administrative purposes. The amendments are effective for annual periods beginning on or after January 1, 2022.</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amendments to IAS 1 clarify that the presentation of liabilities as current or non-current is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2023.</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amendment to IFRS 10 – Consolidated Financial Statement (“IFRS 10”) and IAS 28 – Investments in Associates and Joint Ventures (“IAS 28”) clarifies the accounting treatment of sales or contributions of assets between an investor and its associates or joint ventures. If the non-cash asset sold or contributed constitutes a business under IFRS 3, the full gain or loss will be recognised by the investor. If the assets do not meet the definition of a business, the investor will recognise a gain or loss only to the extent of the investment of the other investors in the joint venture. An effective date has yet to be set for this amendment.</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differences using amounts reported by its parent, ii) IFRS 9 in relation to which fees an entity includes when 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June 2020, the IASB published amendments to IFRS 4 which deferred the expiry date of the temporary exemption from applying IFRS 9 to annual periods beginning on or after January 1, 2023.</w:t>
      </w:r>
    </w:p>
    <w:p>
      <w:pPr>
        <w:spacing w:after="0" w:line="162"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2023.</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8: Definition of Accounting Estimates which clarify how companies should distinguish changes in accounting policies from changes in accounting estimates. These amendments are effective on or after January 1, 2023. The Group does not expect any material impact from the adoption of these amendments.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The Group does not expect any material impact from the adoption of these amendments.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The Group does not expect any impact from the adoption of this amendment.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an asset is classified as a current asset when it is held primarily for the purpose of trading, is expected to be realised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consolidated accounts include the Parent company and all subsidiaries over which the Parent, either directly or indirectly, exercises control. The Parent controls an entity when the Parent is exposed to, or has rights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2021, 2020 and 2019, the Parent had thirty-three, eighteen, and twelve fully consolidated subsidiaries,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Polestar Group uses the “management approach” in determining reportable operating segments. The management approach considers the internal organisation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Polestar Group’s revenue from external customers and non-current assets (PPE and intangibles and goodwill) by geographical location: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150,133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34,880</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1,591,767</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1,373,009</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1,016,340</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2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F-14</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340" w:hanging="224"/>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 Other regions primarily consist of Belgium, Switzerland, and Denmark in 2021. Other regions primarily consist of Belgium in 2020.</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 Non-current assets: Other regions primarily consist of Canada in 2021. Other regions primarily consist of Belgium in 2020.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of the Group, transactions in currencies other than the entity’s functional currency (i.e., foreign currencies) are recognised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recognised in the Consolidated Statement of Loss.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information about currency risk, see Note 2 – Financial risk management</w:t>
      </w:r>
      <w:r>
        <w:rPr>
          <w:rFonts w:ascii="Times New Roman" w:cs="Times New Roman" w:eastAsia="Times New Roman" w:hAnsi="Times New Roman"/>
          <w:sz w:val="18"/>
          <w:szCs w:val="18"/>
          <w:i w:val="1"/>
          <w:iCs w:val="1"/>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spacing w:after="0" w:line="183" w:lineRule="exact"/>
        <w:rPr>
          <w:sz w:val="20"/>
          <w:szCs w:val="20"/>
          <w:color w:val="auto"/>
        </w:rPr>
      </w:pPr>
    </w:p>
    <w:p>
      <w:pPr>
        <w:ind w:left="120" w:right="20" w:hanging="4"/>
        <w:spacing w:after="0" w:line="282" w:lineRule="auto"/>
        <w:tabs>
          <w:tab w:leader="none" w:pos="30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 determining the transaction price of performance obligations included with sales of vehicles, variable consideration for volume related discounts to fleet customers, and revenue from sales of vehicles with repurchase obligations – Note 4 – Revenue.</w:t>
      </w:r>
    </w:p>
    <w:p>
      <w:pPr>
        <w:spacing w:after="0" w:line="161"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 capitalizing intellectual property and determining the useful lives – Note 12 – Intangible assets and goodwill.</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testing – Note 12 – Intangible assets and goodwill.</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loss carry-forwards – Note 10 – Income tax expense.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Cash consists of cash in banks with an original term of three months or less. All highly-liquid, short-term investments that are readily convertible to known amounts of cash and subject to an insignificant risk of changes in value are classified as cash equivalents.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Consolidated Statement of Cash Flows, cash and cash equivalents consists of cash and cash equivalents as defined above.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Marketable securities are financial instruments with maturities less than one year that can quickly be converted into cash. Polestar’s marketable securities consist of short-term money market funds (i.e., time deposits in banks). The balance in marketable securities as of December 31, 2021 and 2020 amounted to $1,258 and nil, respectively</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Restricted cash mainly consists of deposits that have been pledged to secure short-term bank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balance in restricted cash as of December 31, 2021 and 2020 amounted to nil and $50,206,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Group did not have any other cash and cash equivalents balances held by entities that are not available for use by the Group. Cash and cash equivalents held in Chinese entities are available for use by the Group via an intercompany short-term revolving credit facility.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left="120" w:right="280"/>
        <w:spacing w:after="0" w:line="258" w:lineRule="auto"/>
        <w:rPr>
          <w:sz w:val="20"/>
          <w:szCs w:val="20"/>
          <w:color w:val="auto"/>
        </w:rPr>
      </w:pPr>
      <w:r>
        <w:rPr>
          <w:rFonts w:ascii="Times New Roman" w:cs="Times New Roman" w:eastAsia="Times New Roman" w:hAnsi="Times New Roman"/>
          <w:sz w:val="18"/>
          <w:szCs w:val="18"/>
          <w:color w:val="auto"/>
        </w:rPr>
        <w:t>The Group’s subsidiaries based in the People’s Republic of China received government grants which were conditioned to be used for production and production related costs and grants for non-specified purposes. These grants are not tied to the future trends or performance of the Group and are not required to be refunded under any circumstance. Receipt of such grants are either reported as a deduction to the related expense or as other operating income, depending on the nature of the grant received. For the years ended December 31, 2021 and 2020, government grants amounted to $309 and $1,284,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what it believes are the primary economic factors that may impact the nature, amount, timing, and uncertainty of revenue and cash flows from customer contracts.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vehicles</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Revenue from the sales of vehicles includes sales of the Group’s vehicles as well as related accessories and services. Revenue is recognised when the customer obtains control of delivered goods or services, and thus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ability to direct the use of, and obtain the benefits from, the goods or services. Polestar Group includes various services and maintenance (i.e., extended service) offers with the sale of each vehicle for a period of time specified in the contract.</w:t>
      </w:r>
    </w:p>
    <w:p>
      <w:pPr>
        <w:spacing w:after="0" w:line="162"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recognised on a straight-line basis over the contract period as a stand-ready obligation. The deferred revenue is presented as contract liabilities, since the customers’ payments are made before the services are transferred.</w:t>
      </w:r>
    </w:p>
    <w:p>
      <w:pPr>
        <w:spacing w:after="0" w:line="19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recognised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7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Vehicles are sold to individuals (end customers), fleet customers, financial service providers, and dealers. Since commercialisation of Polestar vehicles commenced in the third quarter of 2020, the Group had not recognised a significant number of customer returns, and therefore has not accrued any obligations for returns, refunds, or other similar obligations for the years ended December 31, 2021 and 2020.</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recognising RVGs and amend how it accounts for them, if necessary.</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There are no significant payment terms for end customers, fleet customers, financial service providers, or dealers as payment is due on or near the date of invoice.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Consideration received by fleet customers is variable in nature as the customer can receive volume related discounts, which are annual rebates based on the number of vehicles ordered throughout the year. There is no significant variability in consideration received from other customers.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software and performance engineered kits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software occur.</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Revenue from the sales of performance engineered kits is related to intellectual property licensed to Volvo Cars under which Volvo Cars obtained rights to provide optimisations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vehicles with the performance engineered kits occur. During the year ended December 31, 2019, revenue from the sale of performance engineered kits was inclusive of a one-time contract termination fee paid by Volvo Cars that was accounted for as a contract modification. Polestar Group and Volvo Cars entered into a new license agreement in December 2020.</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carbon credits</w:t>
      </w:r>
    </w:p>
    <w:p>
      <w:pPr>
        <w:spacing w:after="0" w:line="11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Revenue from the sale of carbon credits is recognised when the performance obligation is satisfied and when the customer, an original equipment manufacturer (“OEM”), obtains control of the carbon credits and has the ability to direct the use of, and obtain the benefits from, the carbon credits transferred.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Vehicle leasing revenue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Operating leases are initially measured at cost and depreciated on a straight-line basis over the lease term to the estimated residual value. Incremental direct costs incurred in connection with the acquisition of operating lease contracts are capitalised and also amortised on a straight-line basis over the lease term. In the Consolidated Statement of Financial Position, such operating leases are presented as vehicles under operating leases and recognised as PPE. Vehicle leasing revenue is recognised on a straight-line basis over the lease term. For sales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vehicles with repurchase obligations that are accounted for as operating leases, the entire amount due to Polestar is paid up-front at contract inception.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is recorded for the difference between the cash received from the sale of the vehicle and the vehicle’s repurchase value.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recognised over time.</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parts and accessories occur.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Contract liabilities to customers are obligations related to contracts with customers and are recognised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the Group satisfies its performance obligations, revenue is recognised, and the contract liability is reduced. As stated above, delivery of services and maintenance is within the customer’s control. Accordingly, the Group expects to recognise revenue related to such service contract liabilities over the 3-year period following initial recognition, consistent with the terms of the contractually offered services. Related to connected services, the Group expects to recognise revenue over the 8-year period following initial recognition, consistent with the expected utilisation of the services. In the case of volume related discounts that are triggered over time, a short-term contract liability will also be recognised as payment is due within a twelve-month period, in line with contractual payment terms. For deferred revenue generated through operating leases, the Group expects to recognise revenue on a straight-line basis, consistent with the terms of the contract. During the third quarter of 2020, the Group entered the commercial space and started selling vehicles, generating contract liabilities in 2020 that did not previously exist in 2019.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For the years ended December 31, 2021, 2020 and 2019, cost of sales amounted to $1,336,321, $553,724 and $39,790, respectively. Costs of sales are related to the sales of vehicles and related accessories and services, which includes depreciation related to PPE and right-of-use (“ROU”) assets and amortisation of manufacturing engineering. Sales of software and performance engineered kits and other revenue are related to items which were originally developed with the intent of internal use, not with the intent to sell. As such, all costs were appropriately capitalised or expensed as described in </w:t>
      </w:r>
      <w:r>
        <w:rPr>
          <w:rFonts w:ascii="Times New Roman" w:cs="Times New Roman" w:eastAsia="Times New Roman" w:hAnsi="Times New Roman"/>
          <w:sz w:val="18"/>
          <w:szCs w:val="18"/>
          <w:i w:val="1"/>
          <w:iCs w:val="1"/>
          <w:color w:val="auto"/>
        </w:rPr>
        <w:t>Accounting policies – Intangible assets and goodwill – Internally developed IP</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Polestar Group compensates its employees through short-term employee benefits, other long-term benefits, and post-employment benefits. Generally, an employee benefit is recognised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For the years ended December 31, 2021, 2020 and 2019, Polestar Group did not extend termination benefits or share-based payments to employees.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Short-term employee benefits consist of wages, salaries, social benefit costs, paid annual leave and paid sick leave, and bonuses that are expected to be settled within twelve months of the reporting period in which services are rendered. Short-term employee benefits are recognised at the undiscounted amounts expected to be paid when the liabilities are settled and presented within current provisions and other current liabilities in the Consolidated Statement of Financial Position.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organisation as of December 1st of the year in order to be eligible for the program. An estimate of the expected costs of the program are calculated and recognised at the end of each reporting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long-term benefits</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Polestar Group’s only other long-term benefit is the annual Long Term Variable Pay Program (“LTVP”), which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incentivise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recognised on the annual grant date, subsequently remeasured at the end of reach reporting date, and presented within current and non-current provisions in the Consolidated Statement of Financial Position.</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Post-employment benefits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Polestar Group’s post-employment benefits are comprised of defined contribution pension plans and the Swedish defined benefit pension (“ITP 2”) that is managed by the mutual insurance company Alecta.</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recognised in the reporting period in which services are rendered and presented within current and non-current provisions in the Consolidated Statement of Financial Position. Contribution rates are unique to each employee.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Group’s share of the total savings premiums for ITP 2 in Alecta for the years ended December 31, 2021, 2020 and 2019, amounted to</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0.13056%, 0.05375% and 0.06478%, respectively. Further, Polestar Group’s share of the total number of active policy holders as of December 31, 2021, 2020 and 2019, amounted to 0.04485%, 0.02605% and 0.02069%,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2021 and 2020, Alecta’s surplus of consolidation level amounted to 172% and 148%,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lessee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2021 and 2020, no material lease extension options existed.</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At the lease commencement date, an ROU asset and a lease liability are recognised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amortisation of the ROU asset, refer to Note 9 – Leases. The ROU asset is reduced by impairment losses, if any, and adjusted for certain remeasurements of the lease liability.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elected the practical expedient to account for leases with lease terms which end within twelve months of the initial date of application as a short-term lease. The Group also elected the practical expedient to not recognise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recognised on a straight-line basis as an expense over the lease term in the Consolidated Statement of Loss.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the Consolidated Statement of Financial Position, the lease liabilities are presented within current interest-bearing liabilities and other non-current interest-bearing liabilities in the Consolidated Statement of Financial Position. In the Consolidated Statement of Loss, depreciation expense of the ROU assets is presented on the same line item(s) as similar items of PPE. The interest expense on the lease liability is presented as part of finance expenses. In the Consolidated Statement of Cash Flows, amortisation of the lease liability is presented as a cash flow from operating activities. Lease related interest expense is presented within cash flows from operating activities.</w:t>
      </w:r>
    </w:p>
    <w:p>
      <w:pPr>
        <w:spacing w:after="0" w:line="183"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recognised as ROU assets by the Group.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119"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lessor</w:t>
      </w:r>
    </w:p>
    <w:p>
      <w:pPr>
        <w:spacing w:after="0" w:line="119" w:lineRule="exact"/>
        <w:rPr>
          <w:sz w:val="20"/>
          <w:szCs w:val="20"/>
          <w:color w:val="auto"/>
        </w:rPr>
      </w:pPr>
    </w:p>
    <w:p>
      <w:pPr>
        <w:jc w:val="both"/>
        <w:ind w:left="120" w:right="3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vehicles associated with the Group’s operating leases are recognised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capitalised and amortised on a straight-line method over the lease term. Liabilities related to repurchase obligations are recognised as other non-current and current liabilities. Following repurchase by Polestar, the vehicles are reclassified to inventory.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income and expense</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Polestar Group’s Income tax expense consists of current tax and deferred tax. Taxes are recognised in the Consolidated Statement of Loss, except when the underlying transaction is recognised directly in equity or the Consolidated Statement of Comprehensive Loss, whereupon related taxation is also recognised in equity or the Consolidated Statement of Comprehensive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at the nominal amount and at the tax rates that are expected to be applied when the asset is realised or the liability is settled, using the tax rates and tax rules that have been enacted or substantively enacted at the date of the Consolidated Statement of Financial Position.</w:t>
      </w:r>
    </w:p>
    <w:p>
      <w:pPr>
        <w:spacing w:after="0" w:line="176"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Deferred tax assets relating to deductible temporary differences and loss carry forwards are recognised to the extent it is probable that they will be utilised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w:t>
      </w:r>
    </w:p>
    <w:p>
      <w:pPr>
        <w:spacing w:after="0" w:line="180" w:lineRule="exact"/>
        <w:rPr>
          <w:sz w:val="20"/>
          <w:szCs w:val="20"/>
          <w:color w:val="auto"/>
        </w:rPr>
      </w:pPr>
    </w:p>
    <w:p>
      <w:pPr>
        <w:jc w:val="both"/>
        <w:ind w:left="120" w:right="80"/>
        <w:spacing w:after="0" w:line="256" w:lineRule="auto"/>
        <w:rPr>
          <w:sz w:val="20"/>
          <w:szCs w:val="20"/>
          <w:color w:val="auto"/>
        </w:rPr>
      </w:pPr>
      <w:r>
        <w:rPr>
          <w:rFonts w:ascii="Times New Roman" w:cs="Times New Roman" w:eastAsia="Times New Roman" w:hAnsi="Times New Roman"/>
          <w:sz w:val="18"/>
          <w:szCs w:val="18"/>
          <w:color w:val="auto"/>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Unrecognised deferred tax assets are reassessed at each reporting date and recognised to the extent that it has become probable that future taxable profits will be available against which they can be used. If needed, the carrying amount of the deferred tax asset will be altered. The judgements that have been made affect Net loss both positively and negatively.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121"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An intangible asset is recognised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Intangible assets are measured at acquisition or internal development cost, less accumulated amortisation and, as applicable, impairment loss. Intangible assets with finite lives are amortised on a straight-line basis. The Group makes estimates and judgements related to expected usage of intangible assets in accordance with Management’s 2022-2025 business plan, product life cycles, technological obsolescence, developments, and advancements specific to the battery electric vehicle industry. Management estimates the useful life of intangible assets by taking into account judgements on how the Group plans to utilise such intangibles in accordance with the business plan and any related rights and obligations under its contractual agreements. The estimated useful life and amortisation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Times New Roman" w:cs="Times New Roman" w:eastAsia="Times New Roman" w:hAnsi="Times New Roman"/>
          <w:sz w:val="18"/>
          <w:szCs w:val="18"/>
          <w:i w:val="1"/>
          <w:iCs w:val="1"/>
          <w:color w:val="auto"/>
        </w:rPr>
        <w: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Manufacturing engineering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Amortisation for manufacturing engineering, reflecting engineering performed in terms of production facility layout, is included in Cost of sales.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Acquired IP</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Acquired IP are finite-lived intangible assets which are amortised once the acquired IP is ready for its intended use, over their estimated useful lives for 3-7 years. The remaining useful life of acquired IP is between 1-6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Amortisation of acquired IP related to the PS1 and PS2 is included in research and development expenses as it represents foundational IP that is leveraged across multiple functions of the Group.</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Internally developed IP</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Internally developed IP are finite-lived intangible assets which are amortised over their estimated useful lives for 3-7 years. Amortisation of internally developed IP is included in research and development expenses and 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capitalised upon the commencement of product development. Each phase is identified by work plans, budgeted, and tracked internally by research and development personnel.</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Costs incurred in the product development phase are capitalised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recognised for the years ended December 31, 2021, 2020 and 2019, amounted to $232,922, $183,849 and $34,386, respectively and were substantially related to the amortisation of PS1 and PS2 technology.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Software is a finite-lived intangible asset which is amortised over its estimated useful life of 3-8 years. Amortisation of software is included in research and development expenses, selling expenses, or administrative expenses depending on the way in which the assets have been used.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recognised at fair value at the date of the acquisition less any accumulated impairment losses.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12 – Intangible assets and goodwill.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Items of PPE are recognised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capitalised over the useful life of the asset.</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Buildings under development are measured at actual costs. The actual costs include various construction expenditures during the construction period, borrowing costs capitalised before the building is ready for intended use, and other relevant costs. Buildings under development are not depreciated and are transferred to fixed assets when ready for the intended use.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useful lives are applied in Polestar Group:</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of PPE is included in costs of sales as well as selling or administrative expenses, depending on the nature of the item being depreciated.</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Tangible assets are derecognised upon disposal or when no future economic benefits are expected to arise from the continued use of the asset. Any gain or loss arising on the disposal or retirement is determined as the difference between the sales proceeds and the carrying amount of the asset and is recognised in the Consolidated Statement of Loss as other operating income and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ind w:left="120" w:right="80"/>
        <w:spacing w:after="0" w:line="289" w:lineRule="auto"/>
        <w:rPr>
          <w:sz w:val="20"/>
          <w:szCs w:val="20"/>
          <w:color w:val="auto"/>
        </w:rPr>
      </w:pPr>
      <w:r>
        <w:rPr>
          <w:rFonts w:ascii="Times New Roman" w:cs="Times New Roman" w:eastAsia="Times New Roman" w:hAnsi="Times New Roman"/>
          <w:sz w:val="17"/>
          <w:szCs w:val="17"/>
          <w:color w:val="auto"/>
        </w:rPr>
        <w:t>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w:t>
      </w:r>
    </w:p>
    <w:p>
      <w:pPr>
        <w:spacing w:after="0" w:line="15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For the impairment assessment, assets are grouped together into the smallest group of assets that generate cash inflows from continuing use that are largely independent of the cash inflows of other assets (i.e., a cash-</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55" w:right="5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utilised in Polestar Group’s operations.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years ended December 31, 2021 and 2020, this discounted cash flow was calculated based on estimations regarding future cash flows as seen in the 2021-2025 business plan, a terminal growth rate of 2.0% for cash flows through the next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When the carrying amount of the CGU is determined to be greater than the recoverable amount, an impairment loss is recognised by first reducing the CGU’s goodwill and then reducing other assets in the CGU on a pro rata basis. For the years ended December 31, 2021 and 2020, no impairment losses were recognised. No impairment loss would have been recognised in the years ended December 31, 2021 and 2020 under a stress case scenario utilising an after-tax discount rate of 15.1% to calculate the recoverable amount of the CGU.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Classification of financial assets and liabilities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amortised cost.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recognition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recognised on the Consolidated Statement of Financial Position on the date when Polestar Group becomes party to the contractual terms and conditions (i.e., the transaction date). Financial assets are initially recognised at the price that would be received when selling an asset or being paid to transfer a liability in an orderly transaction between market participants at the measurement date (“Fair Value”), plus transaction costs directly attributable to the acquisition of the financial asset, except for those financial assets carried at fair value through the Consolidated Statement of Loss.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11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For the purpose of subsequent measurement, financial instruments are measured at amortised cost or financial fair value through profit or loss (“FVTPL”).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FVTPL consist of financial assets with cash flows other than those of principal and interest on the nominal amount outstanding. Changes in fair value of these instruments are recognised in profit and loss as finance income (expense).</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Financial instruments carried at amortised cost are non-derivative financial instruments with contractual cash flows that consist solely of payments of principal and interest on the nominal amount outstanding. These financial instruments are subsequently carried at amortised cost using the effective interest method. Gains and losses are recognised in the Consolidated Statement of Loss when the financial assets carried at amortised cost are impaired or derecognised. Interest effects on the application of the effective interest method are also recognised in the Consolidated Statement of Loss as well as effects from foreign currency translation.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11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Financial assets on the Consolidated Statement of Financial Position consist of trade receivables, other current and non-current financial assets, derivative assets, marketable securities and cash and cash equivalents.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financial asset or a portion of a financial asset is derecognised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Financial liabilities in the Consolidated Statement of Financial Position encompass liabilities to credit institutions, trade payables, other current and non-current financial liabilities and derivative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financial liability or a portion of a financial liability is derecognised when the obligation in the contract has been fulfilled, cancelled or has expired.</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classifies its derivative financial instruments and marketable securities as carried at FVTPL, while all other financial assets and liabilities are carried at amortised cost.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 associated with financial assets measured at amortised cost. For the initial recognition of financial assets carried at amortised cost, primarily trade receivables with similar risk characteristics, an analysis is made to identify the need for a provision for expected credit losses (“ECL”). The Group uses the simplified approach for estimating ECLs, which requires expected lifetime losses to be recognised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revaluated on an ongoing basis after initial recognition.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When an ECL is calculated, and if it is material, it is recognised in an allowance account which decreases the amount of gross trade receivables. The amount of the expected credit loss will be recognised as an expense in the Consolidated Statement of Loss. As of December 31, 2021 and 2020 no ECLs have been recognised for the Group’s financial assets, as historically credit losses have been nil, and no expected credit losses are in view.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Group periodically holds derivative financial instruments in the form of currency swaps to hedge its foreign currency risk exposure. Polestar Group does not apply cash-flow hedge accounting. The Group accounts for its foreign currency swaps in accordance with IFRS 9; the carrying value of the hedged item is adjusted for fair value changes attributable to the risk being hedged, and those fair value changes are recognised in the Consolidated Statement of Loss. As of December 31, 2021 and 2020, the Group did not have any foreign currency swaps outstanding. As of December 31, 2019, Polestar Group had two foreign currency swap contracts outstanding which were entered into at the end of December 2019. These contracts expired in September and December 2020,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 three-tiered hierarchy is established as a basis for considering such assumptions and for inputs used in the valuation methodologies in measuring fair value. This hierarchy requires that the Group use observable market data, when available, and minimise the use of unobservable inputs when determining fair value: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marketable securities, restricted cash, trade receivables, trade payables, and short-term and long-term borrowings.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acquisition or manufacturing cost and net realisable value and consist primarily of finished goods as of December 31, 2021 and 2020. Net realisable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80"/>
          </w:cols>
          <w:pgMar w:left="320" w:top="455"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Distributed group contributions to the owners, along with the related tax effect, are recorded in equity in accordance with the principles for shareholder’s contributions. If any unconditional shareholder’s contributions are received from the main owner, they are recognised in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and contingent liabilities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Provisions are recognised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recognised at present value by discounting the expected future cash flows at a pre-tax rate reflecting current market assessments of the time value of money.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recognised as a financial cost.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Polestar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All warranty provisions are recognised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quarterly basis, the provisions are adjusted to reflect the latest available data such as actual spend and exchange rates. The provisions are reduced by warranty reimbursements from suppliers. Such refunds from suppliers decrease Polestar Group’s warranty costs and are recognised to the extent these are considered to be virtually certain, based on historical experience or agreements entered into with suppliers.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provisions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Other provisions primarily comprise expected costs for provisions for the Group’s long-term incentive plan, short-term incentive plan, and other taxes and related charges. Other provisions can also include provisions for anticipated losses, giving consideration to historical trends, various other risks, and specific agreements related to recoveries provided by suppliers which cannot be allocated to any other class of provision.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11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When a possible obligation does not meet the criteria for recognition as a liability, it may be disclosed as a contingent liability. These possible obligations derived from past events and their existence will be confirmed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Borrowing costs are expensed as incurred unless they are directly attributable to the acquisition, construction or production of a qualifying asset and are therefore part of the cost of that asset.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Financial risk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financial risks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a result of its business and the global nature of its operations, Polestar Group is exposed to market risks from changes in foreign currency exchange rates, interest rate risk, credit risk and liquidity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global nature of Polestar Group’s business exposes cash flows to risks arising from fluctuations in currency exchange rates. Relative changes in currency exchange rates have a direct impact on Polestar Group’s operating income, finance income, finance expense, Consolidated Statement of Financial Position and Consolidated Statement of Cash Flows. To mitigate the impact of currency exchange rate fluctuations for the business operations, the Group continually assesses its exposure to exchange rate risks.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Comprehensive Loss. The Group is primarily exposed to currency translation risk from subsidiaries with functional currencies in the Swedish krona (“SEK”), the Euro (“EUR”) and the Chinese yuan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settlement of recognised assets and liabilities denominated in a currency that is not the functional currency of the relevant Group entity. Primarily, the Group is exposed to currency transaction risk in Group companies with SEK and CNY as the functional currency. The primary risks in these companies are CNY/SEK, USD/SEK, EUR/SEK and EUR/CNY due to trade receivables, trade payables, and short-term credit facilities.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Group was primarily exposed to changes in CNY/SEK, USD/SEK and EUR/SEK foreign exchange rates. The following table illustrates the impact of a 10% change in the Group’s foreign exchange rates: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Impact on loss</w:t>
            </w:r>
          </w:p>
        </w:tc>
      </w:tr>
      <w:tr>
        <w:trPr>
          <w:trHeight w:val="173"/>
        </w:trPr>
        <w:tc>
          <w:tcPr>
            <w:tcW w:w="5880" w:type="dxa"/>
            <w:vAlign w:val="bottom"/>
          </w:tcPr>
          <w:p>
            <w:pPr>
              <w:spacing w:after="0"/>
              <w:rPr>
                <w:sz w:val="15"/>
                <w:szCs w:val="15"/>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before income taxes</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USD/SEK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56,052</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GBP/SEK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41,688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NOK/SEK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36,493</w:t>
            </w: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Group was primarily exposed to changes in CNY/SEK and EUR/SEK foreign exchange rates. The following table illustrates the impact of a 10% change in these foreign exchange rates:</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86,794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34,732</w:t>
            </w:r>
          </w:p>
        </w:tc>
      </w:tr>
    </w:tbl>
    <w:p>
      <w:pPr>
        <w:spacing w:after="0" w:line="17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the Group was primarily exposed to changes in the EUR/CNY and EUR/SEK foreign exchange rate. The following table illustrates the impact of a 10% change in this foreign exchange rate:</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EUR/CNY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13,465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11,220</w:t>
            </w:r>
          </w:p>
        </w:tc>
      </w:tr>
    </w:tbl>
    <w:p>
      <w:pPr>
        <w:spacing w:after="0" w:line="1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Group had transaction exposure to the Parent’s functional currency related to USD/SEK foreign exchange rates in the amount of $56,052. During the years ended December 31, 2020 and 2019, the Group had no significant transaction exposure to the USD and the USD currency effect was entirely related to translation exposure reflected in the Consolidated Statement of Comprehensive Loss.</w:t>
      </w:r>
    </w:p>
    <w:p>
      <w:pPr>
        <w:spacing w:after="0" w:line="176"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Polestar Group’s main interest rate risk arises from short-term liabilities to credit institutions with variable rates, which exposes the Group to cash flow interest rate risk. As of December 31, 2021 and 2020, the nominal amount of liabilities to credit institutions with floating interest rates was $642,338 and $363,490,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table below shows the estimated effect on profit or loss and equity of a parallel shift of the interest rate curves up or down by one percent on all loans. This analysis assumes that all other variables, in particular foreign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2021 and 2020.</w:t>
      </w:r>
    </w:p>
    <w:p>
      <w:pPr>
        <w:spacing w:after="0" w:line="19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Impact on loss before income</w:t>
      </w:r>
    </w:p>
    <w:p>
      <w:pPr>
        <w:spacing w:after="0" w:line="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wp:posOffset>
            </wp:positionV>
            <wp:extent cx="16459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7580"/>
        <w:spacing w:after="0" w:line="235" w:lineRule="auto"/>
        <w:tabs>
          <w:tab w:leader="none" w:pos="90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90">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tabs>
          <w:tab w:leader="none" w:pos="7200" w:val="left"/>
          <w:tab w:leader="none" w:pos="7840" w:val="left"/>
          <w:tab w:leader="none" w:pos="8680" w:val="left"/>
          <w:tab w:leader="none" w:pos="9340" w:val="left"/>
        </w:tabs>
        <w:rPr>
          <w:sz w:val="20"/>
          <w:szCs w:val="20"/>
          <w:color w:val="auto"/>
        </w:rPr>
      </w:pPr>
      <w:r>
        <w:rPr>
          <w:rFonts w:ascii="Times New Roman" w:cs="Times New Roman" w:eastAsia="Times New Roman" w:hAnsi="Times New Roman"/>
          <w:sz w:val="18"/>
          <w:szCs w:val="18"/>
          <w:color w:val="auto"/>
        </w:rPr>
        <w:t>Interest rates - increase/decrease by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1,791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3,518</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Group will incur losses as a result of non-payment by counterparties related to the Group’s bank accounts, bank deposits, derivative transactions, and other liquid assets. In order to minimise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2021 and 2020 were in the range of BBB to A+.</w:t>
      </w:r>
    </w:p>
    <w:p>
      <w:pPr>
        <w:spacing w:after="0" w:line="187"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2021, an unrelated party accounted for $23,031 (12.54%) of the Group’s total trade receivables (i.e., trade receivables plus trade receivables - related parties). As of December 31, 2020, Volvo Cars accounted for $194,503 (63.21%) of the Group’s total trade receivables, and an unrelated customer accounted for $32,392 (10.53%). Refer to Note 23 - Related party transactions for more details on related parties. Historically,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has not incurred any losses from these customers and does not have any contractual right to off-set its payables and receivables.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(1) end customers who pay up-front for vehicles, (2) fleet customers,</w:t>
      </w:r>
    </w:p>
    <w:p>
      <w:pPr>
        <w:spacing w:after="0" w:line="27" w:lineRule="exact"/>
        <w:rPr>
          <w:sz w:val="20"/>
          <w:szCs w:val="20"/>
          <w:color w:val="auto"/>
        </w:rPr>
      </w:pPr>
    </w:p>
    <w:p>
      <w:pPr>
        <w:ind w:left="120" w:right="20" w:hanging="4"/>
        <w:spacing w:after="0" w:line="251" w:lineRule="auto"/>
        <w:tabs>
          <w:tab w:leader="none" w:pos="37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(4)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title to Polestar vehicles remains with Polestar until the dealer pays the invoice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14 - Financial instruments for further details.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23 -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December 31, 2021 and 2020, the Group held cash and cash equivalents of $756,677 and $316,424, respectively, that were available for managing liquidity risk. The Group entered into short-term financing arrangements with credit institutions and other financial service providers to enhance short term liquidity and financing needs. Refer to Note 21 - Liabilities to credit institutions for further details on short-term borrowings. The Group’s short-term and mid-term liquidity management takes into account the maturities of financial assets and financial liabilities and estimates of cash flows from business operations.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has established an appropriate liquidity risk management framework for management of the Group’s short, medium and long-term funding and liquidity management requirements and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or adjust the capital structure, the Group may issue new shares, sell assets to reduce debt, or enter into short term debt and financing arrangements to increase cash on hand. Capital is calculated as equity attributable to owners of the Parent as shown on the Consolidated Statement of Financial Position plus total borrowings and lease liabilities, less cash and cash equivalents.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Common control transaction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September 14, 2020, Polestar was restructured so that 100% of ownership interests in the Polestar Group were transitioned from Polestar Automotive (Shanghai) Co., Ltd (incorporated in the People’s Republic of China)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because (1) the New Parent was a shell company that did not meet the definition of a business at the time of the transaction, (2) ultimate control of the Polestar Group was the same before and after the transaction, and (3) control of the Polestar Group was not transitory (i.e., organised to effect a ‘grooming’ transaction).</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Accordingly, the restructuring was recognised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Polestar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Consideration transferred for the Polestar Group from the New Parent to the Old Parent under the restructuring was equal to the initial investment of the controlling owners in the Polestar Group. However, when the Polestar Group was separated from the Old Parent, the intercompany relationship between the Old Parent and the Polestar Group was severed which resulted in the realisation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1,290,031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6"/>
              </w:rPr>
              <w:t>73,107</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19,308</w:t>
            </w:r>
          </w:p>
        </w:tc>
        <w:tc>
          <w:tcPr>
            <w:tcW w:w="8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92,415</w:t>
            </w:r>
          </w:p>
        </w:tc>
        <w:tc>
          <w:tcPr>
            <w:tcW w:w="80" w:type="dxa"/>
            <w:vAlign w:val="bottom"/>
          </w:tcPr>
          <w:p>
            <w:pPr>
              <w:spacing w:after="0"/>
              <w:rPr>
                <w:sz w:val="19"/>
                <w:szCs w:val="19"/>
                <w:color w:val="auto"/>
              </w:rPr>
            </w:pPr>
          </w:p>
        </w:tc>
      </w:tr>
    </w:tbl>
    <w:p>
      <w:pPr>
        <w:spacing w:after="0" w:line="238" w:lineRule="exact"/>
        <w:rPr>
          <w:sz w:val="20"/>
          <w:szCs w:val="20"/>
          <w:color w:val="auto"/>
        </w:rPr>
      </w:pPr>
    </w:p>
    <w:p>
      <w:pPr>
        <w:ind w:left="340" w:right="380" w:hanging="224"/>
        <w:spacing w:after="0" w:line="282"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Revenues related to sales of vehicles are inclusive of insignificant extended and connected services included in the sale of vehicles and sales-generated obligations such as discounts and rebates offered to fleet customers.</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For the year ended December 31, 2019, other revenue primarily consisted of revenue generated through the sale of research and development (“R&amp;D”) services to a related party.</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Group’s two largest customers that are not related parties accounted for $135,544 (10.14%) and $129,873 (9.71%) of revenue, respectively, for the year ended December 31, 2021. For the year ended December 31, 2020, Volvo Cars accounted for $107,948 (17.7%) of the Group’s revenue and an unrelated customer accounted for $71,361 (11.69%) of the Group’s revenue. For the year ended December 31, 2019, Volvo Cars accounted for $91,092 (98.6%) of the Group’s revenue. Prior to 2020, the Group’s principal operations related to the sale of R&amp;D services and software and performance engineered kits within its related party network. Refer to Note 23 - Related party transactions for further details.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20"/>
          </w:cols>
          <w:pgMar w:left="320" w:top="455" w:right="5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generated</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leases &amp; other</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5,799</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2,436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8,967</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5,669</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17,072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4,944</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(43,469)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10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24,702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23,680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18,593</w:t>
            </w: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20,315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87,290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16,072</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2021, the aggregate amount of the transaction price related to sales of vehicles allocated to the remaining performance obligations was $87,290. Polestar will recognise revenue related to the extended service on a straight-line basis over the 3-year period following initial recognition, consistent with the terms of the contractually offered services. Polestar will recognise revenue related to connected services on a straight-line basis over the 8-year period following initial recognition, consistent with the expected utilisation of the services.</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Revenue recognised during the year ended December 31, 2021 related to contract liabilities outstanding as of January 1, 2021 was $4,648, and no revenue was recognised during the period related to performance obligations fully (or partially) satisfied in prior periods. Since Polestar Group did not enter the commercial space until the third quarter of 2020, there were no contract liabilities provided for, or utilised, during 2019. Accordingly, no revenue was recognised during the year ended December 31, 2020 related to contract liabilities outstanding as of December 31, 2019 or performance obligations fully (or partially) satisfied.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Depreciation and amortisation by function</w:t>
      </w:r>
    </w:p>
    <w:p>
      <w:pPr>
        <w:spacing w:after="0" w:line="121"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Polestar will use acquired research and development related to PS1 and PS2 to serve as the basis for the development of future car models and technology. As such, amortisation of these intangible assets is included in research and development expenses. The following table illustrates depreciation and amortisation by function:</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60" w:type="dxa"/>
            <w:vAlign w:val="bottom"/>
            <w:gridSpan w:val="2"/>
            <w:vMerge w:val="continue"/>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174,639</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3,774</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4,404</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188,376</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38,671</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6,947</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14,447</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152,395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2,170</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9,117</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166,886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216,076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405</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22,095</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23,883</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Employee benefits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119,061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81,145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49,329</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Post-employment benefits expense reflects expenses related to defined contribution plans and defined benefit plans, inclusive of expenses related to the ITP 2. Expenses related to defined contribution plans amounted to $13,916, $7,975 and $4,616 for the years ended December 31, 2021, 2020 and 2019, respectively.</w:t>
      </w:r>
    </w:p>
    <w:p>
      <w:pPr>
        <w:spacing w:after="0" w:line="17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 for the Group’s Executive Management Team (“EMT”) and managing directors at the Group’s sales units: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benefits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benefits to key management personnel only</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6,739</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5,407</w:t>
            </w:r>
          </w:p>
        </w:tc>
        <w:tc>
          <w:tcPr>
            <w:tcW w:w="80" w:type="dxa"/>
            <w:vAlign w:val="bottom"/>
          </w:tcPr>
          <w:p>
            <w:pPr>
              <w:spacing w:after="0"/>
              <w:rPr>
                <w:sz w:val="19"/>
                <w:szCs w:val="19"/>
                <w:color w:val="auto"/>
              </w:rPr>
            </w:pPr>
          </w:p>
        </w:tc>
      </w:tr>
      <w:tr>
        <w:trPr>
          <w:trHeight w:val="372"/>
        </w:trPr>
        <w:tc>
          <w:tcPr>
            <w:tcW w:w="4100" w:type="dxa"/>
            <w:vAlign w:val="bottom"/>
          </w:tcPr>
          <w:p>
            <w:pPr>
              <w:spacing w:after="0"/>
              <w:rPr>
                <w:sz w:val="24"/>
                <w:szCs w:val="24"/>
                <w:color w:val="auto"/>
              </w:rPr>
            </w:pPr>
          </w:p>
        </w:tc>
        <w:tc>
          <w:tcPr>
            <w:tcW w:w="342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F-37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Group’s EMT has the authority and responsibility for planning, directing, and controlling the Polestar Group’s activities. In September 2021, Johan Malmqvist succeeded Ian Zhang as Chief Financial Officer of Polestar. As of December 31, 2021 the EMT consists of the following individuals:</w:t>
      </w:r>
    </w:p>
    <w:p>
      <w:pPr>
        <w:spacing w:after="0" w:line="162" w:lineRule="exact"/>
        <w:rPr>
          <w:sz w:val="20"/>
          <w:szCs w:val="20"/>
          <w:color w:val="auto"/>
        </w:rPr>
      </w:pPr>
    </w:p>
    <w:p>
      <w:pPr>
        <w:ind w:left="300" w:hanging="184"/>
        <w:spacing w:after="0"/>
        <w:tabs>
          <w:tab w:leader="none" w:pos="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Malmqvist (Chief Financial Officer, “CFO”); and</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Nobelius (Chief Operating Officer, “COO”).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EMT (“Prior EMT”) consisted of:</w:t>
      </w:r>
    </w:p>
    <w:p>
      <w:pPr>
        <w:spacing w:after="0" w:line="225" w:lineRule="exact"/>
        <w:rPr>
          <w:sz w:val="20"/>
          <w:szCs w:val="20"/>
          <w:color w:val="auto"/>
        </w:rPr>
      </w:pPr>
    </w:p>
    <w:p>
      <w:pPr>
        <w:ind w:left="300" w:hanging="184"/>
        <w:spacing w:after="0"/>
        <w:tabs>
          <w:tab w:leader="none" w:pos="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 and</w:t>
      </w:r>
    </w:p>
    <w:p>
      <w:pPr>
        <w:spacing w:after="0" w:line="225" w:lineRule="exact"/>
        <w:rPr>
          <w:rFonts w:ascii="Times New Roman" w:cs="Times New Roman" w:eastAsia="Times New Roman" w:hAnsi="Times New Roman"/>
          <w:sz w:val="18"/>
          <w:szCs w:val="18"/>
          <w:color w:val="auto"/>
        </w:rPr>
      </w:pPr>
    </w:p>
    <w:p>
      <w:pPr>
        <w:jc w:val="both"/>
        <w:ind w:left="120" w:right="6980" w:hanging="4"/>
        <w:spacing w:after="0" w:line="530" w:lineRule="auto"/>
        <w:tabs>
          <w:tab w:leader="none" w:pos="30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Dennis Nobelius (Chief Operating Officer, “COO”). As of December 31, 2019. the 2019 EMT consisted of:</w:t>
      </w:r>
    </w:p>
    <w:p>
      <w:pPr>
        <w:ind w:left="300" w:hanging="184"/>
        <w:spacing w:after="0"/>
        <w:tabs>
          <w:tab w:leader="none" w:pos="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 and</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w:t>
      </w:r>
    </w:p>
    <w:p>
      <w:pPr>
        <w:spacing w:after="0" w:line="22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has the ultimate authority for approval of actions proposed by each member of the EMT.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Other operating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operating income and expenses consisted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operating income</w:t>
            </w:r>
          </w:p>
        </w:tc>
        <w:tc>
          <w:tcPr>
            <w:tcW w:w="3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 services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80" w:type="dxa"/>
            <w:vAlign w:val="bottom"/>
            <w:shd w:val="clear" w:color="auto" w:fill="CCEEFF"/>
          </w:tcPr>
          <w:p>
            <w:pPr>
              <w:spacing w:after="0"/>
              <w:rPr>
                <w:sz w:val="18"/>
                <w:szCs w:val="18"/>
                <w:color w:val="auto"/>
              </w:rPr>
            </w:pPr>
          </w:p>
        </w:tc>
      </w:tr>
      <w:tr>
        <w:trPr>
          <w:trHeight w:val="372"/>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expenses</w:t>
            </w: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49,298</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Non-income tax</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50,676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F-38</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Finance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table details the Group’s finance income and expenses: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gains on financial activities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bank deposits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16,226</w:t>
            </w:r>
          </w:p>
        </w:tc>
        <w:tc>
          <w:tcPr>
            <w:tcW w:w="80" w:type="dxa"/>
            <w:vAlign w:val="bottom"/>
            <w:shd w:val="clear" w:color="auto" w:fill="CCEEFF"/>
          </w:tcPr>
          <w:p>
            <w:pPr>
              <w:spacing w:after="0"/>
              <w:rPr>
                <w:sz w:val="18"/>
                <w:szCs w:val="18"/>
                <w:color w:val="auto"/>
              </w:rPr>
            </w:pPr>
          </w:p>
        </w:tc>
      </w:tr>
      <w:tr>
        <w:trPr>
          <w:trHeight w:val="33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expense</w:t>
            </w: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 and financing obligations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related companies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losses on financial activities</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45,249</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21,192</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interest expense to related parties was comprised of interest on overdue trade payables balances and interest on related party borrowings. Refer to Note 23 - Related party transactions for further discussion.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2 - 15 years with the exception of one long term land lease with a term of 50 years. The lease term for machinery and equipment is generally 2-6 years.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depicts the changes in the Group’s ROU assets, which are included within PPE: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10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48,946</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(1,197)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45,113</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50,099</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(1,464)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(2,376)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(6,741)</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(4,196)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(6,838)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(6,180)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(8,431)</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(10,159</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(15,447)</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29,769</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34,954</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34,652</w:t>
            </w: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related to leases recognised in the Consolidated Statement of Loss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current and non-current portion of the Group’s lease liabilities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10,250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66,575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61,840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82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F-40</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80"/>
          </w:cols>
          <w:pgMar w:left="320" w:top="455" w:right="5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11,715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42,032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6,944</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44,638</w:t>
            </w:r>
          </w:p>
        </w:tc>
      </w:tr>
      <w:tr>
        <w:trPr>
          <w:trHeight w:val="27"/>
        </w:trPr>
        <w:tc>
          <w:tcPr>
            <w:tcW w:w="6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91,189</w:t>
            </w:r>
          </w:p>
        </w:tc>
      </w:tr>
      <w:tr>
        <w:trPr>
          <w:trHeight w:val="20"/>
        </w:trPr>
        <w:tc>
          <w:tcPr>
            <w:tcW w:w="6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24 - Commitments and contingencies for details on commitments related to the Group’s leases and ROU assets as of December 31,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2021, 2020 and 2019, total cash outflows (inflows) for leases amounted to $8,578, $2,298 and $939, respectively.</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$6,217 for the year ended December 31, 2021. For the majority of the Group’s lease contracts, vehicles are paid for upfront at contract inception and repurchased by Polestar at the end of the lease term. Expected future, undiscounted lease payments to be received from the Group’s operating leases outstanding as of December 31, 2021 is $711, all of which will be earned in 2022. The following table depicts the changes in the Group’s vehicles under operating leases: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Acquisition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0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0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Additions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0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0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0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Income tax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expense recognised in the Consolidated Statement of Loss is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Vehicles under</w:t>
      </w:r>
    </w:p>
    <w:p>
      <w:pPr>
        <w:jc w:val="center"/>
        <w:ind w:right="1800"/>
        <w:spacing w:after="0" w:line="229" w:lineRule="auto"/>
        <w:rPr>
          <w:sz w:val="20"/>
          <w:szCs w:val="20"/>
          <w:color w:val="auto"/>
        </w:rPr>
      </w:pPr>
      <w:r>
        <w:rPr>
          <w:rFonts w:ascii="Times New Roman" w:cs="Times New Roman" w:eastAsia="Times New Roman" w:hAnsi="Times New Roman"/>
          <w:sz w:val="14"/>
          <w:szCs w:val="14"/>
          <w:b w:val="1"/>
          <w:bCs w:val="1"/>
          <w:color w:val="auto"/>
        </w:rPr>
        <w:t>operating</w:t>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5">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b w:val="1"/>
          <w:bCs w:val="1"/>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06">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07">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8">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9">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2">
            <w:col w:w="7640" w:space="720"/>
            <w:col w:w="2700"/>
          </w:cols>
          <w:pgMar w:left="320" w:top="455" w:right="519" w:bottom="1440" w:gutter="0" w:footer="0" w:header="0"/>
          <w:type w:val="continuous"/>
        </w:sectPr>
      </w:pPr>
    </w:p>
    <w:p>
      <w:pPr>
        <w:spacing w:after="0" w:line="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for the year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3"/>
              </w:rPr>
              <w:t>(1,966)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(4,422)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withholding taxes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(2,517)</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(7,147)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(13,535</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taxes have been calculated applying tax rate per jurisdiction, and for group accounting entries a Hong Kong corporate income tax rate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16.5% in 2021 and 15.8 % in 2020 has been applied. For 2019, a Chinese tax rate of 25 % has been applied, see Note 3 - Common control transaction.</w:t>
      </w:r>
    </w:p>
    <w:p>
      <w:pPr>
        <w:spacing w:after="0" w:line="1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60"/>
          </w:cols>
          <w:pgMar w:left="320" w:top="455" w:right="519"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current year income tax expense based on the applicable Hong Kong tax rate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 for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according to the applicable Hong Kong tax rate</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48,989</w:t>
            </w: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income/costs, non-taxable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tax due to change of tax rate</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Non-recognition of deferred tax assets on other temporary differences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(32,223)</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(14,869)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Not recognised tax loss carry-forward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(213,928)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(80,434)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(26,847)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2021: 16.5%, 2020: 15.8%, 2019: 25% (Chinese tax rate, see Note 3 – Common control transaction).</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Information regarding the income tax expense for 2019 is based on the applicable Chinese tax rate (25%). The shift from the applicable Chinese tax rate in 2019 to the applicable Hong Kong tax rate in 2020 is due to the change in group composition that occurred in September 2020. The restructuring represented a common control transaction and resulted in certain tax losses in Sweden of $30,418 to be forfeited. Refer to Note 3—Common control transaction for further discussion. The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the composition of recognised deferred tax assets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Specification of deferred tax assets</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Unutilised tax loss carry-forward</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1,031</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6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Recognised value of deferred tax assets as of December 31</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3,850</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2,157</w:t>
            </w:r>
          </w:p>
        </w:tc>
      </w:tr>
      <w:tr>
        <w:trPr>
          <w:trHeight w:val="20"/>
        </w:trPr>
        <w:tc>
          <w:tcPr>
            <w:tcW w:w="6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deferred tax liabilities related to intangible assets amounted to $509 and $6,548, respectively.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changes in deferred tax assets and liabilities have been reported in the Consolidated Statement of Loss for the years ended December 31, 2021, 2020 and 2019,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unrecognised deferred tax assets:</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Group recognises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As of December 31, 2021 and 2020, the Group made the judgement that there is not sufficient, objectively verifiable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5"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evidence available which would demonstrate that it is more likely than not that the Group would be able to realise all deferred tax assets in the future. This resulted in deferred tax assets not being recognised for a tax effected amount of $339,389 and $125,464 as of December 31, 2021 and 2020, respectively. Unrecognised deferred tax assets are reassessed at each reporting date and recognised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loss carryforwards through the year of expiration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Due date</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74,736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74,736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193,596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158,427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291,494</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2027 onwards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1,126,554</w:t>
            </w:r>
          </w:p>
        </w:tc>
        <w:tc>
          <w:tcPr>
            <w:tcW w:w="30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loss carryforwards as of December 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1,553,313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553,160</w:t>
            </w:r>
          </w:p>
        </w:tc>
      </w:tr>
      <w:tr>
        <w:trPr>
          <w:trHeight w:val="20"/>
        </w:trPr>
        <w:tc>
          <w:tcPr>
            <w:tcW w:w="6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increase in tax losses available for carryforward are mainly attributable to the decline in earnings as a consequence of the Group scaling headcount and research and development expenses to meet the demands of the growing business. Tax losses in Sweden of $1,113,842 have an indefinite carryforward period. Tax losses in China of $430,035 have a five-year carryforward period. Other deductible temporary differences with a tax value of $40,544 and $32,265 have not been recognized as of December 31, 2021 and 2020, respectively.</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00"/>
          </w:cols>
          <w:pgMar w:left="320" w:top="455" w:right="5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Net loss per share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 average number of shares outstanding during the year. Diluted Net loss per share takes into account the impact of events which increase the number of issued shares. For the year ended December 31, 2021, 4,306,466 shares issuable upon conversion of the convertible notes were excluded from the diluted weighted average number of ordinary shares calculation as their effect would have been anti-dilutive. Refer to Note 18 - Equity for further details related to the convertible notes. No dilutive event occurred for the years ended December 31, 2020 or 2019. Dilutive Net loss per share was the same as basic Net loss per share for all periods presented. The following table presents the computation of basic and diluted Net loss per share for the years ended December 31, 2021, 2020 and 2019:</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2"/>
                <w:szCs w:val="12"/>
                <w:color w:val="auto"/>
              </w:rPr>
            </w:pPr>
          </w:p>
        </w:tc>
        <w:tc>
          <w:tcPr>
            <w:tcW w:w="1320" w:type="dxa"/>
            <w:vAlign w:val="bottom"/>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(197,975)</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229,341,491</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201,727,758</w:t>
            </w:r>
          </w:p>
        </w:tc>
        <w:tc>
          <w:tcPr>
            <w:tcW w:w="1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U.S. dollars):</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(2.40)</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(0.99)</w:t>
            </w: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September 14, 2020 as part of the common control transaction described in Note 3 - Common control transaction, 200,000,000 shares were issued to existing owners. For the purposes of calculating basic and diluted net loss per share, these shares are treated as issued and outstanding from January 1, 2019 through December 31,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more details on the rights of Class A and B common shareholders.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55"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Intangible assets and 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Acquired IP</w:t>
            </w:r>
          </w:p>
        </w:tc>
        <w:tc>
          <w:tcPr>
            <w:tcW w:w="400" w:type="dxa"/>
            <w:vAlign w:val="bottom"/>
          </w:tcPr>
          <w:p>
            <w:pPr>
              <w:spacing w:after="0"/>
              <w:rPr>
                <w:sz w:val="3"/>
                <w:szCs w:val="3"/>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developed IP</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left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15,314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859,345</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25,557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311,546</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102,423</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1,343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1,273,314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1,318,659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349,876</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(81,335)</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(86,384)</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151,884</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1,541,855</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1,695,006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(13,202)</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(19,984)</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(7,410)</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(16,246)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(193,004)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(209,388)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(187,194)</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13,561</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(15,659)</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(366,637)</w:t>
            </w:r>
          </w:p>
        </w:tc>
        <w:tc>
          <w:tcPr>
            <w:tcW w:w="1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27,756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1,080,310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136,225</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1,175,218</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1,312,427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were primarily related to the Polestar Precept and various other internal programs for the years ended December 31, 2021, 2020 and 2019. Additions of acquired IP during the years ended December 31, 2021, 2020 and 2019 were related to acquisitions of PS2 and Polestar 3 (“PS3”) IP from Volvo Cars. During the year ended December 31, 2021, Polestar also acquired IP related to the Polestar 4 (“PS4”) from Geely.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July 2015 acquisition of Polestar Performance AB by Volvo Cars and subsequent acquisition of Polestar Performance AB and Polestar Holding AB by Polestar Automotive (Shanghai) Co. Ltd. generated goodwill of $55,991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balance of goodwill amounted to $53,282 and $59,129, respectively. The balance of trademarks as of December 31, 2021 and 2020 amounted to $2,647 and $2,937, respectively. The changes to the carrying amount of goodwill and trademarks were as follows: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Trademarks</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6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2,937</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2,647</w:t>
            </w:r>
          </w:p>
        </w:tc>
      </w:tr>
      <w:tr>
        <w:trPr>
          <w:trHeight w:val="20"/>
        </w:trPr>
        <w:tc>
          <w:tcPr>
            <w:tcW w:w="6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Property, plant and equipment</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As of December 31, 2021 and 2020, PPE are recognised in the Consolidated Statement of Financial Position with carrying amounts of $208,193 and $201,671, respectively. Of these amounts, $34,954 and $29,769 is related to ROU assets for leased buildings and land, and $34,652 and $42,108 is related to ROU assets for leased machinery and equipment, respectively. Refer to Note 9 – Leases for more details on the Groups ROU assets and operating leases.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60"/>
          </w:cols>
          <w:pgMar w:left="320" w:top="455" w:right="5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5780" w:type="dxa"/>
            <w:vAlign w:val="bottom"/>
          </w:tcPr>
          <w:p>
            <w:pPr>
              <w:spacing w:after="0"/>
              <w:rPr>
                <w:sz w:val="3"/>
                <w:szCs w:val="3"/>
                <w:color w:val="auto"/>
              </w:rPr>
            </w:pPr>
          </w:p>
        </w:tc>
        <w:tc>
          <w:tcPr>
            <w:tcW w:w="10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60" w:type="dxa"/>
            <w:vAlign w:val="bottom"/>
          </w:tcPr>
          <w:p>
            <w:pPr>
              <w:spacing w:after="0"/>
              <w:rPr>
                <w:sz w:val="3"/>
                <w:szCs w:val="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38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7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3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0" w:type="dxa"/>
            <w:vAlign w:val="bottom"/>
            <w:shd w:val="clear" w:color="auto" w:fill="000000"/>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shd w:val="clear" w:color="auto" w:fill="000000"/>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45,138</w:t>
            </w:r>
          </w:p>
        </w:tc>
        <w:tc>
          <w:tcPr>
            <w:tcW w:w="3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65,384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111,534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61,000</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Divestments and disposals</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131,479</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33,622</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7,977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(7,977)</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147,977</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(8,267)</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(1,744)</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(38,329)</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(40,073)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Divestments and disposal</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(3,411)</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(2,376)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(50,007)</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(52,383)</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20" w:type="dxa"/>
            <w:vAlign w:val="bottom"/>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(84,574)</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46,444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81,472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1,878</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129,794</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47,518</w:t>
            </w:r>
          </w:p>
        </w:tc>
        <w:tc>
          <w:tcPr>
            <w:tcW w:w="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63,403</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Financial instruments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both financial instruments carried at fair value and financial instruments measured at amortised cost, there was no difference between fair value and carrying amount. The following table shows the carrying amounts of financial assets measured at fair value on a recurring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FVTPL</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1,258</w:t>
            </w:r>
          </w:p>
        </w:tc>
        <w:tc>
          <w:tcPr>
            <w:tcW w:w="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7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1,258</w:t>
            </w:r>
          </w:p>
        </w:tc>
        <w:tc>
          <w:tcPr>
            <w:tcW w:w="4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7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As of December 31, 2019, the Group carried a derivative asset and liability at fair value on a recurring basis, in the amounts of $101 and $352, respectively. These derivatives were financial instruments carried at FVTPL.</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realised loss on derivatives was nil and $554, respectively. For the year ended December 31, 2019, the realised gain on derivatives was $16,615.</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amortised cost:</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amortised cost</w:t>
            </w: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gridSpan w:val="4"/>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172,441</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969,541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1,541,974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642,338</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24,072</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502,809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Total interest income arising on financial assets measured at amortised cost related mainly to cash and cash equivalents as of December 31, 2021, 2020 and 2019, and amounted to $1,396, $3,199 and $13,286, respectively. Total interest expense arising on financial liabilities measured at amortised cost related mainly to liabilities to credit institutions and other financing obligations as of December 31, 2021, 2020 and 2019, and amounted to $42,482, $24,379 and $17,850,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2021:</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7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2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172,441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756,677</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1,258</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38,741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1,682</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969,117</w:t>
            </w:r>
          </w:p>
        </w:tc>
        <w:tc>
          <w:tcPr>
            <w:tcW w:w="3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2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1,541,974</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1,541,974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F-48</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2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7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642,338</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502,809</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502,809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 liabilities -</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parties</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24,072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2,711,193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11,764</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2020:</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9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9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307,694</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316,424</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50,206</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2,676</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316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1,145,408</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363,490</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203,107</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312</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1,712,005</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312</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financial instruments were offset by the Group.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Trade receivables</w:t>
      </w:r>
    </w:p>
    <w:p>
      <w:pPr>
        <w:spacing w:after="0" w:line="3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60"/>
          </w:cols>
          <w:pgMar w:left="320" w:top="455" w:right="5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details the aging analysis of the trade receivables: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712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1-30 days</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&gt;90 days</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7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overdue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89,348</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53,289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7,310</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60,599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14,403</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54,354</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32,382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99,250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194,891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12,745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208,444</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45,127</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Management determines that a receivable is written off once reasonable means of collection have been unsuccessful and the Group has no reasonable expectations of recovering the entire contractual cash flows, or a portion thereof. Historically, the Group has had no credit losses. As of December 31, 2021 and 2020, Polestar Group has performed an ECL assessment and found no significant effects resulting from the analysis; no write-offs were made for trade receivables.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information on credit risks for trade receivables is included in Note 2 – Financial risk management.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inventory primarily consisted of vehicles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good for resale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610,124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460,792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(67,967)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(35,984)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545,743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432,531</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Inventories recognised as an expense during the years ended December 31, 2021, 2020 and 2019 amounted to $1,234,062, $551,508 and $33,771, respectively and were included in Cost of sales.</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write-downs of inventories to net realisable value amounted to $67,967 and $35,984, respectively. The write down was recognised as an expense during the years ended December 31, 2021 and 2020 and was included in Cost of sales in the Consolidated Statement of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assets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39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3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63,698</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accrued income</w:t>
            </w:r>
          </w:p>
        </w:tc>
        <w:tc>
          <w:tcPr>
            <w:tcW w:w="4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40,077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4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3,072</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2,673</w:t>
            </w:r>
          </w:p>
        </w:tc>
      </w:tr>
      <w:tr>
        <w:trPr>
          <w:trHeight w:val="27"/>
        </w:trPr>
        <w:tc>
          <w:tcPr>
            <w:tcW w:w="33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120,202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60,331</w:t>
            </w:r>
          </w:p>
        </w:tc>
      </w:tr>
      <w:tr>
        <w:trPr>
          <w:trHeight w:val="371"/>
        </w:trPr>
        <w:tc>
          <w:tcPr>
            <w:tcW w:w="3380" w:type="dxa"/>
            <w:vAlign w:val="bottom"/>
          </w:tcPr>
          <w:p>
            <w:pPr>
              <w:spacing w:after="0"/>
              <w:rPr>
                <w:sz w:val="24"/>
                <w:szCs w:val="24"/>
                <w:color w:val="auto"/>
              </w:rPr>
            </w:pP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F-50</w:t>
            </w: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As of December 31, 2021, prepaid expenses and accrued interest income consisted primarily of accrued transaction costs related to the proposed business transaction with Gores Guggenheim Inc. As of December 31, 2020, prepaid expenses and accrued interest income consisted primarily of prepaid expenses related to marketing and accrued interest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presented in Note 3 – Common control transaction, the concept of share capital did not exist under the Old Parent’s limited company structure and was introduced under the New Parent’s private company limited structure. As of December 31, 2020, share capital consisted of Class A common shares which were fully paid, authorised, issued and outstanding.</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After the issuance of 14,371,808 Class A common shares in December 2020, total common shares issued and outstanding were 214,371,808 as of December 31, 2020, with each common share valued at $6.15 (in ones). Class A common shares were issued at no par value.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March 2021, the Group’s Board of Directors distributed 18,032,787 shares of newly authorised Class B common shares at $30.50 (in ones) a share for proceeds of $550,000; related issuance costs amounted to $2,843. Of the 18,032,787 shares issued, 4,262,295 were issued to Geely. In July 2021, 17,345,079 Class A common shares were converted to Class B common shares. Following these events, total Class A and Class B common shares issued and outstanding were 232,404,595, with each share valued at $8.04 (in ones). Class A and B common shares were both issued with no par value.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share capital consists of Class A and Class B common shares which were fully paid, authorised, issued and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number of common shares issued and outstanding were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4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0"/>
        </w:trPr>
        <w:tc>
          <w:tcPr>
            <w:tcW w:w="54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Balance as of September 14, 2020</w:t>
            </w:r>
            <w:r>
              <w:rPr>
                <w:rFonts w:ascii="Times New Roman" w:cs="Times New Roman" w:eastAsia="Times New Roman" w:hAnsi="Times New Roman"/>
                <w:sz w:val="24"/>
                <w:szCs w:val="24"/>
                <w:b w:val="1"/>
                <w:bCs w:val="1"/>
                <w:color w:val="auto"/>
                <w:vertAlign w:val="superscript"/>
              </w:rPr>
              <w:t>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14,371,808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214,371,808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18,032,787</w:t>
            </w:r>
          </w:p>
        </w:tc>
        <w:tc>
          <w:tcPr>
            <w:tcW w:w="6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(17,345,079)</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17,345,079</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35,377,866.00</w:t>
            </w:r>
          </w:p>
        </w:tc>
        <w:tc>
          <w:tcPr>
            <w:tcW w:w="60" w:type="dxa"/>
            <w:vAlign w:val="bottom"/>
          </w:tcPr>
          <w:p>
            <w:pPr>
              <w:spacing w:after="0"/>
              <w:rPr>
                <w:sz w:val="19"/>
                <w:szCs w:val="19"/>
                <w:color w:val="auto"/>
              </w:rPr>
            </w:pPr>
          </w:p>
        </w:tc>
      </w:tr>
    </w:tbl>
    <w:p>
      <w:pPr>
        <w:spacing w:after="0" w:line="117" w:lineRule="exact"/>
        <w:rPr>
          <w:sz w:val="20"/>
          <w:szCs w:val="20"/>
          <w:color w:val="auto"/>
        </w:rPr>
      </w:pPr>
    </w:p>
    <w:p>
      <w:pPr>
        <w:ind w:left="120" w:right="1120" w:hanging="4"/>
        <w:spacing w:after="0" w:line="532" w:lineRule="auto"/>
        <w:tabs>
          <w:tab w:leader="none" w:pos="3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September 14, 2020 is the date of the common control transaction. Refer to Note 3 – Common control transaction for further details. The rights of Class A and Class B common shareholders are identical, except with respect to voting rights as specified below.</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Polestar Group has two classes of common shares which carry no right to fixed income. On any matter presented to the shareholders of the Group at any meeting of the shareholders, the holders of Class A common shares are entitled to ten votes per share; holders of Class B common shares are entitled to one vote per share.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Of the $35,231,</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$9,531 is held by Geely. The convertible notes (“Notes”) are non-interest bearing and not eligible to receive a coupon or dividend for the first 24 months after issuance, at which point in time the convertible notes will be eligible to receive dividends equivalent to Class B common shares, pending approval from the Board of Directors.</w:t>
      </w:r>
    </w:p>
    <w:p>
      <w:pPr>
        <w:spacing w:after="0" w:line="186"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convertible notes will be automatically converted into Class B common shares upon (1) an issuance of equity securities in an amount greater than $50,000 to any entity that owns more than 35% voting power in the Polestar Group, (2) the occurrence of an initial public offering, combination with a special purpose acquisition company, or direct listing of the Polestar Group, (3) a liquidation of the Polestar Group, or (4) the non-occurrence of any of the preceding events by the 24-month anniversary of the issuance of the convertible note (i.e., each a qualifying conversion event).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in liquidation, the conversion price of a qualifying conversion event is dependent upon the per share price of the corresponding equity securities offered and may be subject to a discount, depending on the time elapsed since the issuance of the convertible note. In liquidation, the convertible notes are converted to Class B common shares at a fixed conversion price. Additionally, the Polestar Group has the ability to convert the convertible note to Class B common shares for a fixed conversion price at will prior to the occurrence of a qualifying conversion event. The convertible notes may only be settled via the issuance of equity, regardless of whether or not a qualifying conversion event occurs.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Accordingly, the Group accounted for the convertible notes as equity upon issuance and classified them within other contributed capital. As of December 31, 2021 all $35,231 of the convertible notes remained outstanding as none of the convertible notes had been converted to Class B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translation reserve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currency translation reserve comprises exchange rate differences resulting from the translation of financial reports of foreign operations that have prepared their financial reports in a currency other than Polestar Group’s reporting currency.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Accumulated deficit</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Accumulated deficit comprises Net loss for the year and preceding years less any profits distributed. Accumulated deficit also includes the effects of business combinations under common control within Polestar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 Current and non-current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Group’s current and non-current provisions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Warranties</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74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provisions</w:t>
            </w:r>
          </w:p>
        </w:tc>
        <w:tc>
          <w:tcPr>
            <w:tcW w:w="200" w:type="dxa"/>
            <w:vAlign w:val="bottom"/>
            <w:tcBorders>
              <w:left w:val="single" w:sz="8" w:color="auto"/>
            </w:tcBorders>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3,533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1,595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(24,348)</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3"/>
              </w:rPr>
              <w:t>5,128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14,683</w:t>
            </w:r>
          </w:p>
        </w:tc>
        <w:tc>
          <w:tcPr>
            <w:tcW w:w="120" w:type="dxa"/>
            <w:vAlign w:val="bottom"/>
          </w:tcPr>
          <w:p>
            <w:pPr>
              <w:spacing w:after="0"/>
              <w:rPr>
                <w:sz w:val="20"/>
                <w:szCs w:val="20"/>
                <w:color w:val="auto"/>
              </w:rPr>
            </w:pPr>
          </w:p>
        </w:tc>
        <w:tc>
          <w:tcPr>
            <w:tcW w:w="200" w:type="dxa"/>
            <w:vAlign w:val="bottom"/>
            <w:tcBorders>
              <w:left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18,759</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12,892</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15,546</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34,305</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14,683</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68,081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6,867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64,087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7,628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11,038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82,753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28,660</w:t>
            </w:r>
          </w:p>
        </w:tc>
        <w:tc>
          <w:tcPr>
            <w:tcW w:w="320" w:type="dxa"/>
            <w:vAlign w:val="bottom"/>
          </w:tcPr>
          <w:p>
            <w:pPr>
              <w:spacing w:after="0"/>
              <w:rPr>
                <w:sz w:val="19"/>
                <w:szCs w:val="19"/>
                <w:color w:val="auto"/>
              </w:rPr>
            </w:pPr>
          </w:p>
        </w:tc>
        <w:tc>
          <w:tcPr>
            <w:tcW w:w="8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3"/>
              </w:rPr>
              <w:t>6,325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Pr>
          <w:p>
            <w:pPr>
              <w:spacing w:after="0"/>
              <w:rPr>
                <w:sz w:val="19"/>
                <w:szCs w:val="19"/>
                <w:color w:val="auto"/>
              </w:rPr>
            </w:pPr>
          </w:p>
        </w:tc>
        <w:tc>
          <w:tcPr>
            <w:tcW w:w="200" w:type="dxa"/>
            <w:vAlign w:val="bottom"/>
            <w:tcBorders>
              <w:left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35,427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employee benefits relates to the Group’s short-term incentive plan and LTVP. Refer to Note 6 – Employee benefits for more details.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 campaign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2021, the Group did not initiate any safety recalls or service campaigns.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fourth quarter of 2020, Polestar performed a safety recall and service campaign related to the PS2 to replace defective power inverters and high voltage coolant heaters (“HVCH”). Polestar is engaged in a sourcing level agreement with Volvo Cars related to the PS2 where Volvo Cars is the party having a relationship with the ultimate supplier. Volvo Cars subsequently compensated Polestar for the recalls, in full, in the amount of $78,978 for the faulty inverters and HVCH. Vehicles affected by the recall included those that had been sold to end customers as well as those still in inventory as of year-end, which were subsequently repaired before being sold to end customers. As of December 31, 2020, the Group has recovered all costs associated with the recall and service campaign.</w:t>
      </w:r>
    </w:p>
    <w:p>
      <w:pPr>
        <w:spacing w:after="0" w:line="187"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To the extent vehicles had not been sold to end customers as of year-end, no warranty provision has been recognised for those vehicles. Costs for these vehicles are initially recognised in inventory as vehicles are repaired and subsequently reported as cost of goods sold upon sale to end customers.</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60"/>
          </w:cols>
          <w:pgMar w:left="320" w:top="455" w:right="5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20 –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liabilities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prepaid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19,642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 payable</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46,464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55,965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repurchase obligations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167,626</w:t>
            </w:r>
          </w:p>
        </w:tc>
      </w:tr>
      <w:tr>
        <w:trPr>
          <w:trHeight w:val="20"/>
        </w:trPr>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Accrued expenses and prepaid income consisted of primarily accrued expenses related to marketing and product development; personnel related liabilities consisted of wages, salaries, and other benefits payable.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21 – Liabilities to credit institutions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December 31, 2021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USD</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830,000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500,000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78,650</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609,209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unsecured borrowings as of December 31, 2020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984,551</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150,735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45,930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120,700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344,747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had the following outstanding bank loans:</w:t>
      </w:r>
    </w:p>
    <w:p>
      <w:pPr>
        <w:spacing w:after="0" w:line="225" w:lineRule="exact"/>
        <w:rPr>
          <w:sz w:val="20"/>
          <w:szCs w:val="20"/>
          <w:color w:val="auto"/>
        </w:rPr>
      </w:pPr>
    </w:p>
    <w:p>
      <w:pPr>
        <w:ind w:left="120" w:right="60" w:hanging="4"/>
        <w:spacing w:after="0" w:line="289" w:lineRule="auto"/>
        <w:tabs>
          <w:tab w:leader="none" w:pos="30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57" w:lineRule="exact"/>
        <w:rPr>
          <w:rFonts w:ascii="Times New Roman" w:cs="Times New Roman" w:eastAsia="Times New Roman" w:hAnsi="Times New Roman"/>
          <w:sz w:val="17"/>
          <w:szCs w:val="17"/>
          <w:color w:val="auto"/>
        </w:rPr>
      </w:pPr>
    </w:p>
    <w:p>
      <w:pPr>
        <w:ind w:left="120" w:hanging="4"/>
        <w:spacing w:after="0" w:line="266" w:lineRule="auto"/>
        <w:tabs>
          <w:tab w:leader="none" w:pos="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$130,559. This loan was agreed to in July 2021; part of this loan was funded in July 2021 and part was funded in September 2021, with an overall expiry of July 2022. The loan carries interest at a rate of 3.915% per annum.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hanging="4"/>
        <w:spacing w:after="0" w:line="282" w:lineRule="auto"/>
        <w:tabs>
          <w:tab w:leader="none" w:pos="30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$78,650. This loan was agreed to in June 2021 with an expiry of June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carries interest at the latest 12-month national interbank offered rate plus 1.1%.</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ensure the Group can meet vehicle demand and fund operations related to vehicle sales. These facilities provide access to credit for 1-4 years, with the option to renew as mutually determined by Polestar Group and the financial service provider. As of December 31, 2021 and 2020, the aggregate amount outstanding under these arrangements was $32,453 and $1,345, respectively. Of the $32,453 outstanding as of December 31, 2021, $13,789 was related to the working capital loan with Volvo Cars, further detailed in Note 23 – Related party transactions.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Group had the following outstanding bank loans:</w:t>
      </w:r>
    </w:p>
    <w:p>
      <w:pPr>
        <w:spacing w:after="0" w:line="225" w:lineRule="exact"/>
        <w:rPr>
          <w:sz w:val="20"/>
          <w:szCs w:val="20"/>
          <w:color w:val="auto"/>
        </w:rPr>
      </w:pPr>
    </w:p>
    <w:p>
      <w:pPr>
        <w:ind w:left="120" w:right="20" w:hanging="4"/>
        <w:spacing w:after="0" w:line="282" w:lineRule="auto"/>
        <w:tabs>
          <w:tab w:leader="none" w:pos="30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$150,735. This loan was agreed to in June 2020 with an expiry of June 2021. The loan carries interest at the interbank loan prime rate plus 0.065%, settled either monthly or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82" w:lineRule="auto"/>
        <w:tabs>
          <w:tab w:leader="none" w:pos="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$45,930. This loan was agreed to in December 2020 with an expiry of May 2021. The loan carries interest at the latest 12-month national interbank rate minus 0.37%, settled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66" w:lineRule="auto"/>
        <w:tabs>
          <w:tab w:leader="none" w:pos="30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uncommitted facility from a bank in the United Kingdom. The outstanding balance as of December 31, 2020 was $148,082. This loan was agreed to in December 2020 with an expiry of June 2021. The loan carries interest at 2.1% per annum over the relevant interbank offered rate, plus a flat arrangement fee of 0.25% to be paid on the value of the facility payable. Interest is to be paid at the end of the agreed upon financing term.</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Since all of the above identified contracts are short-term with terms of twelve months or less, the carrying amount of each contract is deemed to be a reasonable approximation of fair value. The Group’s risk management policies related to its debt instruments are further detailed in Note 2 – Financial risk management.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Group’s creditors do not require Polestar to maintain any material debt covenants. Unless the Group is unable to make its debt payments, there are no events, financial or otherwise, which trigger default under the debt contracts.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2021 and 2020, $14,465 and $17,398 of this financing obligation was outstanding, respectively, and had accrued interest of $1,679 and $301, respectively. As the financing obligation is short-term in nature, the total outstanding amount is reflected in liabilities to credit institutions in the Consolidated Statement of Financial 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22 – Supplemental cash flow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6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Purchases of intangible assets in trade payables – related parties and accrued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 – related parties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357,760</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143,986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135,989</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recognition of ROU assets and liabilities</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12,376</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61,529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3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 in trade payables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17,341</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23 – Related party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parties are as follows:</w:t>
      </w:r>
    </w:p>
    <w:p>
      <w:pPr>
        <w:spacing w:after="0" w:line="225" w:lineRule="exact"/>
        <w:rPr>
          <w:sz w:val="20"/>
          <w:szCs w:val="20"/>
          <w:color w:val="auto"/>
        </w:rPr>
      </w:pPr>
    </w:p>
    <w:p>
      <w:pPr>
        <w:ind w:left="300" w:hanging="184"/>
        <w:spacing w:after="0"/>
        <w:tabs>
          <w:tab w:leader="none" w:pos="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of directors, CEO and other key management employees in any Polestar entity;</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spouse or co-habitee of, or a person under the custody of, any person referred to in “a)” above;</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entities controlled by any person, alone or jointly, referred to under “a)” and “b)” above;</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that is a parent company, subsidiary, joint venture, or associate within Geely and Volvo Cars;</w:t>
      </w:r>
    </w:p>
    <w:p>
      <w:pPr>
        <w:spacing w:after="0" w:line="22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0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in which a company within the Polestar Group holds, or otherwise controls, between 20-50 % (i.e., an associate or joint venture of any company within the Polestar Group); or</w:t>
      </w:r>
    </w:p>
    <w:p>
      <w:pPr>
        <w:spacing w:after="0" w:line="161" w:lineRule="exact"/>
        <w:rPr>
          <w:rFonts w:ascii="Times New Roman" w:cs="Times New Roman" w:eastAsia="Times New Roman" w:hAnsi="Times New Roman"/>
          <w:sz w:val="18"/>
          <w:szCs w:val="18"/>
          <w:color w:val="auto"/>
        </w:rPr>
      </w:pPr>
    </w:p>
    <w:p>
      <w:pPr>
        <w:ind w:left="120" w:hanging="4"/>
        <w:spacing w:after="0" w:line="282" w:lineRule="auto"/>
        <w:tabs>
          <w:tab w:leader="none" w:pos="2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family member of such person, that has direct or indirect control or joint control of a Polestar entity, has significant influence over a Polestar entity or is a member of the key management of Polestar Group.</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Historically,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relationship with Geely and Volvo Cars assisted in the development of favorable agreements with both parties at arm’s length reach. 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Such agreements provided advantages for the Group, including cost management and go-to-market efficiency.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agreements with related parties are on an arm’s length basis.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80"/>
          </w:cols>
          <w:pgMar w:left="320" w:top="455"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entered into Service Agreements with Volvo Cars regarding the procurement of direct (production related) materials.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2021, Polestar entered into a unique vendor tooling agreement with Geely whereby Geely agrees to provide manufacturing OEM services for the Polestar model 4 vehicle (“PS4”). Refer to Note 24 – Commitments and contingencies for further details regarding this unique vendor tooling agreement.</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Group purchased contract manufacturing services, manufacturing and logistics engineering services, and entered into tool sharing agreements with related parties.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Until November 2021, production of the PS2 was executed at the Geely owned Luqiao plant through contract manufacturing agreements. In November 2021, ownership transferred to Volvo Cars and the plant was renamed to Taizhou.</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 The Group outsourced the manufacturing engineering for the production process of the PS1, PS2, and PS3 to Volvo Cars.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9 – Leases for more information on Polestar’s leasing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software, and performance engineered kits to Volvo Cars. Additionally, in 2020, the Group sold and delivered prototype engines to Geely and commercial vehicles and carbon credits to Volvo Cars. Refer to Note 4 – Revenue for further discussion on revenue recognised in accordance with IFRS 15.</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Polestar Group sells vehicles to related parties, Volvo Cars and Volvofinans Bank AB (“Volvofinans Bank”). Volvofinans Bank sells these vehicles to end customers when the end customers choose to finance the vehicles via Volvofinans Bank.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and Volvo Car Financial Services, doing business as Polestar Financial Services (“PFS”), entered into residual value guarantee agreements with Bank of America, National Association (“BANA”) in the US. BANA sought to obtain economic protection against degradations in the residual value of leased vehicles it funds, and Polestar USA agreed to provide such protection as a service for a fee.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 purchases sales and distribution services from Volvo Cars related to distribution and outbound logistics, market research, delivery of vehicles and other products and global customer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While the Group has its own information technology (“IT”) department, to a certain extent it operates in a shared IT environment with Volvo Cars and purchases service and software license agreements related to resource planning systems, operations, infrastructure, networking, communications, collaboration, integration and application hosting.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Other related party agreements in place with Volvo Cars primarily relate to service agreements to support corporate and/or back-office functions, including human resources (“HR”), legal, accounting, and other functions.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HR support services relate to activities associated with payroll administration, training and workforce administration.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support services include routine work associated with patent and brand registrations and competition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and finance support services include finance administration, local legal entity accounting and financial reporting.</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December 31, 2021, the entire amount of this financing arrangement remained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Working capital loans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2021, December 31, 2020 and 2019, interest expense for these loans was nil, $8,684 and $5,037, respectively.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is related to Geely. As of December 31, 2021, all $9,531 of the Notes related to Geely are outstanding as none of the Notes had been converted to shares of Class B common shares. Refer to Note 18 – Equity for further details on the Notes.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Of the 18,032,787 Class B common shares issued in March 2021 to raise $550,000 in capital, 4,262,295 Class B common shares were issued to Geely, representing $130,000 of the total capital raised. Refer to Note 18 - Equity for further details on these share issuances.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agreements discussed above impact the Group’s financial statements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Related party revenue transactions relate to product development and sales and distribution agreements discussed above. Total revenue recognised for each related party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3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128,980</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147,455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92,387</w:t>
            </w:r>
          </w:p>
        </w:tc>
        <w:tc>
          <w:tcPr>
            <w:tcW w:w="80" w:type="dxa"/>
            <w:vAlign w:val="bottom"/>
          </w:tcPr>
          <w:p>
            <w:pPr>
              <w:spacing w:after="0"/>
              <w:rPr>
                <w:sz w:val="19"/>
                <w:szCs w:val="19"/>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revenue from related parties amounted to $128,980 or 9.65% of total revenue. For the year ended December 31, 2020, revenue from related parties amounted to $147,455 or 24.16% of total revenue. For the year ended December 31, 2019, related party revenue was $92,387 or 99.97% of total revenue.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licenses to intellectual property, and other agreements as discussed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5"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of PS2 vehicles were from Geely until the change in plant ownership in November 2021; purchases and their related payables were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Volvo Cars subsequent to this event. The total purchases of goods, services and other for each related party was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570,429</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782,864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1,776,472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1,059,713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387,181</w:t>
            </w:r>
          </w:p>
        </w:tc>
        <w:tc>
          <w:tcPr>
            <w:tcW w:w="8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2021, Polestar Group entered into agreements with Volvo Cars and Geely to acquire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recognised asset reflects the relevant proportion of Polestar Group’s interest. The recognised asset associated with these agreements as of December 31, 2021 was $1,175,218, of which acquisitions attributable to 2021 were $349,876. The recognised asset associated with these agreements as of December 31, 2020 was $1,080,308, of which acquisitions attributable to 2020 were $311,546.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 related</w:t>
            </w: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235,622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627,729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Group’s interest expense on current liabilities due to Volvo Cars for the years ended December 31, 2021 and 2020 was $11,521 and $11,210, respectively. The Group’s interest expense on current liabilities due to Geely for the years ended December 31, 2021 and 2020 was $19,280 and nil,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 related parties</w:t>
            </w: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194,503</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208,444</w:t>
            </w:r>
          </w:p>
        </w:tc>
        <w:tc>
          <w:tcPr>
            <w:tcW w:w="60" w:type="dxa"/>
            <w:vAlign w:val="bottom"/>
          </w:tcPr>
          <w:p>
            <w:pPr>
              <w:spacing w:after="0"/>
              <w:rPr>
                <w:sz w:val="19"/>
                <w:szCs w:val="19"/>
                <w:color w:val="auto"/>
              </w:rPr>
            </w:pPr>
          </w:p>
        </w:tc>
      </w:tr>
      <w:tr>
        <w:trPr>
          <w:trHeight w:val="371"/>
        </w:trPr>
        <w:tc>
          <w:tcPr>
            <w:tcW w:w="66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F-60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Incentives to key management personnel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year-ended December 31, 2019, Volvo Cars provided an equity-based investment opportunity for certain members of the Group’s management team. The Polestar Investment Plan was launched to incentivise the retention of key personnel with pivotal roles in the development of the Group into a successful standalone company. Each participant was offered the opportunity to purchase shares in Polestar Investment AB (“PSINV AB”), a subsidiary of Volvo Cars. Accordingly, participants of the Polestar Investment Plan are indirectly minority owners of the Group. In accordance with external valuation, the investment in PSINV AB was made at fair market value.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total ownership interest of the Group’s members of management who hold shares in PSINV AB is 45.25% of total shares issued under Volvo Car’s Polestar Investment Plan. Management evaluated the Polestar Investment Plan to determine whether it qualified as an equity-settled share-based payment transaction within the scope of IFRS 2, as the participants receive shares of equity in exchange for their investment and more than one entity is involved in delivering the benefit to the participants. Given Polestar Group does not receive identifiable or unidentifiable goods or services in exchange for the equity purchase of PSINV AB, the transaction is not within the scope of IFRS 2. Furthermore, the Polestar Investment Plan is an agreement with Volvo Cars and individual members of Polestar Group’s prior EMT, as participants were given the option to purchase equity shares in PSINV AB, an entity outside of the legal entity structure of Polestar Group. Therefore, the Polestar Investment Plan is not a share-based payment transaction in the scope of IFRS 2 and there is no financial statement impact on the Group.</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6 - Employee benefits for details on compensation to the EMT and managing directors at the Group’s sales units.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party share ownership as of December 31, 2021 and 2020 was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95,961,904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105,461,904</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99,340,825</w:t>
            </w:r>
          </w:p>
        </w:tc>
        <w:tc>
          <w:tcPr>
            <w:tcW w:w="4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7"/>
              </w:rPr>
              <w:t>107,185,904</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 Investment AB</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1,724,000</w:t>
            </w: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1,724,000</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214,371,808</w:t>
            </w:r>
          </w:p>
        </w:tc>
        <w:tc>
          <w:tcPr>
            <w:tcW w:w="60" w:type="dxa"/>
            <w:vAlign w:val="bottom"/>
          </w:tcPr>
          <w:p>
            <w:pPr>
              <w:spacing w:after="0"/>
              <w:rPr>
                <w:sz w:val="19"/>
                <w:szCs w:val="19"/>
                <w:color w:val="auto"/>
              </w:rPr>
            </w:pPr>
          </w:p>
        </w:tc>
      </w:tr>
      <w:tr>
        <w:trPr>
          <w:trHeight w:val="399"/>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24"/>
                <w:szCs w:val="24"/>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17,345,079</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5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4,262,295</w:t>
            </w:r>
          </w:p>
        </w:tc>
        <w:tc>
          <w:tcPr>
            <w:tcW w:w="86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21,607,374</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5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December 31, 2019, related parties collectively owned 200,000,000 Class A common shares, of which Volvo Cars (China) Investment Co., Ltd held 100,000,000 shares and Zhejiang Geely Holding Group Co., Ltd held 100,000,000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further details.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 Aggregate payments Polestar will make to Geely under this agreement and the amounts of future commitments are $137,382 as of December 31, 2021.</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Around the same time, 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totaling an aggregate amount of $414,055. Future commitments related to these agreements as of December 31, 2021 were $329,216. The agreements also obligate Polestar to make certain royalty payments per vehicle sold once the PS4 reaches commercialisation.</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2019, Polestar Group entered into a type bound and unique equipment agreement for the PS3. In addition, Polestar Group entered into volume commitments related to common technology shared with Volvo Cars. If Polestar’s share of Volvo Cars investment in common tooling is not recovered by Volvo Cars, Polestar will reimburse Volvo Cars such costs.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As of December 31, 2021, commitments to acquire PPE and intangible assets were $235,573 and $501,207, respectively. As of December 31, 2020, commitments to acquire PPE and intangible assets were $79,365 and $313,675,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did not have any liabilities related to such contingencies as of December 31,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25 – Subsequent events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following events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80"/>
          </w:cols>
          <w:pgMar w:left="320" w:top="455"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which occurred subsequent to December 31, 2021 merited disclosure in these Consolidated Financial Statements. Management determined that no adjustments were required to the figures presented as a result of these events.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On March 24, 2022, Polestar made a drawdown of EUR 86,634,703, or approximately $94,500. This loan carries interest at the relevant interbank offered rate plus 2.1% per annum and has a repayment period of 90 days.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March 3, 2022, Snita B.V. and PSD Investment Ltd. each issued official declarations of intent that set forth their intention to fund Polestar’s continued growth under the Group’s current business plan. Both parties intend to subscribe to their pro rata share of any future equity or equity-linked securities issued by Polestar.</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The Hertz Corporation (“Hertz”) pursuant to which Hertz intends to commit to purchase 65,000 or more Polestar vehicles during a 5-year period beginning in 2022. Polestar and Hertz intend to sign four regional purchase agreements covering the United States, Canada, Europe, and Australia. The new global strategic partnership was announced by Polestar and Hertz Global Holdings, Inc. on April 4, 2022. Availability of vehicles is expected to begin in Spring 2022 in Europe and late 2022 in North America and Australia. Under the partnership, Hertz is expected to initially order PS2s.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March 2022, Polestar signed two agreements with Geely for Polestar to license technology from Geely related to the development and manufacturing of the PS4. The duration of these agreements is through 2024.</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April 14, 2022, Volvo Cars and Polestar entered into a letter of agreement to extend the terms of SEK 5,046,000,000, or the equivalent of $528,064, in related party trade payables due from Polestar as part of Volvo Cars’ ongoing support of Polestar and its growth strategy. These related party trade payables are now due to Volvo Cars on June 30, 2023.</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June 2021, four new employee incentive plans were approved by the Board of Directors. All four of the programs are expected to go into effect in 2022 upon the completion of the business combination with Gores Guggenheim Inc. The new incentive plans awarded to the EMT and select management team members include (1) a one-time issuance of restricted shares of Class A common shares in a value equal to a certain percentage of the awardee’s base salary. Upon issuance, one third of these shares vest immediately, while the remaining shares vest in equal installments on the 12-month and 24-month anniversary of the original issuance and (2) a replacement of the current LTVP in the form of an annual issuance of restricted shares and performance shares of Class A common shares equal to a certain percentage of the awardee’s base salary, depending on awardee’s position at the Polestar Group, with a 3-year vesting period. The new incentive plans awarded to all employees include (3) a one-time issuance of Class A common shares in a value equal to 4% of the awardee’s base salary and (4) an annual share matching program whereby the awardee is offered the opportunity to invest up to 2% of their base salary of the Polestar Group and receive the issuance of Class A common shares in equal value for free.</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Gores Guggenheim Inc. as described in Note 1 – Significant accounting policies and judgements, Volvo Cars entered into an agreement with Polestar Group, which was subsequently amended in March 2022, to subscribe for mandatory convertible preference shares in Polestar Automotive Holding UK Limited. Concurrently with the closing of the business combination agreement with Gores Guggenheim Inc., the preference shares will be issued in consideration of the payment by Volvo Cars of a cash amount totaling $588,826, which will be used to repay outstanding payables owed to Volvo Cars. Each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preference share will be convertible into Class A common shares at a conversion price of $10.00 per Polestar Automotive Holding UK Limited Ordinary Share. The execution of this agreement is contingent on the closing of the business combination with Gores Guggenheim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240"/>
        <w:spacing w:after="0" w:line="286" w:lineRule="auto"/>
        <w:rPr>
          <w:sz w:val="20"/>
          <w:szCs w:val="20"/>
          <w:color w:val="auto"/>
        </w:rPr>
      </w:pPr>
      <w:r>
        <w:rPr>
          <w:rFonts w:ascii="Times New Roman" w:cs="Times New Roman" w:eastAsia="Times New Roman" w:hAnsi="Times New Roman"/>
          <w:sz w:val="21"/>
          <w:szCs w:val="21"/>
          <w:b w:val="1"/>
          <w:bCs w:val="1"/>
          <w:color w:val="auto"/>
        </w:rPr>
        <w:t>Polestar Automotive Holding UK PLC (formerly known as Polestar Automotive Holding UK Limited) Consolidated Financial Statements for the period September 15, 2021 to December 31, 2021</w:t>
      </w:r>
    </w:p>
    <w:p>
      <w:pPr>
        <w:spacing w:after="0" w:line="7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0320"/>
          </w:cols>
          <w:pgMar w:left="320" w:top="455" w:right="12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 of Polestar Automotive Holding UK PLC (formerly known as Polestar Automotive Holding UK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Polestar Automotive Holding UK PLC (formerly known as Polestar Automotive Holding UK Limited) (the “Company”) as of September 15, 2021 and December 31, 2021, the related statement of changes in equity for the period September 15, 2021 to December 31, 2021, and the related notes (collectively referred to as the “financial statements”). In our opinion, the financial statements present fairly, in all material respects, the financial position of the Company as of September 15, 2021 and December 31, 2021, in conformity with International Financial Reporting Standards as issued by the International Accounting Standards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44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15,</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 related parties</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28,846,674</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 - related parties</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(28,846,674)</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(28,846,674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F-67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432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5"/>
        </w:trPr>
        <w:tc>
          <w:tcPr>
            <w:tcW w:w="3920" w:type="dxa"/>
            <w:vAlign w:val="bottom"/>
          </w:tcPr>
          <w:p>
            <w:pPr>
              <w:spacing w:after="0"/>
              <w:rPr>
                <w:sz w:val="2"/>
                <w:szCs w:val="2"/>
                <w:color w:val="auto"/>
              </w:rPr>
            </w:pPr>
          </w:p>
        </w:tc>
        <w:tc>
          <w:tcPr>
            <w:tcW w:w="4340" w:type="dxa"/>
            <w:vAlign w:val="bottom"/>
            <w:vMerge w:val="restart"/>
          </w:tcPr>
          <w:p>
            <w:pPr>
              <w:spacing w:after="0"/>
              <w:rPr>
                <w:sz w:val="2"/>
                <w:szCs w:val="2"/>
                <w:color w:val="auto"/>
              </w:rPr>
            </w:pP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Share capital</w:t>
            </w:r>
          </w:p>
        </w:tc>
        <w:tc>
          <w:tcPr>
            <w:tcW w:w="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920" w:type="dxa"/>
            <w:vAlign w:val="bottom"/>
          </w:tcPr>
          <w:p>
            <w:pPr>
              <w:spacing w:after="0"/>
              <w:rPr>
                <w:sz w:val="12"/>
                <w:szCs w:val="12"/>
                <w:color w:val="auto"/>
              </w:rPr>
            </w:pPr>
          </w:p>
        </w:tc>
        <w:tc>
          <w:tcPr>
            <w:tcW w:w="43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15, 2021</w:t>
            </w:r>
          </w:p>
        </w:tc>
        <w:tc>
          <w:tcPr>
            <w:tcW w:w="4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5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52"/>
        </w:trPr>
        <w:tc>
          <w:tcPr>
            <w:tcW w:w="3920" w:type="dxa"/>
            <w:vAlign w:val="bottom"/>
          </w:tcPr>
          <w:p>
            <w:pPr>
              <w:spacing w:after="0"/>
              <w:rPr>
                <w:sz w:val="24"/>
                <w:szCs w:val="24"/>
                <w:color w:val="auto"/>
              </w:rPr>
            </w:pPr>
          </w:p>
        </w:tc>
        <w:tc>
          <w:tcPr>
            <w:tcW w:w="50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F-68</w:t>
            </w: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Company”), company number 13624182, was incorporated as a private company under the laws of England and Wales on September 15, 2021 as a direct wholly owned subsidiary of Polestar Automotive Holding Limited, a limited company incorporated in Hong Kong. Effective May 5, 2022, the Company re-registered as a public limited company. Together with its subsidiaries, Polestar Automotive Holding Limited is referred to as “Polestar”, “Polestar Group” or the “Group”. The Company is registered as a USD company.</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becoming the ultimate parent company in the Polestar Group following the transactions contemplated in the business combination agreement, dated September 27, 2021 (the “Business Combination Agreement”) by and among the Company, Polestar Group, and Gores Guggenheim Inc. (“GGI”), a special purpose acquisition company. The Company maintains one direct wholly owned subsidiary, PAH UK Merger Sub Inc. (“Merger Sub”), a Delaware corporation. Merger Sub was incorporated on September 15, 2021 to facilitate the consummation of the Business Combination Agreement. As of December 31, 2021, Merger Sub had no assets, liabilities, or operations.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Merger Sub will merge with and into GGI, pursuant to which the separate corporate existence of Merger Sub will cease, with GGI being the surviving corporation and becoming a wholly owned subsidiary of the Company. Following the consummation of the transactions contemplated by the Business Combination Agreement, the Company will be the surviving publicly-traded corporation. However, the consummation of the transactions contemplated by the Business Combination Agreement is subject to numerous conditions, and there can be no assurances that such conditions will be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Statements of Financial Position and Consolidated Statements of Changes in Equity have been prepared in accordance with the International Financial Reporting Standards (“IFRS”) issued by the International Accounting Standards Board (“IASB”), on the historical cost basis, and in the presentation currency USD. All amounts are in actual USD unless otherwise stated. Separate statements of operations, comprehensive income, and cash flows have not been presented in the Consolidated Financial Statements because there have been no operating activities in the Company during the period September 15, 2021 to December 31,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financial assets and other financial liabilities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 A financial asset or financial liability is included in the balance sheet when the entity becomes a party to the contractual terms of the instrument. Other financial liabilities and other financial assets, including liabilities to and receivables from related parties, are valued at amortized cost. A financial asset is removed from the balance sheet when the contractual right to cash flow from the asset has ceased or been settled. The same applies where the risks and benefits associated with the holding are essentially transferred to another party and the entity no longer has control over the financial asset. A financial liability is derecognised when the agreed obligation has been fulfilled or ceased.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costs in an offering of equity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of offering of equity securities, incremental costs that otherwise would not have been incurred are deferred and capitalized in the balance sheet as an financial asset at amortized cost instead of expensed as incurred. When cash is received from investors as part of the offering, such deferred incremental costs are derecognised and deducted from additional paid-in capital.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Related party transaction with Polestar Group</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During the period September 15, 2021 to December 31, 2021, Polestar Group incurred $28,846,674 in transaction costs related to the transactions contemplated in the Business Combination Agreement. These costs consist of professional service fees for lawyers, accountants, bankers, and other advisors. The Company will become the ultimate parent company following the consummation of the transactions contemplated in the Business Combination Agreement and will reimburse the related Polestar Group entity for these costs. As such, the Polestar Group entity is a related party to the Company. Upon the consummation of the transactions contemplated in the Business Combination Agreement, these costs will offset proceeds from the transactions in equity. Accordingly, the Company recorded these costs in the Company’s Consolidated Statements of Financial Position under the captions Other current assets and Other current liabilities - related parties.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Share capital</w:t>
      </w:r>
    </w:p>
    <w:p>
      <w:pPr>
        <w:spacing w:after="0" w:line="121"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Company was incorporated on September 15, 2021 and issued 1 Class A ordinary share at $1 to an entity in the Polestar Group. On October 15, 2021, the Company had the following changes in equity:</w:t>
      </w:r>
    </w:p>
    <w:p>
      <w:pPr>
        <w:spacing w:after="0" w:line="67"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sub-division of initial equity from 1 Class A ordinary share at $1 per share to 100 Class A ordinary shares at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issuance of 900 Class A ordinary shares at $0.01 per share to the related Polestar Group entity.</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Company’s authorized share capital consists of 1,000 Class A ordinary shares at $0.01 per share, for a total of $10. Each Class A ordinary share maintains one voting right. The entire amount of this equity is held by an entity in the Polestar Group and recorded as a receivable under the caption Other receivables - related parties in the Company’s Consolidated Statements of Financial 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were no events which occurred subsequent to December 31, 2021 that merited disclosure in these Consolidated Financial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80"/>
          </w:cols>
          <w:pgMar w:left="320" w:top="455" w:right="49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Plan’s purpose is to assist employees of the Company and its Designated Companies in acquiring a share ownership interest in the Company, and to help such employees provide for their future security and to encourage them to remain in the employment of the Company and its Subsidiaries and Affiliates.</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Companies in locations within or outside of the United States. Except as otherwise provided herein or determined by the Administrator,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Plan, the Administrator may designate separate Offerings under the Plan, the terms of which need not be identical, in which Eligible Employees will participate, even if the dates of the applicable Offering Period(s) in each such Offering is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words and phrases have the meanings specified below, unless the context clearly indicates otherwise:</w:t>
      </w:r>
    </w:p>
    <w:p>
      <w:pPr>
        <w:spacing w:after="0" w:line="22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u w:val="single" w:color="auto"/>
          <w:color w:val="auto"/>
        </w:rPr>
        <w:t>Administrator</w:t>
      </w:r>
      <w:r>
        <w:rPr>
          <w:rFonts w:ascii="Times New Roman" w:cs="Times New Roman" w:eastAsia="Times New Roman" w:hAnsi="Times New Roman"/>
          <w:sz w:val="18"/>
          <w:szCs w:val="18"/>
          <w:color w:val="auto"/>
        </w:rPr>
        <w:t>” means the Committee, or such individuals to which authority to administer the Plan has been delegated under Section 7.1 hereof.</w:t>
      </w:r>
    </w:p>
    <w:p>
      <w:pPr>
        <w:sectPr>
          <w:pgSz w:w="11900" w:h="16838" w:orient="portrait"/>
          <w:cols w:equalWidth="0" w:num="1">
            <w:col w:w="11020"/>
          </w:cols>
          <w:pgMar w:left="440" w:top="117" w:right="439" w:bottom="1440" w:gutter="0" w:footer="0" w:header="0"/>
        </w:sectPr>
      </w:pPr>
    </w:p>
    <w:bookmarkStart w:id="305" w:name="page306"/>
    <w:bookmarkEnd w:id="305"/>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appointing a majority of the board of directors, by contract, or otherwise.</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155"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means the requirements relating to the administration of the Plan under U.S. state corporate law, U.S. federal and state securities laws, the rules of any stock exchange or quotation system on which the shares are listed or quoted, the laws of England and Wales, and any other applicable laws, including tax laws, of any U.S. or non-U.S. jurisdictions.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u w:val="single" w:color="auto"/>
          <w:color w:val="auto"/>
        </w:rPr>
        <w:t>Broker</w:t>
      </w:r>
      <w:r>
        <w:rPr>
          <w:rFonts w:ascii="Times New Roman" w:cs="Times New Roman" w:eastAsia="Times New Roman" w:hAnsi="Times New Roman"/>
          <w:sz w:val="18"/>
          <w:szCs w:val="18"/>
          <w:color w:val="auto"/>
        </w:rPr>
        <w:t>” means the financial institution designated by the Company to act as Broker for the Plan.</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u w:val="single" w:color="auto"/>
          <w:color w:val="auto"/>
        </w:rPr>
        <w:t>Business Combination Agreement</w:t>
      </w:r>
      <w:r>
        <w:rPr>
          <w:rFonts w:ascii="Times New Roman" w:cs="Times New Roman" w:eastAsia="Times New Roman" w:hAnsi="Times New Roman"/>
          <w:sz w:val="18"/>
          <w:szCs w:val="18"/>
          <w:color w:val="auto"/>
        </w:rPr>
        <w:t>” means that certain Business Combination Agreement by and among Gores Guggenheim, Inc., Polestar Automotive Holding Limited, Polestar Automotive (Singapore) Pte. Ltd., Polestar Holding AB, Polestar Automotive Holding UK Limited and PAH UK Merger Sub Inc., dated as of September 27, 2021.</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u w:val="single" w:color="auto"/>
          <w:color w:val="auto"/>
        </w:rPr>
        <w:t>Class A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A Share.</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u w:val="single" w:color="auto"/>
          <w:color w:val="auto"/>
        </w:rPr>
        <w:t>Class A Share</w:t>
      </w:r>
      <w:r>
        <w:rPr>
          <w:rFonts w:ascii="Times New Roman" w:cs="Times New Roman" w:eastAsia="Times New Roman" w:hAnsi="Times New Roman"/>
          <w:sz w:val="18"/>
          <w:szCs w:val="18"/>
          <w:color w:val="auto"/>
        </w:rPr>
        <w:t>” means a Class A ordinary share in the share capital of the Company (and any shares or other securities into which such Class A Shares may be converted or into which they may be exchanged).</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means any committee of the Board duly authorized by the Board to administer the Plan. If no committee is duly authorized by the Board to administer the Plan, the term “Committee” shall be deemed to refer to the Board for all purposes under the Plan. The Board may abolish any Committee or re-vest in itself any previously delegated authority from time to time, and will retain the right to exercise the authority of the Committee to the extent consistent with Applicable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06" w:name="page307"/>
    <w:bookmarkEnd w:id="306"/>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means Polestar Automotive Holding UK PLC, a public limited company incorporated under the laws of England and Wales, and any successor thereto.</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of an Employee means the gross base compensation received by such Employee as compensation for services to the Company or any Designated Company, including base salary, wages, prior week adjustment and overtime payments, commissions, annual incentive compensation or other payments made under any annual bonus program, vacation pay, holiday pay, jury duty pay, funeral leave pay, and military leave pay but excluding payments made under any special or one-time bonus programs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retention or sign-on bonuses), education or tuition reimbursements, travel expenses, business and moving reimbursements (including tax gross ups and taxable mileage allowance), imputed income arising under any group insurance or benefit program, income received in connection with any share options, share appreciation rights, restricted shares, restricted share units or other compensatory equity awards, fringe benefits, other special payments and all contributions made by the Company or any Designated Subsidiary for the Employee’s benefit under any employee benefit plan now or hereafter established. The Administrator, in its discretion, may establish a different definition of Compensation for an Offering, which for the Section 423 Component shall apply on a uniform and nondiscriminatory basis. Further, the Administrator will have discretion to determine the application of this definition to Eligible Employees outside the United States.</w:t>
      </w:r>
    </w:p>
    <w:p>
      <w:pPr>
        <w:spacing w:after="0" w:line="18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u w:val="single" w:color="auto"/>
          <w:color w:val="auto"/>
        </w:rPr>
        <w:t>Designated Company</w:t>
      </w:r>
      <w:r>
        <w:rPr>
          <w:rFonts w:ascii="Times New Roman" w:cs="Times New Roman" w:eastAsia="Times New Roman" w:hAnsi="Times New Roman"/>
          <w:sz w:val="18"/>
          <w:szCs w:val="18"/>
          <w:color w:val="auto"/>
        </w:rPr>
        <w:t>” means each Affiliate and Subsidiary, including any Affiliate and Subsidiary in existence on the Effective Date and any Affiliate and Subsidiary formed or acquired following the Effective Date, that has been designated by the Administrator from time to time in its sole discretion as eligible to participate in the Plan, in accordance with Section 7.2 hereof, such designation to specify whether such participation is in the Section 423 Component or Non-Section 423 Component. A Designated Company may participate in either the Section 423 Component</w:t>
      </w:r>
    </w:p>
    <w:p>
      <w:pPr>
        <w:spacing w:after="0" w:line="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or Non-Section 423 Component, but not both. Notwithstanding the foregoing, if any Affiliate or Subsidiary is disregarded for U.S. federal income tax purposes in respect of the Company or any Designated Company participating in the Section 423 Component, then such disregarded Affiliate or Subsidiary shall automatically be a Designated Company participating in the Section 423 Component. If any Affiliate or Subsidiary is disregarded for U.S. federal income tax purposes in respect of any Designated Company participating in the Non-Section 423 Component, the Administrator may exclude such Affiliate or Subsidiary from participating in the Plan, notwithstanding that the Designated Company in respect of which such Affiliate or Subsidiary is disregarded may participate in the Plan.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the date the Plan is adopted by the Board, subject to approval of the Company’s shareholders.</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color w:val="auto"/>
        </w:rPr>
        <w:t>” means any Employee of the Company or a Designated Company, except that the Administrator may exclude any or all of the following unless prohibited by applicable law, Employees: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07" w:name="page308"/>
    <w:bookmarkEnd w:id="307"/>
    <w:p>
      <w:pPr>
        <w:ind w:left="680" w:hanging="244"/>
        <w:spacing w:after="0"/>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have been employed fewer than two years, or such shorter period as may be determined by the Administrator in its discretion;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customary employment is not more than five months in a calendar year;</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not employed by the Company or a Designated Company prior to the applicable Enrollment Date;</w:t>
      </w:r>
    </w:p>
    <w:p>
      <w:pPr>
        <w:spacing w:after="0" w:line="117"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is a “highly compensated employee” of the Company or any Designated Company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67"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Employee who is a citizen or resident of a jurisdiction outside the United States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jurisdiction would cause the Section 423 Component, any Offering thereunder or an Option granted thereunder to violate the requirements of Section 423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exclusion shall be applied in an identical manner under each Offering to all Employees in accordance with Treas. Reg. § 1.423-2(e).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any Employee who, after the granting of the Option, would be deemed for purposes of Section 423(b)(3) of the Code to possess 5% or more of the total combined voting power or value of all classes of shares of the Company or any Subsidiary shall not be an Eligible Employee. For purposes of the preceding sentence, the rules of Section 424(d) of the Code with regard to the attribution of share ownership shall apply in determining the share ownership of an individual, and shares which an Employee may purchase under outstanding options shall be treated as shares owned by the Employee.</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Further, with respect to the Non-Section 423 Component, (a) the Administrator may limit eligibility further within a Designated Company so as to only designate some Employees of a Designated Company as Eligible Employees, and (b) to the extent any restrictions in this definition are not consistent with applicable local laws, the applicable local laws shall control.</w:t>
      </w:r>
    </w:p>
    <w:p>
      <w:pPr>
        <w:spacing w:after="0" w:line="17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any person who renders services to the Company or a Designated Company in the status of an employee within the meaning of Section 3401(c) of the Code. “Employee” shall not include any director of the Company or a Designated Company who does not render services to the Company or a Designated Company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Company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 (3)-month period, or such other period specified in Treas. Reg. § 1.421-1(h)(2).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08" w:name="page309"/>
    <w:bookmarkEnd w:id="3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2.18. “</w:t>
      </w:r>
      <w:r>
        <w:rPr>
          <w:rFonts w:ascii="Times New Roman" w:cs="Times New Roman" w:eastAsia="Times New Roman" w:hAnsi="Times New Roman"/>
          <w:sz w:val="18"/>
          <w:szCs w:val="18"/>
          <w:b w:val="1"/>
          <w:bCs w:val="1"/>
          <w:u w:val="single" w:color="auto"/>
          <w:color w:val="auto"/>
        </w:rPr>
        <w:t>Enrollment Date</w:t>
      </w:r>
      <w:r>
        <w:rPr>
          <w:rFonts w:ascii="Times New Roman" w:cs="Times New Roman" w:eastAsia="Times New Roman" w:hAnsi="Times New Roman"/>
          <w:sz w:val="18"/>
          <w:szCs w:val="18"/>
          <w:color w:val="auto"/>
        </w:rPr>
        <w:t>” means the first date of each Offering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u w:val="single" w:color="auto"/>
          <w:color w:val="auto"/>
        </w:rPr>
        <w:t>Exercise Date</w:t>
      </w:r>
      <w:r>
        <w:rPr>
          <w:rFonts w:ascii="Times New Roman" w:cs="Times New Roman" w:eastAsia="Times New Roman" w:hAnsi="Times New Roman"/>
          <w:sz w:val="18"/>
          <w:szCs w:val="18"/>
          <w:color w:val="auto"/>
        </w:rPr>
        <w:t>” means the last day of each Purchase Period, except as provided in Section 5.2 hereof.</w:t>
      </w:r>
    </w:p>
    <w:p>
      <w:pPr>
        <w:spacing w:after="0" w:line="225"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U.S. Securities Exchange Act of 1934, as amended.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for purposes of the Plan, unless otherwise required by any applicable provision of the Code or any regulations issued thereunder or as otherwise permitted by applicable law and determined by the Committee, as of any date and except as provided below, the last sales price reported for the Shares on the applicable date: (a) as reported on the principal national securities exchange in the United States on which it is then traded or (b) if the Shares are not traded, listed, or otherwise reported or quoted, the Committee shall determine in good faith the Fair Market Value in whatever manner it considers appropriate taking into account the requirements of Section 409A of the Code.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u w:val="single" w:color="auto"/>
          <w:color w:val="auto"/>
        </w:rPr>
        <w:t>Grant Date</w:t>
      </w:r>
      <w:r>
        <w:rPr>
          <w:rFonts w:ascii="Times New Roman" w:cs="Times New Roman" w:eastAsia="Times New Roman" w:hAnsi="Times New Roman"/>
          <w:sz w:val="18"/>
          <w:szCs w:val="18"/>
          <w:color w:val="auto"/>
        </w:rPr>
        <w:t>” means the first day of an Offering Period.</w:t>
      </w:r>
    </w:p>
    <w:p>
      <w:pPr>
        <w:spacing w:after="0" w:line="225" w:lineRule="exact"/>
        <w:rPr>
          <w:sz w:val="20"/>
          <w:szCs w:val="20"/>
          <w:color w:val="auto"/>
        </w:rPr>
      </w:pPr>
    </w:p>
    <w:p>
      <w:pPr>
        <w:jc w:val="both"/>
        <w:ind w:right="80" w:firstLine="440"/>
        <w:spacing w:after="0" w:line="317" w:lineRule="auto"/>
        <w:rPr>
          <w:sz w:val="20"/>
          <w:szCs w:val="20"/>
          <w:color w:val="auto"/>
        </w:rPr>
      </w:pPr>
      <w:r>
        <w:rPr>
          <w:rFonts w:ascii="Times New Roman" w:cs="Times New Roman" w:eastAsia="Times New Roman" w:hAnsi="Times New Roman"/>
          <w:sz w:val="17"/>
          <w:szCs w:val="17"/>
          <w:color w:val="auto"/>
        </w:rPr>
        <w:t>2.23. “</w:t>
      </w:r>
      <w:r>
        <w:rPr>
          <w:rFonts w:ascii="Times New Roman" w:cs="Times New Roman" w:eastAsia="Times New Roman" w:hAnsi="Times New Roman"/>
          <w:sz w:val="17"/>
          <w:szCs w:val="17"/>
          <w:b w:val="1"/>
          <w:bCs w:val="1"/>
          <w:u w:val="single" w:color="auto"/>
          <w:color w:val="auto"/>
        </w:rPr>
        <w:t>Matching Date</w:t>
      </w:r>
      <w:r>
        <w:rPr>
          <w:rFonts w:ascii="Times New Roman" w:cs="Times New Roman" w:eastAsia="Times New Roman" w:hAnsi="Times New Roman"/>
          <w:sz w:val="17"/>
          <w:szCs w:val="17"/>
          <w:color w:val="auto"/>
        </w:rPr>
        <w:t>” means, if the Committee, in its sole discretion, determines to credit Match Shares to a Participant, the date during the calendar month following the annual anniversary of the applicable Quarter End on which Match Shares are credited to the Participant’s Share Account.</w:t>
      </w:r>
    </w:p>
    <w:p>
      <w:pPr>
        <w:spacing w:after="0" w:line="13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u w:val="single" w:color="auto"/>
          <w:color w:val="auto"/>
        </w:rPr>
        <w:t>Match Price</w:t>
      </w:r>
      <w:r>
        <w:rPr>
          <w:rFonts w:ascii="Times New Roman" w:cs="Times New Roman" w:eastAsia="Times New Roman" w:hAnsi="Times New Roman"/>
          <w:sz w:val="18"/>
          <w:szCs w:val="18"/>
          <w:color w:val="auto"/>
        </w:rPr>
        <w:t>” means the closing price of a Share on the Wednesday preceding the Matching Date (or on such other date during the week that includes the Matching Date, as determined by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u w:val="single" w:color="auto"/>
          <w:color w:val="auto"/>
        </w:rPr>
        <w:t>Match Shares</w:t>
      </w:r>
      <w:r>
        <w:rPr>
          <w:rFonts w:ascii="Times New Roman" w:cs="Times New Roman" w:eastAsia="Times New Roman" w:hAnsi="Times New Roman"/>
          <w:sz w:val="18"/>
          <w:szCs w:val="18"/>
          <w:color w:val="auto"/>
        </w:rPr>
        <w:t>” means the Shares credited to a Participant’s Share Account pursuant to Appendix A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u w:val="single" w:color="auto"/>
          <w:color w:val="auto"/>
        </w:rPr>
        <w:t>New Exercise Date</w:t>
      </w:r>
      <w:r>
        <w:rPr>
          <w:rFonts w:ascii="Times New Roman" w:cs="Times New Roman" w:eastAsia="Times New Roman" w:hAnsi="Times New Roman"/>
          <w:sz w:val="18"/>
          <w:szCs w:val="18"/>
          <w:color w:val="auto"/>
        </w:rPr>
        <w:t>” has the meaning set forth in Section 5.2(b) hereof.</w:t>
      </w:r>
    </w:p>
    <w:p>
      <w:pPr>
        <w:spacing w:after="0" w:line="22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u w:val="single" w:color="auto"/>
          <w:color w:val="auto"/>
        </w:rPr>
        <w:t>Non-Section 423 Component</w:t>
      </w:r>
      <w:r>
        <w:rPr>
          <w:rFonts w:ascii="Times New Roman" w:cs="Times New Roman" w:eastAsia="Times New Roman" w:hAnsi="Times New Roman"/>
          <w:sz w:val="18"/>
          <w:szCs w:val="18"/>
          <w:color w:val="auto"/>
        </w:rPr>
        <w:t>” means those Offerings under the Plan, together with the sub-plans, appendices, rules or procedures, if any, adopted by the Administrator as a part of this Plan, in each case, pursuant to which Options may be granted to Eligible Employees that need not satisfy the requirements for Options granted pursuant to an “employee stock purchase plan” that are set forth under Section 423 of the Code.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309" w:name="page310"/>
    <w:bookmarkEnd w:id="309"/>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2.28. “</w:t>
      </w:r>
      <w:r>
        <w:rPr>
          <w:rFonts w:ascii="Times New Roman" w:cs="Times New Roman" w:eastAsia="Times New Roman" w:hAnsi="Times New Roman"/>
          <w:sz w:val="18"/>
          <w:szCs w:val="18"/>
          <w:b w:val="1"/>
          <w:bCs w:val="1"/>
          <w:u w:val="single" w:color="auto"/>
          <w:color w:val="auto"/>
        </w:rPr>
        <w:t>Offering</w:t>
      </w:r>
      <w:r>
        <w:rPr>
          <w:rFonts w:ascii="Times New Roman" w:cs="Times New Roman" w:eastAsia="Times New Roman" w:hAnsi="Times New Roman"/>
          <w:sz w:val="18"/>
          <w:szCs w:val="18"/>
          <w:color w:val="auto"/>
        </w:rPr>
        <w:t xml:space="preserve">” means an offer under the Plan of an Option that may be exercised during an Offering Period as further described in Article 4 hereof. Unless otherwise specified by the Administrator, each Offering to the Eligible Employees shall be deemed a separate Offering, even if the dates and other terms of the applicable Purchase Periods of each such Offering are identical and the provisions of the Plan will separately apply to each Offering. To the extent permitted by Treas. Reg. § 1.423-2(a)(1), the terms of each separate Offering under the Section 423 Component need not be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the Section 423 Component and an Offering thereunder together satisfy Treas. Reg. § 1.423-2(a)(2) and (a)(3).</w:t>
      </w:r>
    </w:p>
    <w:p>
      <w:pPr>
        <w:spacing w:after="0" w:line="179"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7"/>
          <w:szCs w:val="17"/>
          <w:color w:val="auto"/>
        </w:rPr>
        <w:t>2.29. “</w:t>
      </w:r>
      <w:r>
        <w:rPr>
          <w:rFonts w:ascii="Times New Roman" w:cs="Times New Roman" w:eastAsia="Times New Roman" w:hAnsi="Times New Roman"/>
          <w:sz w:val="17"/>
          <w:szCs w:val="17"/>
          <w:b w:val="1"/>
          <w:bCs w:val="1"/>
          <w:u w:val="single" w:color="auto"/>
          <w:color w:val="auto"/>
        </w:rPr>
        <w:t>Offering Period</w:t>
      </w:r>
      <w:r>
        <w:rPr>
          <w:rFonts w:ascii="Times New Roman" w:cs="Times New Roman" w:eastAsia="Times New Roman" w:hAnsi="Times New Roman"/>
          <w:sz w:val="17"/>
          <w:szCs w:val="17"/>
          <w:color w:val="auto"/>
        </w:rPr>
        <w:t>” means one or more periods to be selected by the Administrator, in its sole discretion, and with respect to which Options shall be granted to Participants. The duration and timing of Offering Periods may be established or changed by the Administrator at any time, in its sole discretion and may consist of one or more Purchase Periods. Notwithstanding the foregoing, in no event may an Offering Period exceed 27 months.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u w:val="single" w:color="auto"/>
          <w:color w:val="auto"/>
        </w:rPr>
        <w:t>Option</w:t>
      </w:r>
      <w:r>
        <w:rPr>
          <w:rFonts w:ascii="Times New Roman" w:cs="Times New Roman" w:eastAsia="Times New Roman" w:hAnsi="Times New Roman"/>
          <w:sz w:val="18"/>
          <w:szCs w:val="18"/>
          <w:color w:val="auto"/>
        </w:rPr>
        <w:t>” means the right to purchase Shares pursuant to the Plan during each Offering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u w:val="single" w:color="auto"/>
          <w:color w:val="auto"/>
        </w:rPr>
        <w:t>Option Price</w:t>
      </w:r>
      <w:r>
        <w:rPr>
          <w:rFonts w:ascii="Times New Roman" w:cs="Times New Roman" w:eastAsia="Times New Roman" w:hAnsi="Times New Roman"/>
          <w:sz w:val="18"/>
          <w:szCs w:val="18"/>
          <w:color w:val="auto"/>
        </w:rPr>
        <w:t>” means the purchase price of a Share hereunder as provided in Section 4.2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means any entity that is a parent corporation of the Company within the meaning of Section 424(e)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means any Eligible Employee who elects to participate in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u w:val="single" w:color="auto"/>
          <w:color w:val="auto"/>
        </w:rPr>
        <w:t>Payday</w:t>
      </w:r>
      <w:r>
        <w:rPr>
          <w:rFonts w:ascii="Times New Roman" w:cs="Times New Roman" w:eastAsia="Times New Roman" w:hAnsi="Times New Roman"/>
          <w:sz w:val="18"/>
          <w:szCs w:val="18"/>
          <w:color w:val="auto"/>
        </w:rPr>
        <w:t>” means the regular and recurring established day for payment of Compensation to an Employee.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entity, or group (within the meaning of Section 13(d)(3) or 14(d)(2) of the Exchange Act).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this Employee Stock Purchase Plan, including both the Section 423 Component and Non-Section 423 Component and any other sub-plans or appendices hereto, as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u w:val="single" w:color="auto"/>
          <w:color w:val="auto"/>
        </w:rPr>
        <w:t>Plan Account</w:t>
      </w:r>
      <w:r>
        <w:rPr>
          <w:rFonts w:ascii="Times New Roman" w:cs="Times New Roman" w:eastAsia="Times New Roman" w:hAnsi="Times New Roman"/>
          <w:sz w:val="18"/>
          <w:szCs w:val="18"/>
          <w:color w:val="auto"/>
        </w:rPr>
        <w:t>” means a bookkeeping account established and maintained by the Company in the name of each Participant.</w:t>
      </w:r>
    </w:p>
    <w:p>
      <w:pPr>
        <w:spacing w:after="0" w:line="225" w:lineRule="exact"/>
        <w:rPr>
          <w:sz w:val="20"/>
          <w:szCs w:val="20"/>
          <w:color w:val="auto"/>
        </w:rPr>
      </w:pPr>
    </w:p>
    <w:p>
      <w:pPr>
        <w:ind w:right="100" w:firstLine="440"/>
        <w:spacing w:after="0" w:line="291" w:lineRule="auto"/>
        <w:rPr>
          <w:sz w:val="20"/>
          <w:szCs w:val="20"/>
          <w:color w:val="auto"/>
        </w:rPr>
      </w:pPr>
      <w:r>
        <w:rPr>
          <w:rFonts w:ascii="Times New Roman" w:cs="Times New Roman" w:eastAsia="Times New Roman" w:hAnsi="Times New Roman"/>
          <w:sz w:val="17"/>
          <w:szCs w:val="17"/>
          <w:color w:val="auto"/>
        </w:rPr>
        <w:t>2.38. “</w:t>
      </w:r>
      <w:r>
        <w:rPr>
          <w:rFonts w:ascii="Times New Roman" w:cs="Times New Roman" w:eastAsia="Times New Roman" w:hAnsi="Times New Roman"/>
          <w:sz w:val="17"/>
          <w:szCs w:val="17"/>
          <w:b w:val="1"/>
          <w:bCs w:val="1"/>
          <w:u w:val="single" w:color="auto"/>
          <w:color w:val="auto"/>
        </w:rPr>
        <w:t>Purchase Period</w:t>
      </w:r>
      <w:r>
        <w:rPr>
          <w:rFonts w:ascii="Times New Roman" w:cs="Times New Roman" w:eastAsia="Times New Roman" w:hAnsi="Times New Roman"/>
          <w:sz w:val="17"/>
          <w:szCs w:val="17"/>
          <w:color w:val="auto"/>
        </w:rPr>
        <w:t>” means each consecutive six (6)-month period commencing on such months within each Offering Period as established by the Administrator. The duration and timing of Purchase Periods may be established or changed by the Administrator at any time, in its sole discretion. Notwithstanding the foregoing, in no event may a Purchase Period exceed the duration of the Offering Period under which it is established.</w:t>
      </w:r>
    </w:p>
    <w:p>
      <w:pPr>
        <w:spacing w:after="0" w:line="153"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u w:val="single" w:color="auto"/>
          <w:color w:val="auto"/>
        </w:rPr>
        <w:t>Quarter</w:t>
      </w:r>
      <w:r>
        <w:rPr>
          <w:rFonts w:ascii="Times New Roman" w:cs="Times New Roman" w:eastAsia="Times New Roman" w:hAnsi="Times New Roman"/>
          <w:sz w:val="18"/>
          <w:szCs w:val="18"/>
          <w:color w:val="auto"/>
        </w:rPr>
        <w:t>” means, with respect to each calendar year during which the Plan is in effect, the following four calendar quarters: January 1 through March 31, April 1 through June 30, July through September 30 and October 1 through December 31. The duration and timing of the Quarter may be established or changed by the Administrator at any time, in its sole discretion.</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66" w:right="539" w:bottom="1440" w:gutter="0" w:footer="0" w:header="0"/>
        </w:sectPr>
      </w:pPr>
    </w:p>
    <w:bookmarkStart w:id="310" w:name="page311"/>
    <w:bookmarkEnd w:id="310"/>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2.40. “</w:t>
      </w:r>
      <w:r>
        <w:rPr>
          <w:rFonts w:ascii="Times New Roman" w:cs="Times New Roman" w:eastAsia="Times New Roman" w:hAnsi="Times New Roman"/>
          <w:sz w:val="18"/>
          <w:szCs w:val="18"/>
          <w:b w:val="1"/>
          <w:bCs w:val="1"/>
          <w:u w:val="single" w:color="auto"/>
          <w:color w:val="auto"/>
        </w:rPr>
        <w:t>Quarter End</w:t>
      </w:r>
      <w:r>
        <w:rPr>
          <w:rFonts w:ascii="Times New Roman" w:cs="Times New Roman" w:eastAsia="Times New Roman" w:hAnsi="Times New Roman"/>
          <w:sz w:val="18"/>
          <w:szCs w:val="18"/>
          <w:color w:val="auto"/>
        </w:rPr>
        <w:t>” means the last day of each Quarter (i.e., March 31, June 30, September 30 or December 31). The timing of the Quarter End may be established or changed by the Administrator at any time, in its sole discretion.</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means Section 409A of the Code, and the U.S. Department of Treasury Regulations and other interpretive guidance issued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u w:val="single" w:color="auto"/>
          <w:color w:val="auto"/>
        </w:rPr>
        <w:t>Section 423 Component</w:t>
      </w:r>
      <w:r>
        <w:rPr>
          <w:rFonts w:ascii="Times New Roman" w:cs="Times New Roman" w:eastAsia="Times New Roman" w:hAnsi="Times New Roman"/>
          <w:sz w:val="18"/>
          <w:szCs w:val="18"/>
          <w:color w:val="auto"/>
        </w:rPr>
        <w:t>” means those Offerings under the Plan that are intended to meet the requirements under Section 423(b)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ind w:right="960" w:firstLine="440"/>
        <w:spacing w:after="0" w:line="286"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means any Class A Shares and/or Class A ADSs, as the context may require (and in either case, as determined by the Administrator in its discretion), and such other securities as may be substituted for such Shares pursuant to Section 5.2 hereof.</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b w:val="1"/>
          <w:bCs w:val="1"/>
          <w:u w:val="single" w:color="auto"/>
          <w:color w:val="auto"/>
        </w:rPr>
        <w:t>Share Account</w:t>
      </w:r>
      <w:r>
        <w:rPr>
          <w:rFonts w:ascii="Times New Roman" w:cs="Times New Roman" w:eastAsia="Times New Roman" w:hAnsi="Times New Roman"/>
          <w:sz w:val="18"/>
          <w:szCs w:val="18"/>
          <w:color w:val="auto"/>
        </w:rPr>
        <w:t>” means an account maintained in the Participant’s name at a stock brokerage or other financial services firm designated by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entity that is a subsidiary corporation of the Company within the meaning of Section 424(f) of the Code.</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b w:val="1"/>
          <w:bCs w:val="1"/>
          <w:u w:val="single" w:color="auto"/>
          <w:color w:val="auto"/>
        </w:rPr>
        <w:t>Tax-Related Items</w:t>
      </w:r>
      <w:r>
        <w:rPr>
          <w:rFonts w:ascii="Times New Roman" w:cs="Times New Roman" w:eastAsia="Times New Roman" w:hAnsi="Times New Roman"/>
          <w:sz w:val="18"/>
          <w:szCs w:val="18"/>
          <w:color w:val="auto"/>
        </w:rPr>
        <w:t>” means any U.S. and non-U.S. federal, provincial, state and/or local taxes (including, without limitation, income tax, social insurance contributions, fringe benefit tax, employment tax, stamp tax and any employer tax liability which has been transferred to a Participant) for which a Participant is liable in connection with his or her participation in the Plan.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b w:val="1"/>
          <w:bCs w:val="1"/>
          <w:u w:val="single" w:color="auto"/>
          <w:color w:val="auto"/>
        </w:rPr>
        <w:t>Treas. Reg.</w:t>
      </w:r>
      <w:r>
        <w:rPr>
          <w:rFonts w:ascii="Times New Roman" w:cs="Times New Roman" w:eastAsia="Times New Roman" w:hAnsi="Times New Roman"/>
          <w:sz w:val="18"/>
          <w:szCs w:val="18"/>
          <w:color w:val="auto"/>
        </w:rPr>
        <w:t>” means U.S. Department of the Treasury regulations.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b w:val="1"/>
          <w:bCs w:val="1"/>
          <w:u w:val="single" w:color="auto"/>
          <w:color w:val="auto"/>
        </w:rPr>
        <w:t>Withdrawal Election</w:t>
      </w:r>
      <w:r>
        <w:rPr>
          <w:rFonts w:ascii="Times New Roman" w:cs="Times New Roman" w:eastAsia="Times New Roman" w:hAnsi="Times New Roman"/>
          <w:sz w:val="18"/>
          <w:szCs w:val="18"/>
          <w:color w:val="auto"/>
        </w:rPr>
        <w:t>” has the meaning set forth in Section 6.1(a) hereof.</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66" w:lineRule="auto"/>
        <w:tabs>
          <w:tab w:leader="none" w:pos="6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Eligible Employee who is employed by the Company or a Designated Company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67"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Eligible Employee shall be granted an Option under the Section 423 Component which permits the Participant’s rights to purchase Shares under the Plan, and to purchase shares under all other employee stock purchase plans of the Company, any Parent or any Subsidiary subject to Section 423 of the Code, to accrue at a rate which exceeds $25,000 of fair market value of such shares (determined at the time such Option is granted) for each calendar year in which such Option is outstanding at any time. The limitation under this Section 3.1(b) shall be applied in accordance with Section 423(b)(8) of the Code.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66" w:right="539" w:bottom="1440" w:gutter="0" w:footer="0" w:header="0"/>
        </w:sectPr>
      </w:pPr>
    </w:p>
    <w:bookmarkStart w:id="311" w:name="page312"/>
    <w:bookmarkEnd w:id="3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Election to Participate; Payroll Deductions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60" w:firstLine="436"/>
        <w:spacing w:after="0" w:line="258" w:lineRule="auto"/>
        <w:tabs>
          <w:tab w:leader="none" w:pos="6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who is an Eligible Employee as of an Offering Period’s Enrollment Date may elect to participate in such Offering Period and the Plan by delivering to the Company or an Agent designated by the Company an enrollment form including a payroll deduction authorization (which may be in an electronic format or such other method as determined by the Company in accordance with the Company’s practices) (a “</w:t>
      </w: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no later than the period of time prior to the applicable Enrollment Date determined by the Administrator, in its sole discretion.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3.2(e) hereof, an Eligible Employee may participate in the Plan only by means of payroll deduction.</w:t>
      </w:r>
    </w:p>
    <w:p>
      <w:pPr>
        <w:spacing w:after="0" w:line="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3.1(b) hereof and except as may otherwise be determined by the Administrator, payroll deductions (i) shall equal at least 1% of the Participant’s Compensation as of each Payday of the Offering Period following the Enrollment Date, but not more than 5% of the Participant’s Compensation as of each Payday of the Offering Period following the Enrollment Date; and (ii) shall be expressed as a whole number percentage. Subject to Section 3.2(e) hereof, amounts deducted from a Participant’s Compensation with respect to an Offering Period pursuant to this Section 3.2 shall be deducted each Payday through payroll deduction and credited to the Participant’s Plan Account.</w:t>
      </w:r>
    </w:p>
    <w:p>
      <w:pPr>
        <w:spacing w:after="0" w:line="75"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determined by the Administrator, following at least one payroll deduction, a Participant may increase or decrease the percentage of Compensation or the fixed dollar amount designated in his or her enrollment form, subject to the limits of this Section 3.2, or may suspend his or her payroll deductions, at any time during an Offering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Administrator may limit the number of changes a Participant may make to his or her payroll deduction elections during each Offering Period in the applicable Offering (and in the absence of any specific designation by the Administrator, a Participant shall be allowed one change to his or her payroll deduction elections during each Offering Period). Any such change or suspension of payroll deductions shall be effective with the first full payroll period following ten business days after the Company’s receipt of the new enrollment form (or such shorter or longer period as may be specified by the Administrator in the applicable Offering). In the event a Participant suspends his or her payroll deductions, such Participant’s cumulative payroll deductions prior to the suspension shall remain in his or her account and shall be applied to the purchase of Shares on the next occurring Exercise Date and shall not be paid to such Participant unless he or she withdraws from participation in the Plan pursuant to Section 6.1.</w:t>
      </w:r>
    </w:p>
    <w:p>
      <w:pPr>
        <w:spacing w:after="0" w:line="86" w:lineRule="exact"/>
        <w:rPr>
          <w:rFonts w:ascii="Times New Roman" w:cs="Times New Roman" w:eastAsia="Times New Roman" w:hAnsi="Times New Roman"/>
          <w:sz w:val="18"/>
          <w:szCs w:val="18"/>
          <w:color w:val="auto"/>
        </w:rPr>
      </w:pPr>
    </w:p>
    <w:p>
      <w:pPr>
        <w:ind w:right="380" w:firstLine="436"/>
        <w:spacing w:after="0" w:line="261"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delivers to the Company or an Agent designated by the Company a different Participation Election with respect to the successive Offering Period in accordance with Section 3.2(a) hereof, or unless such Participant becomes ineligible for participation in the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12" w:name="page313"/>
    <w:bookmarkEnd w:id="312"/>
    <w:p>
      <w:pPr>
        <w:ind w:right="420" w:firstLine="436"/>
        <w:spacing w:after="0" w:line="255" w:lineRule="auto"/>
        <w:tabs>
          <w:tab w:leader="none" w:pos="6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provisions of the Plan to the contrary, in non-U.S. jurisdictions where participation in the Plan through payroll deductions is prohibited or otherwise problematic under applicable local laws (as determined by the Administrator in its sole discretion), the Administrator may provide that an Eligible Employee may elect to participate through contributions to the Participant’s Plan Account in a form acceptable to the Administrator in lieu of or in addition to payroll deductions;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any Offering under the Section 423 Component, the Administrator must determine that any alternative method of contribution is applied on an equal and uniform basis to all Eligible Employees in the Offering. Any reference to “payroll deductions” in this Section 3.2 (or in any other section of the Plan) will similarly cover contributions by other means made pursuant to this Section 3.2(e).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OF SHARES</w:t>
      </w:r>
    </w:p>
    <w:p>
      <w:pPr>
        <w:spacing w:after="0" w:line="20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xml:space="preserve">. The Company may make one or more Offerings under the Plan, which may be successive or overlapping with one another, until the earlier of: (i) the date on which all Shares available under the Plan have been purchased or (ii) the date on which the Plan is suspended or terminates. No Offering shall commence prior to the date on which the Company’s registration statement on Form S-8 is filed with the U.S. Securities and Exchange Commission in respect of the Plan. The Administrator shall designate the terms and conditions of each Offering in writing, including without limitation, the Offering Period and the Purchase Periods. Each Participant shall be granted an Option with respect to an Offering Period on the applicable Grant Date. Subject to the limitations of Section 3.1(b) hereof, the number of Shares subject to a Participant’s Option shall be determined by dividing (a) such Participant’s payroll deductions accumulated prior to an Exercise Date and retained in the Participant’s Plan Account on such Exercise Date by (b) the applicable Option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the case of the Section 423 Component only, in no event shall a Participant be permitted to purchase during each Offering Period more than 25,000 Shares (subject to any adjustment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 The Administrator may, for future Offering Periods, increase or decrease, in its absolute discretion, the maximum number of Shares that a Participant may purchase during any Purchase Periods under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Option Price shall equal not less than 85% of the lesser of the Fair Market Value of a Share on (a) the applicable Grant Date and (b) the applicable Exercise Date, or such other price designated by the Administrator.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Exercise Date for an Offering Period, each Participant shall automatically and without any action on such Participant’s part be deemed to have exercised the Participant’s Option to purchase at the applicable Option Price the largest number of whole Shares which can be purchased with the amount in the Participant’s Plan Account, subject to the limitations set forth in the Plan. Unless otherwise determined by the Administrator in advance of an Offering or in accordance with applicable law, any balance that is remaining in the Participant’s Plan Account (after exercise of such Participant’s Option) as of the Exercise Date shall be carried forward into the next Offering Period, unless the Participant has properly elected to withdraw from the Plan, has ceased to be an Eligible Employee or with respect to the maximum limitations set forth in Section 3.1(b) and Section 4.1. Any balance not carried forward to the next Offering Period in accordance with the prior sentence shall promptly be refunded as soon as administratively practicable to the applicable Participant.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13" w:name="page314"/>
    <w:bookmarkEnd w:id="313"/>
    <w:p>
      <w:pPr>
        <w:ind w:right="180" w:firstLine="436"/>
        <w:spacing w:after="0" w:line="281" w:lineRule="auto"/>
        <w:tabs>
          <w:tab w:leader="none" w:pos="69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practicable following each Exercise Date, the number of Shares purchased by such Participant pursuant to Section 4.3(a) hereof shall be delivered (either in share certificate or book entry form), in the Company’s sole discretion, to either (i) the Participant or (ii) if applicable, the Participant’s Share Account. The Company may require that shares be retained in such Share Account or with such stock brokerage or other financial services firm for a designated period of time and/or may establish procedures to permit tracking of disqualifying dispositions of such shares.</w:t>
      </w:r>
    </w:p>
    <w:p>
      <w:pPr>
        <w:spacing w:after="0" w:line="164"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Transferability of Rights</w:t>
      </w:r>
      <w:r>
        <w:rPr>
          <w:rFonts w:ascii="Times New Roman" w:cs="Times New Roman" w:eastAsia="Times New Roman" w:hAnsi="Times New Roman"/>
          <w:sz w:val="18"/>
          <w:szCs w:val="18"/>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 Without limiting the foregoing, the Options will not be offered or sold by means of any document, other than: (i) to “qualified investors” for the purposes of the Regulation (EU) 2017/1129 (the “</w:t>
      </w:r>
      <w:r>
        <w:rPr>
          <w:rFonts w:ascii="Times New Roman" w:cs="Times New Roman" w:eastAsia="Times New Roman" w:hAnsi="Times New Roman"/>
          <w:sz w:val="18"/>
          <w:szCs w:val="18"/>
          <w:u w:val="single" w:color="auto"/>
          <w:color w:val="auto"/>
        </w:rPr>
        <w:t>Prospectus Regulation</w:t>
      </w:r>
      <w:r>
        <w:rPr>
          <w:rFonts w:ascii="Times New Roman" w:cs="Times New Roman" w:eastAsia="Times New Roman" w:hAnsi="Times New Roman"/>
          <w:sz w:val="18"/>
          <w:szCs w:val="18"/>
          <w:color w:val="auto"/>
        </w:rPr>
        <w:t>”) and any rules made or promulgated thereunder, (ii) in other circumstances which do not result in a requirement for the publication of a “prospectus” as defined in the Prospectus Regulation and/or Financial Services Act 2001 (the “</w:t>
      </w:r>
      <w:r>
        <w:rPr>
          <w:rFonts w:ascii="Times New Roman" w:cs="Times New Roman" w:eastAsia="Times New Roman" w:hAnsi="Times New Roman"/>
          <w:sz w:val="18"/>
          <w:szCs w:val="18"/>
          <w:u w:val="single" w:color="auto"/>
          <w:color w:val="auto"/>
        </w:rPr>
        <w:t>FSMA</w:t>
      </w:r>
      <w:r>
        <w:rPr>
          <w:rFonts w:ascii="Times New Roman" w:cs="Times New Roman" w:eastAsia="Times New Roman" w:hAnsi="Times New Roman"/>
          <w:sz w:val="18"/>
          <w:szCs w:val="18"/>
          <w:color w:val="auto"/>
        </w:rPr>
        <w:t>”) or which do not constitute an offer to the public within the meaning thereof or (iii) which would not be prohibited by section 21(1) of FSMA.</w:t>
      </w:r>
    </w:p>
    <w:p>
      <w:pPr>
        <w:spacing w:after="0" w:line="19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 Registry and Certificates</w:t>
      </w:r>
      <w:r>
        <w:rPr>
          <w:rFonts w:ascii="Times New Roman" w:cs="Times New Roman" w:eastAsia="Times New Roman" w:hAnsi="Times New Roman"/>
          <w:sz w:val="18"/>
          <w:szCs w:val="18"/>
          <w:color w:val="auto"/>
        </w:rPr>
        <w:t>. Promptly following completion of the allotment and issuance of any Options to a Participant pursuant to this Plan, the Company shall: (a) procure that the Participant and the relevant number of Options allotted and issued to such Participant pursuant to this Plan are entered into the register of members (or such other relevant register) of the Company: (b) complete and despatch to such Participant the relevant certificates for such allotted and issued Options; and (c) procure that all applicable corporate, governmental and regulatory filings in connection with such allotment and issuance of Shares are promptly made and submitted in accordance with Applicable Law.</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PROVISIONS RELATING TO COMMON SHARES</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Shares Reserved</w:t>
      </w:r>
      <w:r>
        <w:rPr>
          <w:rFonts w:ascii="Times New Roman" w:cs="Times New Roman" w:eastAsia="Times New Roman" w:hAnsi="Times New Roman"/>
          <w:sz w:val="18"/>
          <w:szCs w:val="18"/>
          <w:color w:val="auto"/>
        </w:rPr>
        <w:t>. Subject to adjustment as provided in Section 5.2 hereof, the aggregate number of Shares that may be issued pursuant to rights granted under the Plan shall be 2,000,000 shares (the “</w:t>
      </w:r>
      <w:r>
        <w:rPr>
          <w:rFonts w:ascii="Times New Roman" w:cs="Times New Roman" w:eastAsia="Times New Roman" w:hAnsi="Times New Roman"/>
          <w:sz w:val="18"/>
          <w:szCs w:val="18"/>
          <w:u w:val="single" w:color="auto"/>
          <w:color w:val="auto"/>
        </w:rPr>
        <w:t>Absolute Share Limit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Absolute Share Limit may, but need not be, issued pursuant to Options granted under the Section 423 Component;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subject to adjustment as provided in Section 5.2 hereof, the Absolute Share Limit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314" w:name="page315"/>
    <w:bookmarkEnd w:id="31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automatically increased on the first day of each fiscal year following the fiscal year in which the Effective Date falls in an amount equal to the least of (x) 0.1% of the total number of ListCo Shares (as defined in the Business Combination Agreement) outstanding on the last day of the immediately preceding fiscal year, (y) a lower number of ListCo Shares as determined by the Board and (z) 2,000,000. Shares made available for sale under the Plan may be authorized but unissued shares or treasury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under the Non-Section 423 Component, Shares may be purchased by the Broker on the open market on the Participant’s behalf. If any right granted under the Plan shall for any reason terminate without having been exercised, the Shares not purchased under such right shall again become available for issuance under the Plan.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Adjustments Upon Changes in Capitalization, Dissolution, Liquidation, Merger or Asset Sale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3" w:lineRule="auto"/>
        <w:tabs>
          <w:tab w:leader="none" w:pos="68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xml:space="preserve">. Subject to any required action by the shareholders of the Company, the number of Shares which have been authorized for issuance under the Plan but not yet placed under Option (or, with respect to Match Shares, not yet posted to the Participant’s Share Account), as well as the price per share and the number of Shares covered by each Option under the Plan which has not yet been exercised shall be proportionately adjusted for any increase or decrease in the number of issued Shares resulting from a share split, reverse share split, share dividend, combination, amalgamation, consolidation, reorganization, arrangement or reclassification of the Shares, or any other increase or decrease in the number Shares effected without receipt of consideration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any class, or securities convertible into shares of any class, shall affect, and no adjustment by reason thereof shall be made with respect to, the number or price of shares of Shares subject to an Option.</w:t>
      </w:r>
    </w:p>
    <w:p>
      <w:pPr>
        <w:spacing w:after="0" w:line="86"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Offering Periods then in progress shall be shortened by setting a new Exercise Date (the “</w:t>
      </w:r>
      <w:r>
        <w:rPr>
          <w:rFonts w:ascii="Times New Roman" w:cs="Times New Roman" w:eastAsia="Times New Roman" w:hAnsi="Times New Roman"/>
          <w:sz w:val="18"/>
          <w:szCs w:val="18"/>
          <w:b w:val="1"/>
          <w:bCs w:val="1"/>
          <w:u w:val="single" w:color="auto"/>
          <w:color w:val="auto"/>
        </w:rPr>
        <w:t>New Exercise Date</w:t>
      </w:r>
      <w:r>
        <w:rPr>
          <w:rFonts w:ascii="Times New Roman" w:cs="Times New Roman" w:eastAsia="Times New Roman" w:hAnsi="Times New Roman"/>
          <w:sz w:val="18"/>
          <w:szCs w:val="18"/>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80"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Share Sale or Asset Sale</w:t>
      </w:r>
      <w:r>
        <w:rPr>
          <w:rFonts w:ascii="Times New Roman" w:cs="Times New Roman" w:eastAsia="Times New Roman" w:hAnsi="Times New Roman"/>
          <w:sz w:val="18"/>
          <w:szCs w:val="18"/>
          <w:color w:val="auto"/>
        </w:rPr>
        <w:t>. In the event of a proposed sale of all or substantially all of the shares or assets of the Company, or the merger of the Company with or into another corporation, each outstanding Option shall be assumed or an equivalent Option substituted by the successor corporation or a parent or subsidiary of the successor corporation. If the successor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15" w:name="page316"/>
    <w:bookmarkEnd w:id="31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Administrator determines that, on a given Exercise Date or Matching Date, as applicable, the number of Shares with respect to which Options are to be exercised or subject to Match Shares may exceed the number of Shares remaining available for sale or issuance under the Plan on such Exercise Date or Matching Date, the Administrator shall make a pro rata allocation of the Shares available for issuance on such Exercise Date or Matching Date, as applicable, in as uniform a manner as shall be practicable and as it shall determine in its sole discretion to be equitable among all Participants exercising Options to purchase Shares on such Exercise Date or eligible to receive Match Shares on such Matching Date, and unless additional shares are authorized for issuance under the Plan, no further Offering Periods or Matching Dates shall take place and the Plan shall terminate pursuant to Section 7.5 hereof. If an Offering Period is so terminated, then the balance of the amount credited to the Participant’s Plan Account which has not been applied to the purchase of Shares shall be paid to such Participant in one lump sum in cash within 30 days after such Exercise Date, without any interest thereon (except as may be required by applicable local laws).</w:t>
      </w:r>
    </w:p>
    <w:p>
      <w:pPr>
        <w:spacing w:after="0" w:line="18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Rights as Shareholders</w:t>
      </w:r>
      <w:r>
        <w:rPr>
          <w:rFonts w:ascii="Times New Roman" w:cs="Times New Roman" w:eastAsia="Times New Roman" w:hAnsi="Times New Roman"/>
          <w:sz w:val="18"/>
          <w:szCs w:val="18"/>
          <w:color w:val="auto"/>
        </w:rPr>
        <w:t>. With respect to Shares subject to an Option or Match Shares, a Participant shall not be deemed to be a shareholder of the Company and shall not have any of the rights or privileges of a shareholder. A Participant shall have the rights and privileges of a shareholder of the Company when, but not until, the Shares have been delivered to the Participant or deposited in the designated brokerage account following exercise of the Participant’s Option or the Matching Date, as applicable.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16" w:name="page317"/>
    <w:bookmarkEnd w:id="3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OF PARTICIPATION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Cessation of Contributions; Voluntary Withdrawal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6" w:lineRule="auto"/>
        <w:tabs>
          <w:tab w:leader="none" w:pos="6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cease payroll deductions during an Offering Period and elect to withdraw from the Plan by delivering written notice of such election to the Company or an Agent designated by the Company in such form and at such time prior to the Exercise Date for such Offering Period as may be established by the Administrator (a “</w:t>
      </w:r>
      <w:r>
        <w:rPr>
          <w:rFonts w:ascii="Times New Roman" w:cs="Times New Roman" w:eastAsia="Times New Roman" w:hAnsi="Times New Roman"/>
          <w:sz w:val="18"/>
          <w:szCs w:val="18"/>
          <w:b w:val="1"/>
          <w:bCs w:val="1"/>
          <w:u w:val="single" w:color="auto"/>
          <w:color w:val="auto"/>
        </w:rPr>
        <w:t>Withdrawal Election</w:t>
      </w:r>
      <w:r>
        <w:rPr>
          <w:rFonts w:ascii="Times New Roman" w:cs="Times New Roman" w:eastAsia="Times New Roman" w:hAnsi="Times New Roman"/>
          <w:sz w:val="18"/>
          <w:szCs w:val="18"/>
          <w:color w:val="auto"/>
        </w:rPr>
        <w:t>”). In the event a Participant elects to withdraw from the Plan, amounts then credited to such Participant’s Plan Account shall be returned to the Participant in one lump-sum payment in cash within 30 days after such election is received by the Company, without any interest thereon (except as may be required by applicable local laws), and the Participant shall cease to participate in the Plan and the Participant’s Option for such Offering Period shall terminate upon receipt of the Withdrawal Election.</w:t>
      </w:r>
    </w:p>
    <w:p>
      <w:pPr>
        <w:spacing w:after="0" w:line="18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contributions to the Plan during any Offering Period shall not be permitted to resume contributions to the Plan during that Offering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 of Eligibility</w:t>
      </w:r>
      <w:r>
        <w:rPr>
          <w:rFonts w:ascii="Times New Roman" w:cs="Times New Roman" w:eastAsia="Times New Roman" w:hAnsi="Times New Roman"/>
          <w:sz w:val="18"/>
          <w:szCs w:val="18"/>
          <w:color w:val="auto"/>
        </w:rPr>
        <w:t>. Upon a Participant’s ceasing to be an Eligible Employee, for any reason, such Participant’s Option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Offering Period shall automatically terminate, the Participant shall be deemed to have elected to withdraw from the Plan, and any balance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Participant’s Plan Account shall be paid to such Participant or, in the case of the Participant’s death, to the person or persons entitled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applicable law, within 90 days after such cessation of being an Eligible Employee, without any interest thereon (except as may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applicable local laws). If a Participant transfers employment from the Company or any Designated Company participating in the Section 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to any Designated Company participating in the Non-Section 423 Component, such transfer shall not be treated as a termination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but the Participant shall immediately cease to participate in the Section 423 Component; however, any contributions made for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which such transfer occurs shall be transferred to the Non-Section 423 Component, and such Participant shall immediately join the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Offering under the Non-Section 423 Component upon the same terms and conditions in effect for the Participant’s participation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423 Component, except for such modifications otherwise applicable for Participants in such Offering. A Participant who transfers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any Designated Company participating in the Non-Section 423 Component to the Company or any Designated Company participating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423 Component shall not be treated as terminating the Participant’s employment and shall remain a Participant in the Non-Section 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until the earlier of (i) the end of the current Offering Period under the Non-Section 423 Component, or (ii) the Enrollment Date of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Period in which the Participant is eligible to participate following such transfer. Notwithstanding the foregoing, the Administrator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different rules to govern transfers of employment between companies participating in the Section 423 Component and the Non-Section 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consistent with the applicable requirements of Section 423 of the Code.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317" w:name="page318"/>
    <w:bookmarkEnd w:id="31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8"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which shall be composed of members of the Board. The Committee may delegate administrative tasks under the Plan to the services of an Agent or Employees to assist in the administration of the Plan, including without limitation, determining the Designated Companies participating in the Plan, establishing and maintaining an individual securities account under the Plan for each Participant, determining enrollment and withdrawal deadlines and determining exchange rates. In its absolute discretion, the Board may at any time and from time to time exercise any and all rights and duties of the Administrator under the Plan.</w:t>
      </w:r>
    </w:p>
    <w:p>
      <w:pPr>
        <w:spacing w:after="0" w:line="7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5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terminate Offerings;</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and how Options shall be granted and the provisions and terms of each Offering (which need not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identical);</w:t>
      </w:r>
    </w:p>
    <w:p>
      <w:pPr>
        <w:spacing w:after="0" w:line="98"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Designated Companies in accordance with Section 7.2 hereof; and</w:t>
      </w:r>
    </w:p>
    <w:p>
      <w:pPr>
        <w:spacing w:after="0" w:line="117" w:lineRule="exact"/>
        <w:rPr>
          <w:rFonts w:ascii="Times New Roman" w:cs="Times New Roman" w:eastAsia="Times New Roman" w:hAnsi="Times New Roman"/>
          <w:sz w:val="18"/>
          <w:szCs w:val="18"/>
          <w:color w:val="auto"/>
        </w:rPr>
      </w:pPr>
    </w:p>
    <w:p>
      <w:pPr>
        <w:ind w:firstLine="1428"/>
        <w:spacing w:after="0" w:line="261" w:lineRule="auto"/>
        <w:tabs>
          <w:tab w:leader="none" w:pos="173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71" w:lineRule="exact"/>
        <w:rPr>
          <w:rFonts w:ascii="Times New Roman" w:cs="Times New Roman" w:eastAsia="Times New Roman" w:hAnsi="Times New Roman"/>
          <w:sz w:val="18"/>
          <w:szCs w:val="18"/>
          <w:color w:val="auto"/>
        </w:rPr>
      </w:pPr>
    </w:p>
    <w:p>
      <w:pPr>
        <w:ind w:right="100" w:firstLine="436"/>
        <w:spacing w:after="0" w:line="258"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 may adopt rules or procedures relating to the operation and administration of the Plan to accommodate the specific requirements of local laws and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adoption and implementation of any such rules and/or procedures would not cause the Section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which vary with local requirements.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66" w:right="539" w:bottom="1440" w:gutter="0" w:footer="0" w:header="0"/>
        </w:sectPr>
      </w:pPr>
    </w:p>
    <w:bookmarkStart w:id="318" w:name="page319"/>
    <w:bookmarkEnd w:id="318"/>
    <w:p>
      <w:pPr>
        <w:ind w:right="120" w:firstLine="436"/>
        <w:spacing w:after="0" w:line="261" w:lineRule="auto"/>
        <w:tabs>
          <w:tab w:leader="none" w:pos="6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 may adopt sub-plans applicable to particular Designated Companies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7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 liabilities incurred by the Administrator in connection with the administration of the Plan shall be borne by the Company. The Administrator may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Any and all risks resulting from any market fluctuations or conditions of any nature and affecting the price of Shares are assumed by the Participant.</w:t>
      </w:r>
    </w:p>
    <w:p>
      <w:pPr>
        <w:spacing w:after="0" w:line="192"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Designation of Affiliates and Subsidiaries</w:t>
      </w:r>
      <w:r>
        <w:rPr>
          <w:rFonts w:ascii="Times New Roman" w:cs="Times New Roman" w:eastAsia="Times New Roman" w:hAnsi="Times New Roman"/>
          <w:sz w:val="18"/>
          <w:szCs w:val="18"/>
          <w:color w:val="auto"/>
        </w:rPr>
        <w:t>. The Administrator shall designate from time to time the Affiliates and Subsidiaries that shall constitute Designated Companies, and determine whether such Designated Companies shall participate in the Section 423 Component</w:t>
      </w: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or Non-Section 423 Component;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 Affiliate that does not also qualify as a Subsidiary may be designated only as participating in the Non-Section 423 Component. The Administrator may designate an Affiliate or Subsidiary, or terminate the designation of an Affiliate or Subsidiary, without the approval of the shareholders of the Company.</w:t>
      </w:r>
    </w:p>
    <w:p>
      <w:pPr>
        <w:spacing w:after="0" w:line="18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80" w:firstLine="436"/>
        <w:spacing w:after="0" w:line="261" w:lineRule="auto"/>
        <w:tabs>
          <w:tab w:leader="none" w:pos="6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shareholder approval of any such amendment to the Plan in such a manner and to such a degree as required by Section 423 of the Code or such other law, regulation or rule.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19" w:name="page320"/>
    <w:bookmarkEnd w:id="319"/>
    <w:p>
      <w:pPr>
        <w:ind w:right="540" w:firstLine="436"/>
        <w:spacing w:after="0" w:line="312" w:lineRule="auto"/>
        <w:tabs>
          <w:tab w:leader="none" w:pos="69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Administrator determines that the ongoing operation of the Plan may result in unfavorable financial accounting consequences, the Administrator may in its discretion modify or amend the Plan to reduce or eliminate such accounting consequence including, but not limited to:</w:t>
      </w:r>
    </w:p>
    <w:p>
      <w:pPr>
        <w:spacing w:after="0" w:line="139" w:lineRule="exact"/>
        <w:rPr>
          <w:rFonts w:ascii="Times New Roman" w:cs="Times New Roman" w:eastAsia="Times New Roman" w:hAnsi="Times New Roman"/>
          <w:sz w:val="17"/>
          <w:szCs w:val="17"/>
          <w:color w:val="auto"/>
        </w:rPr>
      </w:pPr>
    </w:p>
    <w:p>
      <w:pPr>
        <w:ind w:left="1640" w:hanging="212"/>
        <w:spacing w:after="0"/>
        <w:tabs>
          <w:tab w:leader="none" w:pos="16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Option Price for any Offering Period including an Offering Period underway at the time of the change in Option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206" w:lineRule="exact"/>
        <w:rPr>
          <w:rFonts w:ascii="Times New Roman" w:cs="Times New Roman" w:eastAsia="Times New Roman" w:hAnsi="Times New Roman"/>
          <w:sz w:val="18"/>
          <w:szCs w:val="18"/>
          <w:color w:val="auto"/>
        </w:rPr>
      </w:pPr>
    </w:p>
    <w:p>
      <w:pPr>
        <w:ind w:right="80" w:firstLine="1428"/>
        <w:spacing w:after="0" w:line="282" w:lineRule="auto"/>
        <w:tabs>
          <w:tab w:leader="none" w:pos="1697"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Exercise Date, including an Offering Period underway at the time of the Administrator action; and</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modifications or amendments shall not require shareholder approval or the consent of any Participant.</w:t>
      </w:r>
    </w:p>
    <w:p>
      <w:pPr>
        <w:spacing w:after="0" w:line="225" w:lineRule="exact"/>
        <w:rPr>
          <w:sz w:val="20"/>
          <w:szCs w:val="20"/>
          <w:color w:val="auto"/>
        </w:rPr>
      </w:pPr>
    </w:p>
    <w:p>
      <w:pPr>
        <w:ind w:right="240" w:firstLine="436"/>
        <w:spacing w:after="0" w:line="282"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Plan, the balance in each Participant’s Plan Account shall be refunded as soon as practicable after such termination, without any interest thereon (except as may be required by applicable local laws).</w:t>
      </w:r>
    </w:p>
    <w:p>
      <w:pPr>
        <w:spacing w:after="0" w:line="16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Use of Funds; No Interest Paid</w:t>
      </w:r>
      <w:r>
        <w:rPr>
          <w:rFonts w:ascii="Times New Roman" w:cs="Times New Roman" w:eastAsia="Times New Roman" w:hAnsi="Times New Roman"/>
          <w:sz w:val="17"/>
          <w:szCs w:val="17"/>
          <w:color w:val="auto"/>
        </w:rPr>
        <w:t>. All funds received by the Company by reason of purchase of shares of Shares under the Plan shall be included in the general funds of the Company free of any trust or other restriction and may be used for any corporate purpose (except as may be required by applicable local laws). No interest shall be paid to any Participant or credited under the Plan (except as may be required by applicable local laws).</w:t>
      </w:r>
    </w:p>
    <w:p>
      <w:pPr>
        <w:spacing w:after="0" w:line="15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Term; Approval by Shareholders</w:t>
      </w:r>
      <w:r>
        <w:rPr>
          <w:rFonts w:ascii="Times New Roman" w:cs="Times New Roman" w:eastAsia="Times New Roman" w:hAnsi="Times New Roman"/>
          <w:sz w:val="18"/>
          <w:szCs w:val="18"/>
          <w:color w:val="auto"/>
        </w:rPr>
        <w:t xml:space="preserve">. No Option may be granted during any period of suspension of the Plan or after termination of the Plan. The Plan shall be submitted for the approval of the Company’s shareholders within 12 months after the date of the Board’s initial adoption of the Plan. Options may be granted prior to such shareholder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Options shall not be exercisable prior to the time when the Plan is approved by the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Effect Upon Other Plans</w:t>
      </w:r>
      <w:r>
        <w:rPr>
          <w:rFonts w:ascii="Times New Roman" w:cs="Times New Roman" w:eastAsia="Times New Roman" w:hAnsi="Times New Roman"/>
          <w:sz w:val="18"/>
          <w:szCs w:val="18"/>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amalgamation, combination, arrangement, consolidation or otherwise, of the business, shares or assets of any corporation, firm or association.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20" w:name="page321"/>
    <w:bookmarkEnd w:id="320"/>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7.9.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the Company prompt notice of any disposition or other transfer of any Shares, acquired pursuant to the exercise of an Option granted under the Section 423 Component, if such disposition or transfer is made (a) within two years after the applicable Grant Date or (b) within one year after the transfer of such Shares to such Participant upon exercise of such Option. The Company may direct that any certificates evidencing shares acquired pursuant to the Plan refer to such requirement.</w:t>
      </w:r>
    </w:p>
    <w:p>
      <w:pPr>
        <w:spacing w:after="0" w:line="180"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At the time of any taxable event that creates a withholding obligation for the Company or any Parent, Affiliate or Subsidiary, the Participant will make adequate provision for any Tax-Related Items. In their sole discretion, and except as otherwise determined by the Administrator, the Company or the Designated Company that employs or employed the Participant may satisfy their obligations to</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withhold Tax-Related Items by (a) withholding from the Participant’s wages or other compensation, (b) withholding a sufficient whole number of Shares otherwise issuable following exercise of the Option (or delivery of the Match Shares) having an aggregate value sufficient to pay the Tax-Related Items required to be withheld with respect to the Option and/or shares, (c) withholding from proceeds from the sale of Shares issued upon exercise of the Option, either through a voluntary sale or a mandatory sale arranged by the Company, or (d) any other method as determined by the Administrator to be compliant with applicable laws.</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agreements hereunder shall be administered, interpreted and enforced under the laws of the State of Delaware without regard to conflicts of laws thereof or of any other jurisdiction.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5"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issue or deliver any certificates or make any book entries evidencing Shares pursuant to the exercise of an Option by a Participant or the delivery of Match Shares, unless and until the Administrator has determined, with advice of counsel, that the issuance of such Shares is in compliance with all applicable laws, regulations of governmental authorities and, if applicable, the requirements of any securities exchange or automated quotation system on which the Shares are listed or traded, and the Shares are covered by an effective registration statement or applicable exemption from registration. In addition to the terms and conditions provided herein, the Administrator may require that a Participant make such reasonable covenants, agreements, and representations as the Administrator, in its discretion, deems advisable in order to comply with any such laws, regulations, or requirements.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21" w:name="page322"/>
    <w:bookmarkEnd w:id="321"/>
    <w:p>
      <w:pPr>
        <w:ind w:right="60" w:firstLine="436"/>
        <w:spacing w:after="0" w:line="258" w:lineRule="auto"/>
        <w:tabs>
          <w:tab w:leader="none" w:pos="6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certificates for Shares delivered pursuant to the Plan and all Shares issued pursuant to book entry procedures are subject to any stop-transfer orders and other restrictions as the Administrator deems necessary or advisable to comply with U.S. and non-U.S. federal, provincial, state or local securities or other laws, rules and regulations and the rules of any securities exchange or automated quotation system on which the Shares are listed, quoted, or traded. The Administrator may place legends on any certificate or book entry evidencing Shares to reference restrictions applicable to the Shares.</w:t>
      </w:r>
    </w:p>
    <w:p>
      <w:pPr>
        <w:spacing w:after="0" w:line="75"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right to require any Participant to comply with any timing or other restrictions with respect to the settlement, distribution or exercise of any Option, including a window-period limitation, as may be imposed in the sole discretion of the Administrator.</w:t>
      </w:r>
    </w:p>
    <w:p>
      <w:pPr>
        <w:spacing w:after="0" w:line="53"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unless otherwise determined by the Administrator or required by any applicable law, rule or regulation, the Company may, in lieu of delivering to any Participant certificates evidencing Shares issued in connection with any Option, record the issuance of Shares in the books of the Company (or, as applicable, its transfer agent or share plan administrator).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pursuant to this Section 7.14, the Administrator determines that Shares will not be issued to any Participant, the Company is relieved from liability to any Participant except to refund to the Participant such Participant’s Plan Account balance, without interest thereon (except as may be required by applicable local laws).</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All Eligible Employees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each other, or as Eligible Employees participating in the Section 423 Component.</w:t>
      </w:r>
    </w:p>
    <w:p>
      <w:pPr>
        <w:spacing w:after="0" w:line="18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Rules Particular to Specific Countries</w:t>
      </w:r>
      <w:r>
        <w:rPr>
          <w:rFonts w:ascii="Times New Roman" w:cs="Times New Roman" w:eastAsia="Times New Roman" w:hAnsi="Times New Roman"/>
          <w:sz w:val="18"/>
          <w:szCs w:val="18"/>
          <w:color w:val="auto"/>
        </w:rPr>
        <w:t>. Notwithstanding anything herein to the contrary, the terms and conditions of the Plan with respect to Participants who are tax residents of a particular non-U.S. country or who are non-U.S.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322" w:name="page323"/>
    <w:bookmarkEnd w:id="322"/>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non-U.S. nationals or employed in non-U.S. jurisdictions, regarding the exclusion of particular Affiliates or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adoption and implementation of any such rules and/or procedures would not cause the Section 423 Component to be in noncompliance with Section 423 of the Code.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The Non-Section 423 Component is intended to be exempt from the application of Section 409A under the short-term deferral exception and any ambiguities shall be construed and interpreted in accordance with such intent.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88"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that the foregoing Plan was adopted by the Board of Directors of Polestar Automotive Holding UK PLC on June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that the foregoing Plan was approved by the shareholders of Polestar Automotive Holding UK PLC on June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on June 23,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Jan Mikael Alkmark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Director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COMPANY MATCH AND ALLOCATION OF MATCH SHARES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UNDER THE NON-SECTION 423 COMPONENT OF THE PLAN</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 Subject to the determination of the Committee in relation to the operation of the Non-Section 423 Component of the Plan in each relevant participating jurisdiction, (a) with respect to each Non-U.S. Eligible Employee (as defined below) who has elected to participate in the Plan pursuant to Section 3.2, the full amount credited to such Participant’s Plan Account, and (b) with respect to each Eligible Employee located in the United States who has elected to participate in the Plan pursuant to Section 3.2, any amount credited to such Participant’s Plan Account that is in excess of the limitation set forth in Section 3.1(b) of the Plan, shall be transferred as soon as practicable following the close of each payroll period by the Company to the Broker, and the Company shall cause the Broker to use such amount to purchase Shares on the open market on the Participant’s behalf. Any balance remaining after such purchase shall be credited to the Participant’s Plan Account and shall be used to purchase additional Shares as of the next purchase date (in the case of any Eligible Employee located in the United States, to the extent the balance of the Participant’s Plan Account exceeds the limitation set forth in Section 3.1(b) of the Plan as of the applicable purchase date), which purchase date may be on such date as the Committee determines in its discretion. For the avoidance of doubt, Non-U.S. Eligible Employees shall not be eligible to participate in the purchase of Shares pursuant to Article 4 of the Plan.</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Eligibility to Receive Match Shares; Match Ratio</w:t>
      </w:r>
      <w:r>
        <w:rPr>
          <w:rFonts w:ascii="Times New Roman" w:cs="Times New Roman" w:eastAsia="Times New Roman" w:hAnsi="Times New Roman"/>
          <w:sz w:val="18"/>
          <w:szCs w:val="18"/>
          <w:color w:val="auto"/>
        </w:rPr>
        <w:t>. Under the Non-Section 423 Component of the Plan, the Committee may, in its discretion, determine to offer Match Shares to all Eligible Employees (including, for the avoidance of doubt, any Eligible Employees located in the United States), which such determination shall be made prior to the beginning of the relevant Quarter and communicated to the applicable Participants. For each Eligible Employee who (i) is a citizen or resident of a jurisdiction outside the United States (without regard to whether such Eligible Employee is also a citizen of the United States or a resident alien (within the meaning of Section 7701(b)(1)(A) of the Code)) (a “</w:t>
      </w:r>
      <w:r>
        <w:rPr>
          <w:rFonts w:ascii="Times New Roman" w:cs="Times New Roman" w:eastAsia="Times New Roman" w:hAnsi="Times New Roman"/>
          <w:sz w:val="18"/>
          <w:szCs w:val="18"/>
          <w:b w:val="1"/>
          <w:bCs w:val="1"/>
          <w:u w:val="single" w:color="auto"/>
          <w:color w:val="auto"/>
        </w:rPr>
        <w:t>Non-U.S. Eligible Employee</w:t>
      </w:r>
      <w:r>
        <w:rPr>
          <w:rFonts w:ascii="Times New Roman" w:cs="Times New Roman" w:eastAsia="Times New Roman" w:hAnsi="Times New Roman"/>
          <w:sz w:val="18"/>
          <w:szCs w:val="18"/>
          <w:color w:val="auto"/>
        </w:rPr>
        <w:t xml:space="preserve">”), (ii) is a Participant in the Plan and remains an Eligible Employee on each day from a Quarter End until the Matching Date for such Quarter End and (iii) retains the Company Shares purchased during an applicable Quarter from the Quarter End until the Matching Date for such Quarter End, the number of Match Shares shall be an amount equal to up to 100% of the number of Company Shares credited to the Participant’s Plan Account prior to the Exercise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aggregate value of Match Shares credited to the Participant’s Plan Account in respect of any calendar year exceed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Participant’s Compensation on the date the Shares to which such Match Shares relate were purchased unless the Committee, at its discretion, determines that a different limit should apply in respect of such calendar year. Any Match Shares may be subject to such additional terms and conditions (including with respect to vesting) as the Administrator may determine in its sole discretion. For the avoidance of doubt, no Match Shares will be provided in respect of any Shares prior to the first anniversary of the date the Match Shares are credited to the Participant’s Plan Account.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sectPr>
      </w:pPr>
    </w:p>
    <w:bookmarkStart w:id="324" w:name="page325"/>
    <w:bookmarkEnd w:id="324"/>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Times New Roman" w:cs="Times New Roman" w:eastAsia="Times New Roman" w:hAnsi="Times New Roman"/>
          <w:sz w:val="18"/>
          <w:szCs w:val="18"/>
          <w:u w:val="single" w:color="auto"/>
          <w:color w:val="auto"/>
        </w:rPr>
        <w:t>Matching Allocations</w:t>
      </w:r>
      <w:r>
        <w:rPr>
          <w:rFonts w:ascii="Times New Roman" w:cs="Times New Roman" w:eastAsia="Times New Roman" w:hAnsi="Times New Roman"/>
          <w:sz w:val="18"/>
          <w:szCs w:val="18"/>
          <w:color w:val="auto"/>
        </w:rPr>
        <w:t>. As soon as practicable following each Quarter End for which the Committee has determined to offer Match Shares pursuant to Section 1.1 of this Appendix A (but in any event no later than March 15th of the year following the year in which such Matching Shares are credited), for each Participant eligible to receive Match Shares, the Company shall cause to be allocated to the Participant’s Share Account that number of Match Shares determined pursuant to this Appendix A. Match Shares shall be posted to the Participant’s Share Account, as applicable, as soon as practicable after, and credited to the Participant’s Share Account as of, each Matching Date.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Broker Fees</w:t>
      </w:r>
      <w:r>
        <w:rPr>
          <w:rFonts w:ascii="Times New Roman" w:cs="Times New Roman" w:eastAsia="Times New Roman" w:hAnsi="Times New Roman"/>
          <w:sz w:val="18"/>
          <w:szCs w:val="18"/>
          <w:color w:val="auto"/>
        </w:rPr>
        <w:t>. The Company shall pay the Broker’s administrative charges for opening the Share Accounts for the Eligible Employees and the brokerage commissions on purchases made that are attributable to Match Shares and the purchase of Company Shares pursuant to Section 1.1 of this Appendix A. Eligible Employees shall pay all other expenses of their Share Accounts, including but not limited to the Broker’s fees attributable to the issuance of certificates for any and all Shares held in the Participant’s Share Account. Eligible Employees shall also pay the brokerage commissions and any charges associated with the sale of Shares held in the Participant’s Share Account.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60"/>
          </w:cols>
          <w:pgMar w:left="440" w:top="270" w:right="499" w:bottom="1440" w:gutter="0" w:footer="0" w:header="0"/>
        </w:sectPr>
      </w:pPr>
    </w:p>
    <w:bookmarkStart w:id="325" w:name="page326"/>
    <w:bookmarkEnd w:id="325"/>
    <w:p>
      <w:pPr>
        <w:ind w:left="10080"/>
        <w:spacing w:after="0"/>
        <w:rPr>
          <w:sz w:val="20"/>
          <w:szCs w:val="20"/>
          <w:color w:val="auto"/>
        </w:rPr>
      </w:pPr>
      <w:r>
        <w:rPr>
          <w:rFonts w:ascii="Times New Roman" w:cs="Times New Roman" w:eastAsia="Times New Roman" w:hAnsi="Times New Roman"/>
          <w:sz w:val="18"/>
          <w:szCs w:val="18"/>
          <w:b w:val="1"/>
          <w:bCs w:val="1"/>
          <w:color w:val="auto"/>
        </w:rPr>
        <w:t>Exhibit 4.91</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No. PS22-021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FRAMEWORK AGREEMENT - IMPORT &amp; EXPORT POLESTAR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Volvo Car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Performance AB</w:t>
      </w:r>
    </w:p>
    <w:p>
      <w:pPr>
        <w:sectPr>
          <w:pgSz w:w="11900" w:h="16838" w:orient="portrait"/>
          <w:cols w:equalWidth="0" w:num="1">
            <w:col w:w="11020"/>
          </w:cols>
          <w:pgMar w:left="440" w:top="117" w:right="439" w:bottom="1440" w:gutter="0" w:footer="0" w:header="0"/>
        </w:sectPr>
      </w:pPr>
    </w:p>
    <w:bookmarkStart w:id="326" w:name="page327"/>
    <w:bookmarkEnd w:id="326"/>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framework agreement – import &amp; export Polestar vehicles (“</w:t>
      </w:r>
      <w:r>
        <w:rPr>
          <w:rFonts w:ascii="Times New Roman" w:cs="Times New Roman" w:eastAsia="Times New Roman" w:hAnsi="Times New Roman"/>
          <w:sz w:val="18"/>
          <w:szCs w:val="18"/>
          <w:b w:val="1"/>
          <w:bCs w:val="1"/>
          <w:color w:val="auto"/>
        </w:rPr>
        <w:t>Framework Agreement”</w:t>
      </w:r>
      <w:r>
        <w:rPr>
          <w:rFonts w:ascii="Times New Roman" w:cs="Times New Roman" w:eastAsia="Times New Roman" w:hAnsi="Times New Roman"/>
          <w:sz w:val="18"/>
          <w:szCs w:val="18"/>
          <w:color w:val="auto"/>
        </w:rPr>
        <w:t>) is made effective as of 21 June 2022 by and between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Volvo Car Corporation</w:t>
      </w:r>
      <w:r>
        <w:rPr>
          <w:rFonts w:ascii="Times New Roman" w:cs="Times New Roman" w:eastAsia="Times New Roman" w:hAnsi="Times New Roman"/>
          <w:sz w:val="18"/>
          <w:szCs w:val="18"/>
          <w:color w:val="auto"/>
        </w:rPr>
        <w:t>, registration number 556074-3089, a corporation organized and existing under the laws of Sweden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Performance AB</w:t>
      </w:r>
      <w:r>
        <w:rPr>
          <w:rFonts w:ascii="Times New Roman" w:cs="Times New Roman" w:eastAsia="Times New Roman" w:hAnsi="Times New Roman"/>
          <w:sz w:val="18"/>
          <w:szCs w:val="18"/>
          <w:color w:val="auto"/>
        </w:rPr>
        <w:t>, registration number 556653-3096, a corporation organized and existing under the laws of Sweden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Service Provider and Purchaser is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jointly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1184" w:hanging="644"/>
        <w:spacing w:after="0"/>
        <w:tabs>
          <w:tab w:leader="none" w:pos="11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and its Affiliates have experience and expertise in importation, and sale of passenger cars in the Territory.</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Service Provider’s Affiliate, Importer, manufactures passenger cars at its factory located in South Carolina, USA, and of which a significant volume is exported to Export Markets.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its Affiliates have experience and expertise in distribution, marketing, and sale of passenger cars in the Territory.</w:t>
      </w:r>
    </w:p>
    <w:p>
      <w:pPr>
        <w:spacing w:after="0" w:line="130" w:lineRule="exact"/>
        <w:rPr>
          <w:rFonts w:ascii="Times New Roman" w:cs="Times New Roman" w:eastAsia="Times New Roman" w:hAnsi="Times New Roman"/>
          <w:sz w:val="18"/>
          <w:szCs w:val="18"/>
          <w:color w:val="auto"/>
        </w:rPr>
      </w:pPr>
    </w:p>
    <w:p>
      <w:pPr>
        <w:ind w:left="1184" w:right="420" w:hanging="644"/>
        <w:spacing w:after="0" w:line="282" w:lineRule="auto"/>
        <w:tabs>
          <w:tab w:leader="none" w:pos="11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and Purchaser recognize the efficiency improvements of sharing the same importation process and have therefore agreed to appoint Service Provider’s Affiliate, Importer, as importer of Polestar Vehicles in the Territory.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THEREFORE, SERVICE PROVIDER AND PURCHASER AGREE:</w:t>
      </w:r>
    </w:p>
    <w:p>
      <w:pPr>
        <w:spacing w:after="0" w:line="127" w:lineRule="exact"/>
        <w:rPr>
          <w:sz w:val="20"/>
          <w:szCs w:val="20"/>
          <w:color w:val="auto"/>
        </w:rPr>
      </w:pPr>
    </w:p>
    <w:p>
      <w:pPr>
        <w:ind w:left="544" w:hanging="544"/>
        <w:spacing w:after="0"/>
        <w:tabs>
          <w:tab w:leader="none" w:pos="54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0" w:lineRule="exact"/>
        <w:rPr>
          <w:rFonts w:ascii="Times New Roman" w:cs="Times New Roman" w:eastAsia="Times New Roman" w:hAnsi="Times New Roman"/>
          <w:sz w:val="18"/>
          <w:szCs w:val="18"/>
          <w:b w:val="1"/>
          <w:bCs w:val="1"/>
          <w:color w:val="auto"/>
        </w:rPr>
      </w:pPr>
    </w:p>
    <w:p>
      <w:pPr>
        <w:ind w:left="1184" w:right="100" w:hanging="648"/>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other legal entity that, directly or indirectly, is controlled by Volvo Car Corporation or Polestar Holding AB;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w:t>
      </w:r>
    </w:p>
    <w:p>
      <w:pPr>
        <w:spacing w:after="0" w:line="81" w:lineRule="exact"/>
        <w:rPr>
          <w:rFonts w:ascii="Times New Roman" w:cs="Times New Roman" w:eastAsia="Times New Roman" w:hAnsi="Times New Roman"/>
          <w:sz w:val="18"/>
          <w:szCs w:val="18"/>
          <w:b w:val="1"/>
          <w:bCs w:val="1"/>
          <w:color w:val="auto"/>
        </w:rPr>
      </w:pPr>
    </w:p>
    <w:p>
      <w:pPr>
        <w:ind w:left="1184" w:right="4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Base Warranty</w:t>
      </w:r>
      <w:r>
        <w:rPr>
          <w:rFonts w:ascii="Times New Roman" w:cs="Times New Roman" w:eastAsia="Times New Roman" w:hAnsi="Times New Roman"/>
          <w:sz w:val="18"/>
          <w:szCs w:val="18"/>
          <w:color w:val="auto"/>
        </w:rPr>
        <w:t>” means the standard warranty in place for the sale of new Polestar cars as per Polestar’s standard terms and conditions for the prevailing number of years of warranty that Distributor provides for new Polestar cars.</w:t>
      </w:r>
    </w:p>
    <w:p>
      <w:pPr>
        <w:spacing w:after="0" w:line="60" w:lineRule="exact"/>
        <w:rPr>
          <w:rFonts w:ascii="Times New Roman" w:cs="Times New Roman" w:eastAsia="Times New Roman" w:hAnsi="Times New Roman"/>
          <w:sz w:val="18"/>
          <w:szCs w:val="18"/>
          <w:b w:val="1"/>
          <w:bCs w:val="1"/>
          <w:color w:val="auto"/>
        </w:rPr>
      </w:pPr>
    </w:p>
    <w:p>
      <w:pPr>
        <w:ind w:left="1184" w:right="80" w:hanging="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b w:val="1"/>
          <w:bCs w:val="1"/>
          <w:color w:val="auto"/>
        </w:rPr>
        <w:t>Clawbacked Funds</w:t>
      </w:r>
      <w:r>
        <w:rPr>
          <w:rFonts w:ascii="Times New Roman" w:cs="Times New Roman" w:eastAsia="Times New Roman" w:hAnsi="Times New Roman"/>
          <w:sz w:val="18"/>
          <w:szCs w:val="18"/>
          <w:color w:val="auto"/>
        </w:rPr>
        <w:t>” means those customs duties paid to the drawback claimant under an “accelerated payment program” and in advance of audit or review, which funds must be returned to the United States should the amount of the drawback payment be in excess of that legally permitted.</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 | Page</w:t>
      </w:r>
    </w:p>
    <w:p>
      <w:pPr>
        <w:sectPr>
          <w:pgSz w:w="11900" w:h="16838" w:orient="portrait"/>
          <w:cols w:equalWidth="0" w:num="1">
            <w:col w:w="11024"/>
          </w:cols>
          <w:pgMar w:left="436" w:top="270" w:right="439" w:bottom="1440" w:gutter="0" w:footer="0" w:header="0"/>
        </w:sectPr>
      </w:pPr>
    </w:p>
    <w:bookmarkStart w:id="327" w:name="page328"/>
    <w:bookmarkEnd w:id="327"/>
    <w:p>
      <w:pPr>
        <w:ind w:left="9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4" w:lineRule="exact"/>
        <w:rPr>
          <w:sz w:val="20"/>
          <w:szCs w:val="20"/>
          <w:color w:val="auto"/>
        </w:rPr>
      </w:pPr>
    </w:p>
    <w:p>
      <w:pPr>
        <w:ind w:left="640" w:right="22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non-public information regarding the Parties and their respective businesses, whether commercial or technical, in whatever form or media, including but not limited to the existence, content and subject matter of this Framework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Framework Agreement.</w:t>
      </w:r>
    </w:p>
    <w:p>
      <w:pPr>
        <w:spacing w:after="0" w:line="88" w:lineRule="exact"/>
        <w:rPr>
          <w:sz w:val="20"/>
          <w:szCs w:val="20"/>
          <w:color w:val="auto"/>
        </w:rPr>
      </w:pPr>
    </w:p>
    <w:p>
      <w:pPr>
        <w:ind w:left="640" w:right="2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means Polestar Automotive USA Inc., a Delaware corporation, with its principal place of business at 777 MacArthur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Blvd, Mahwah NJ 07430, USA, which is performing distribution, marketing and sale of the Polestar Vehicles, purchased by Importer, in the Territory. Distributor is a subsidiary of Purchaser.</w:t>
      </w:r>
    </w:p>
    <w:p>
      <w:pPr>
        <w:spacing w:after="0" w:line="76" w:lineRule="exact"/>
        <w:rPr>
          <w:sz w:val="20"/>
          <w:szCs w:val="20"/>
          <w:color w:val="auto"/>
        </w:rPr>
      </w:pPr>
    </w:p>
    <w:p>
      <w:pPr>
        <w:ind w:left="640" w:right="8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Duty Drawback Refund</w:t>
      </w:r>
      <w:r>
        <w:rPr>
          <w:rFonts w:ascii="Times New Roman" w:cs="Times New Roman" w:eastAsia="Times New Roman" w:hAnsi="Times New Roman"/>
          <w:sz w:val="18"/>
          <w:szCs w:val="18"/>
          <w:color w:val="auto"/>
        </w:rPr>
        <w:t>” means the amount of duties refunded to the Service Provider under the US duty drawback regulations where the eligible imported vehicle is a Polestar Vehicle. The Duty Drawback Refund is the refunded amount net of administrative cost associated with the duty drawback claim in accordance with Section 7.3.2.</w:t>
      </w:r>
    </w:p>
    <w:p>
      <w:pPr>
        <w:spacing w:after="0" w:line="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Markets</w:t>
      </w:r>
      <w:r>
        <w:rPr>
          <w:rFonts w:ascii="Times New Roman" w:cs="Times New Roman" w:eastAsia="Times New Roman" w:hAnsi="Times New Roman"/>
          <w:sz w:val="18"/>
          <w:szCs w:val="18"/>
          <w:color w:val="auto"/>
        </w:rPr>
        <w:t>” means all markets outside United States of America (including Puerto Rico), Canada, Mexico and Chile.</w:t>
      </w:r>
    </w:p>
    <w:p>
      <w:pPr>
        <w:spacing w:after="0" w:line="131" w:lineRule="exact"/>
        <w:rPr>
          <w:sz w:val="20"/>
          <w:szCs w:val="20"/>
          <w:color w:val="auto"/>
        </w:rPr>
      </w:pPr>
    </w:p>
    <w:p>
      <w:pPr>
        <w:ind w:left="640" w:right="10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Vehicles</w:t>
      </w:r>
      <w:r>
        <w:rPr>
          <w:rFonts w:ascii="Times New Roman" w:cs="Times New Roman" w:eastAsia="Times New Roman" w:hAnsi="Times New Roman"/>
          <w:sz w:val="18"/>
          <w:szCs w:val="18"/>
          <w:color w:val="auto"/>
        </w:rPr>
        <w:t>” means new Volvo or Polestar branded vehicles produced in the Territory, that are exported by Importer to an Export Market.</w:t>
      </w:r>
    </w:p>
    <w:p>
      <w:pPr>
        <w:spacing w:after="0" w:line="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Extended Service Plan</w:t>
      </w:r>
      <w:r>
        <w:rPr>
          <w:rFonts w:ascii="Times New Roman" w:cs="Times New Roman" w:eastAsia="Times New Roman" w:hAnsi="Times New Roman"/>
          <w:sz w:val="17"/>
          <w:szCs w:val="17"/>
          <w:color w:val="auto"/>
        </w:rPr>
        <w:t>” (ESP) means an extension of the Base Warranty with one or two years.</w:t>
      </w:r>
    </w:p>
    <w:p>
      <w:pPr>
        <w:spacing w:after="0" w:line="131" w:lineRule="exact"/>
        <w:rPr>
          <w:sz w:val="20"/>
          <w:szCs w:val="20"/>
          <w:color w:val="auto"/>
        </w:rPr>
      </w:pPr>
    </w:p>
    <w:p>
      <w:pPr>
        <w:ind w:left="640" w:right="3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Warranty</w:t>
      </w:r>
      <w:r>
        <w:rPr>
          <w:rFonts w:ascii="Times New Roman" w:cs="Times New Roman" w:eastAsia="Times New Roman" w:hAnsi="Times New Roman"/>
          <w:sz w:val="18"/>
          <w:szCs w:val="18"/>
          <w:color w:val="auto"/>
        </w:rPr>
        <w:t>” means the extended warranty in place for the sale of new Polestar cars for the prevailing number of years of warranty that the Distributor provides for new Polestar cars sales with an extended warranty.</w:t>
      </w:r>
    </w:p>
    <w:p>
      <w:pPr>
        <w:spacing w:after="0" w:line="60" w:lineRule="exact"/>
        <w:rPr>
          <w:sz w:val="20"/>
          <w:szCs w:val="20"/>
          <w:color w:val="auto"/>
        </w:rPr>
      </w:pPr>
    </w:p>
    <w:p>
      <w:pPr>
        <w:ind w:left="640" w:right="1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 Service Action</w:t>
      </w:r>
      <w:r>
        <w:rPr>
          <w:rFonts w:ascii="Times New Roman" w:cs="Times New Roman" w:eastAsia="Times New Roman" w:hAnsi="Times New Roman"/>
          <w:sz w:val="18"/>
          <w:szCs w:val="18"/>
          <w:color w:val="auto"/>
        </w:rPr>
        <w:t>” means repairs resulting from safety recall campaigns for specific defaults that could influence vehicle’s safety, and repairs or damages resulting from premature deterioration of parts condition, which could have a negative impact of Polestar’s image.</w:t>
      </w:r>
    </w:p>
    <w:p>
      <w:pPr>
        <w:spacing w:after="0" w:line="76" w:lineRule="exact"/>
        <w:rPr>
          <w:sz w:val="20"/>
          <w:szCs w:val="20"/>
          <w:color w:val="auto"/>
        </w:rPr>
      </w:pPr>
    </w:p>
    <w:p>
      <w:pPr>
        <w:ind w:left="640" w:right="28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Goodwill (AWA) Warranty</w:t>
      </w:r>
      <w:r>
        <w:rPr>
          <w:rFonts w:ascii="Times New Roman" w:cs="Times New Roman" w:eastAsia="Times New Roman" w:hAnsi="Times New Roman"/>
          <w:sz w:val="18"/>
          <w:szCs w:val="18"/>
          <w:color w:val="auto"/>
        </w:rPr>
        <w:t>” means the partial or full coverage of repair costs for customer cases where the vehicle Base Warranty has expired. The Goodwill (AWA) Warranty assists to improve customer satisfaction metrics.</w:t>
      </w:r>
    </w:p>
    <w:p>
      <w:pPr>
        <w:spacing w:after="0" w:line="60" w:lineRule="exact"/>
        <w:rPr>
          <w:sz w:val="20"/>
          <w:szCs w:val="20"/>
          <w:color w:val="auto"/>
        </w:rPr>
      </w:pPr>
    </w:p>
    <w:p>
      <w:pPr>
        <w:ind w:left="640" w:right="26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“Importer</w:t>
      </w:r>
      <w:r>
        <w:rPr>
          <w:rFonts w:ascii="Times New Roman" w:cs="Times New Roman" w:eastAsia="Times New Roman" w:hAnsi="Times New Roman"/>
          <w:sz w:val="18"/>
          <w:szCs w:val="18"/>
          <w:color w:val="auto"/>
        </w:rPr>
        <w:t>” means Volvo Cars USA LLC, a Delaware limited liability company, having its principal place of business at 1800 Volvo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Mahwah, NJ 07430, USA, which is the importer of the Polestar Vehicles in the Territory. Importer is a subsidiary of Service Provider.</w:t>
      </w:r>
    </w:p>
    <w:p>
      <w:pPr>
        <w:spacing w:after="0" w:line="1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3 | Page</w:t>
      </w:r>
    </w:p>
    <w:p>
      <w:pPr>
        <w:sectPr>
          <w:pgSz w:w="11900" w:h="16838" w:orient="portrait"/>
          <w:cols w:equalWidth="0" w:num="1">
            <w:col w:w="10480"/>
          </w:cols>
          <w:pgMar w:left="980" w:top="270" w:right="439" w:bottom="1440" w:gutter="0" w:footer="0" w:header="0"/>
        </w:sectPr>
      </w:pPr>
    </w:p>
    <w:bookmarkStart w:id="328" w:name="page329"/>
    <w:bookmarkEnd w:id="328"/>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4" w:lineRule="exact"/>
        <w:rPr>
          <w:sz w:val="20"/>
          <w:szCs w:val="20"/>
          <w:color w:val="auto"/>
        </w:rPr>
      </w:pPr>
    </w:p>
    <w:p>
      <w:pPr>
        <w:ind w:left="1184" w:right="48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Importer Agreement</w:t>
      </w:r>
      <w:r>
        <w:rPr>
          <w:rFonts w:ascii="Times New Roman" w:cs="Times New Roman" w:eastAsia="Times New Roman" w:hAnsi="Times New Roman"/>
          <w:sz w:val="18"/>
          <w:szCs w:val="18"/>
          <w:color w:val="auto"/>
        </w:rPr>
        <w:t>” means the Importer Agreement, agreement No. PS22-019, between Purchaser and Importer related to the Importer’s purchase and importation of Polestar Vehicles in the Territory.</w:t>
      </w:r>
    </w:p>
    <w:p>
      <w:pPr>
        <w:spacing w:after="0" w:line="60" w:lineRule="exact"/>
        <w:rPr>
          <w:sz w:val="20"/>
          <w:szCs w:val="20"/>
          <w:color w:val="auto"/>
        </w:rPr>
      </w:pPr>
    </w:p>
    <w:p>
      <w:pPr>
        <w:ind w:left="1184" w:right="18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Polestar Vehicles</w:t>
      </w:r>
      <w:r>
        <w:rPr>
          <w:rFonts w:ascii="Times New Roman" w:cs="Times New Roman" w:eastAsia="Times New Roman" w:hAnsi="Times New Roman"/>
          <w:sz w:val="18"/>
          <w:szCs w:val="18"/>
          <w:color w:val="auto"/>
        </w:rPr>
        <w:t>” means factory new, imported by Importer, in the Territory, Polestar branded cars, for resale to Distributor. For the avoidance of doubt, used cars, test cars or pre-series cars are not included.</w:t>
      </w:r>
    </w:p>
    <w:p>
      <w:pPr>
        <w:spacing w:after="0" w:line="60" w:lineRule="exact"/>
        <w:rPr>
          <w:sz w:val="20"/>
          <w:szCs w:val="20"/>
          <w:color w:val="auto"/>
        </w:rPr>
      </w:pPr>
    </w:p>
    <w:p>
      <w:pPr>
        <w:ind w:left="1184" w:right="26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&amp; Purchase Agreement</w:t>
      </w:r>
      <w:r>
        <w:rPr>
          <w:rFonts w:ascii="Times New Roman" w:cs="Times New Roman" w:eastAsia="Times New Roman" w:hAnsi="Times New Roman"/>
          <w:sz w:val="18"/>
          <w:szCs w:val="18"/>
          <w:color w:val="auto"/>
        </w:rPr>
        <w:t>” means the Sale &amp; Purchase Agreement, agreement No. PS22-020, between Importer and Distributor related to Distributor’s purchase of imported Polestar Vehicles from Importer.</w:t>
      </w:r>
    </w:p>
    <w:p>
      <w:pPr>
        <w:spacing w:after="0" w:line="60"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United States of America, excluding Puerto Rico.</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 party other than any of the Parties and/or an Affiliate of one of the Parties to this Importer Agreement.</w:t>
      </w:r>
    </w:p>
    <w:p>
      <w:pPr>
        <w:spacing w:after="0" w:line="131" w:lineRule="exact"/>
        <w:rPr>
          <w:sz w:val="20"/>
          <w:szCs w:val="20"/>
          <w:color w:val="auto"/>
        </w:rPr>
      </w:pPr>
    </w:p>
    <w:p>
      <w:pPr>
        <w:ind w:left="1184" w:right="180" w:hanging="647"/>
        <w:spacing w:after="0" w:line="291" w:lineRule="auto"/>
        <w:tabs>
          <w:tab w:leader="none" w:pos="1164"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w:t>
      </w:r>
    </w:p>
    <w:p>
      <w:pPr>
        <w:spacing w:after="0" w:line="58" w:lineRule="exact"/>
        <w:rPr>
          <w:sz w:val="20"/>
          <w:szCs w:val="20"/>
          <w:color w:val="auto"/>
        </w:rPr>
      </w:pPr>
    </w:p>
    <w:p>
      <w:pPr>
        <w:ind w:left="1184" w:right="160" w:hanging="647"/>
        <w:spacing w:after="0" w:line="268" w:lineRule="auto"/>
        <w:tabs>
          <w:tab w:leader="none" w:pos="1164"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Price”</w:t>
      </w:r>
      <w:r>
        <w:rPr>
          <w:rFonts w:ascii="Times New Roman" w:cs="Times New Roman" w:eastAsia="Times New Roman" w:hAnsi="Times New Roman"/>
          <w:sz w:val="18"/>
          <w:szCs w:val="18"/>
          <w:color w:val="auto"/>
        </w:rPr>
        <w:t xml:space="preserve"> means either the price at which Purchaser sells the Polestar Vehicles to Importer under the Importer Agreement (specifically referred to as “</w:t>
      </w:r>
      <w:r>
        <w:rPr>
          <w:rFonts w:ascii="Times New Roman" w:cs="Times New Roman" w:eastAsia="Times New Roman" w:hAnsi="Times New Roman"/>
          <w:sz w:val="18"/>
          <w:szCs w:val="18"/>
          <w:b w:val="1"/>
          <w:bCs w:val="1"/>
          <w:color w:val="auto"/>
        </w:rPr>
        <w:t>Transfer Price 1</w:t>
      </w:r>
      <w:r>
        <w:rPr>
          <w:rFonts w:ascii="Times New Roman" w:cs="Times New Roman" w:eastAsia="Times New Roman" w:hAnsi="Times New Roman"/>
          <w:sz w:val="18"/>
          <w:szCs w:val="18"/>
          <w:color w:val="auto"/>
        </w:rPr>
        <w:t>”) or the price at which Importer sells the imported Polestar Vehicles to Distributor under the Sale &amp; Purchase Agreement (specifically referred to as “</w:t>
      </w:r>
      <w:r>
        <w:rPr>
          <w:rFonts w:ascii="Times New Roman" w:cs="Times New Roman" w:eastAsia="Times New Roman" w:hAnsi="Times New Roman"/>
          <w:sz w:val="18"/>
          <w:szCs w:val="18"/>
          <w:b w:val="1"/>
          <w:bCs w:val="1"/>
          <w:color w:val="auto"/>
        </w:rPr>
        <w:t>Transfer Price 2</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544" w:hanging="544"/>
        <w:spacing w:after="0"/>
        <w:tabs>
          <w:tab w:leader="none" w:pos="54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 of Service Provider</w:t>
      </w:r>
    </w:p>
    <w:p>
      <w:pPr>
        <w:spacing w:after="0" w:line="134" w:lineRule="exact"/>
        <w:rPr>
          <w:rFonts w:ascii="Times New Roman" w:cs="Times New Roman" w:eastAsia="Times New Roman" w:hAnsi="Times New Roman"/>
          <w:sz w:val="18"/>
          <w:szCs w:val="18"/>
          <w:b w:val="1"/>
          <w:bCs w:val="1"/>
          <w:color w:val="auto"/>
        </w:rPr>
      </w:pPr>
    </w:p>
    <w:p>
      <w:pPr>
        <w:ind w:left="1184"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2.1.Service Provider will assign Importer to purchase from Purchaser and import to the Territory Polestar Vehicles under the terms set out in the Importer Agreement.</w:t>
      </w:r>
    </w:p>
    <w:p>
      <w:pPr>
        <w:spacing w:after="0" w:line="67" w:lineRule="exact"/>
        <w:rPr>
          <w:rFonts w:ascii="Times New Roman" w:cs="Times New Roman" w:eastAsia="Times New Roman" w:hAnsi="Times New Roman"/>
          <w:sz w:val="18"/>
          <w:szCs w:val="18"/>
          <w:b w:val="1"/>
          <w:bCs w:val="1"/>
          <w:color w:val="auto"/>
        </w:rPr>
      </w:pPr>
    </w:p>
    <w:p>
      <w:pPr>
        <w:ind w:left="1184" w:right="3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2.2.Service Provider will facilitate and coordinate all activities between Service Provider’s Affiliates that may need to perform services under this Framework Agreement, the Importer Agreement and the Sale &amp; Purchase Agreement.</w:t>
      </w:r>
    </w:p>
    <w:p>
      <w:pPr>
        <w:spacing w:after="0" w:line="67" w:lineRule="exact"/>
        <w:rPr>
          <w:rFonts w:ascii="Times New Roman" w:cs="Times New Roman" w:eastAsia="Times New Roman" w:hAnsi="Times New Roman"/>
          <w:sz w:val="18"/>
          <w:szCs w:val="18"/>
          <w:b w:val="1"/>
          <w:bCs w:val="1"/>
          <w:color w:val="auto"/>
        </w:rPr>
      </w:pPr>
    </w:p>
    <w:p>
      <w:pPr>
        <w:ind w:left="1184" w:right="36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2.3.In the future event that Purchaser decides to start production of any Polestar branded vehicles in the Territory, Service Provider will have the right to instruct Importer to provide the export services related to such vehicles that are shipped to Export Markets. For the avoidance of doubt, such services will require a separate agreement.</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 of Purchaser</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color w:val="auto"/>
        </w:rPr>
        <w:t>Purchaser will sell Polestar Vehicles to Importer for importation into the Territory under the terms set out in the Importer Agreement.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 | Page</w:t>
      </w:r>
    </w:p>
    <w:p>
      <w:pPr>
        <w:sectPr>
          <w:pgSz w:w="11900" w:h="16838" w:orient="portrait"/>
          <w:cols w:equalWidth="0" w:num="1">
            <w:col w:w="11024"/>
          </w:cols>
          <w:pgMar w:left="436" w:top="270" w:right="439" w:bottom="1440" w:gutter="0" w:footer="0" w:header="0"/>
        </w:sectPr>
      </w:pPr>
    </w:p>
    <w:bookmarkStart w:id="329" w:name="page330"/>
    <w:bookmarkEnd w:id="329"/>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1184" w:right="6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Purchaser will assign Distributor to purchase the imported Polestar Vehicles from Importer under the terms set out in the Sale &amp; Purchase Agreement.</w:t>
      </w:r>
    </w:p>
    <w:p>
      <w:pPr>
        <w:spacing w:after="0" w:line="67" w:lineRule="exact"/>
        <w:rPr>
          <w:sz w:val="20"/>
          <w:szCs w:val="20"/>
          <w:color w:val="auto"/>
        </w:rPr>
      </w:pPr>
    </w:p>
    <w:p>
      <w:pPr>
        <w:ind w:left="1184" w:right="2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Purchaser will assign Distributor to organize and operate an efficient distribution and sales department in the Territory in order to sell and distribute Polestar Vehicles to customers.</w:t>
      </w:r>
    </w:p>
    <w:p>
      <w:pPr>
        <w:spacing w:after="0" w:line="67" w:lineRule="exact"/>
        <w:rPr>
          <w:sz w:val="20"/>
          <w:szCs w:val="20"/>
          <w:color w:val="auto"/>
        </w:rPr>
      </w:pPr>
    </w:p>
    <w:p>
      <w:pPr>
        <w:ind w:left="1184" w:right="6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In the future event that Purchaser decides to start production of any Polestar branded vehicles in the Territory, Purchaser will, if accepted by Importer, assign Importer to provide the export services related to such vehicles that are shipped to Export Markets. For the avoidance of doubt, such services will require a separate agreement.</w:t>
      </w:r>
    </w:p>
    <w:p>
      <w:pPr>
        <w:spacing w:after="0" w:line="81" w:lineRule="exact"/>
        <w:rPr>
          <w:sz w:val="20"/>
          <w:szCs w:val="20"/>
          <w:color w:val="auto"/>
        </w:rPr>
      </w:pPr>
    </w:p>
    <w:p>
      <w:pPr>
        <w:ind w:left="1184" w:right="6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Purchaser will facilitate and coordinate all activities between Purchaser’s Affiliates that may need to perform services under this Framework Agreement, the Importer Agreement and the Sale &amp; Purchase Agreement.</w:t>
      </w:r>
    </w:p>
    <w:p>
      <w:pPr>
        <w:spacing w:after="0" w:line="67" w:lineRule="exact"/>
        <w:rPr>
          <w:sz w:val="20"/>
          <w:szCs w:val="20"/>
          <w:color w:val="auto"/>
        </w:rPr>
      </w:pPr>
    </w:p>
    <w:p>
      <w:pPr>
        <w:ind w:left="1184" w:right="2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For the avoidance of doubt, Purchaser is responsible to collect and present to Distributor all information, documentation and data, which is necessary to ensure compliance with all applicable laws and regulations for the distribution of Polestar Vehicles into the Territory. The forementioned excludes any documentation or data which is produced as a result of the importation process under the Importer Agreement which will be provided by Importer to Distributor.</w:t>
      </w:r>
    </w:p>
    <w:p>
      <w:pPr>
        <w:spacing w:after="0" w:line="85" w:lineRule="exact"/>
        <w:rPr>
          <w:sz w:val="20"/>
          <w:szCs w:val="20"/>
          <w:color w:val="auto"/>
        </w:rPr>
      </w:pPr>
    </w:p>
    <w:p>
      <w:pPr>
        <w:ind w:left="1184" w:right="400" w:hanging="647"/>
        <w:spacing w:after="0" w:line="281" w:lineRule="auto"/>
        <w:tabs>
          <w:tab w:leader="none" w:pos="116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Purchaser is responsible to, without Service Provider’s or Service Provider’s Affiliate’s involvement, agree with Distributor on all matters related to the market operation in the Territory, including, but not limited to, marketing, dealership and warranties (Base Warranty, Field Service Action, Extended Service Plans, Goodwill (AWA) Warranty and Extended Warranty). For the avoidance of doubt, Service Provider does not assume any control over the activities and/or risks related to the Distributor’s business activities.</w:t>
      </w:r>
    </w:p>
    <w:p>
      <w:pPr>
        <w:spacing w:after="0" w:line="66" w:lineRule="exact"/>
        <w:rPr>
          <w:sz w:val="20"/>
          <w:szCs w:val="20"/>
          <w:color w:val="auto"/>
        </w:rPr>
      </w:pPr>
    </w:p>
    <w:p>
      <w:pPr>
        <w:ind w:left="544" w:hanging="544"/>
        <w:spacing w:after="0"/>
        <w:tabs>
          <w:tab w:leader="none" w:pos="54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undertakings of the Parties</w:t>
      </w:r>
    </w:p>
    <w:p>
      <w:pPr>
        <w:spacing w:after="0" w:line="134" w:lineRule="exact"/>
        <w:rPr>
          <w:rFonts w:ascii="Times New Roman" w:cs="Times New Roman" w:eastAsia="Times New Roman" w:hAnsi="Times New Roman"/>
          <w:sz w:val="18"/>
          <w:szCs w:val="18"/>
          <w:b w:val="1"/>
          <w:bCs w:val="1"/>
          <w:color w:val="auto"/>
        </w:rPr>
      </w:pPr>
    </w:p>
    <w:p>
      <w:pPr>
        <w:ind w:left="1184" w:right="8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4.1.Each Party may use its Affiliates and/or subcontractors to perform or receive services under this Framework Agreement, provided that the Party informs the other Party thereof. The Parties will however remain responsible towards the other Party for the performance, and any omission to perform or comply with the provisions of this Framework Agreement, by any Affiliate to the Party and/or any subcontractor to the same extent as if such performance or omittance was made by the Party itself. The Parties shall also remain the other Party’s sole point of contact unless otherwise agreed.</w:t>
      </w:r>
    </w:p>
    <w:p>
      <w:pPr>
        <w:spacing w:after="0" w:line="88" w:lineRule="exact"/>
        <w:rPr>
          <w:rFonts w:ascii="Times New Roman" w:cs="Times New Roman" w:eastAsia="Times New Roman" w:hAnsi="Times New Roman"/>
          <w:sz w:val="18"/>
          <w:szCs w:val="18"/>
          <w:b w:val="1"/>
          <w:bCs w:val="1"/>
          <w:color w:val="auto"/>
        </w:rPr>
      </w:pPr>
    </w:p>
    <w:p>
      <w:pPr>
        <w:ind w:left="1184" w:right="40" w:hanging="648"/>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7"/>
          <w:szCs w:val="17"/>
          <w:color w:val="auto"/>
        </w:rPr>
        <w:t>Neither Party may, without the express written authority of the other Party, enter into any contract, undertakings, or agreements whatsoever on behalf of the other Party. It is thus understood between the Parties that nothing herein contained will create a relationship of principal and agent or employer and employee between Service Provider and Purchaser or any of the Parties’ affiliated companies.</w:t>
      </w:r>
    </w:p>
    <w:p>
      <w:pPr>
        <w:spacing w:after="0" w:line="63" w:lineRule="exact"/>
        <w:rPr>
          <w:rFonts w:ascii="Times New Roman" w:cs="Times New Roman" w:eastAsia="Times New Roman" w:hAnsi="Times New Roman"/>
          <w:sz w:val="18"/>
          <w:szCs w:val="18"/>
          <w:b w:val="1"/>
          <w:bCs w:val="1"/>
          <w:color w:val="auto"/>
        </w:rPr>
      </w:pPr>
    </w:p>
    <w:p>
      <w:pPr>
        <w:ind w:left="1184" w:right="26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4.3.Neither Party is authorized to accept service of legal process, under any circumstances, on behalf of the other Party. If any legal proceedings are served on a Party due to the arrangements under this Framework Agreement, such Party will immediately inform the other Party of such proceedings.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 | Page</w:t>
      </w:r>
    </w:p>
    <w:p>
      <w:pPr>
        <w:sectPr>
          <w:pgSz w:w="11900" w:h="16838" w:orient="portrait"/>
          <w:cols w:equalWidth="0" w:num="1">
            <w:col w:w="11024"/>
          </w:cols>
          <w:pgMar w:left="436" w:top="270" w:right="4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4" w:lineRule="exact"/>
        <w:rPr>
          <w:sz w:val="20"/>
          <w:szCs w:val="20"/>
          <w:color w:val="auto"/>
        </w:rPr>
      </w:pPr>
    </w:p>
    <w:p>
      <w:pPr>
        <w:ind w:left="544" w:hanging="544"/>
        <w:spacing w:after="0"/>
        <w:tabs>
          <w:tab w:leader="none" w:pos="54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Prices and costs</w:t>
      </w:r>
    </w:p>
    <w:p>
      <w:pPr>
        <w:spacing w:after="0" w:line="134" w:lineRule="exact"/>
        <w:rPr>
          <w:rFonts w:ascii="Times New Roman" w:cs="Times New Roman" w:eastAsia="Times New Roman" w:hAnsi="Times New Roman"/>
          <w:sz w:val="18"/>
          <w:szCs w:val="18"/>
          <w:b w:val="1"/>
          <w:bCs w:val="1"/>
          <w:color w:val="auto"/>
        </w:rPr>
      </w:pPr>
    </w:p>
    <w:p>
      <w:pPr>
        <w:ind w:left="1184" w:right="780" w:hanging="648"/>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The Parties agree that all costs incurred by Service Provider or its Affiliates in order to deliver the services under the Importer Agreement and Sale &amp; Purchase Agreement should to the extent possible be compensated through the Transfer Prices.</w:t>
      </w:r>
    </w:p>
    <w:p>
      <w:pPr>
        <w:spacing w:after="0" w:line="45"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7"/>
          <w:szCs w:val="17"/>
          <w:color w:val="auto"/>
        </w:rPr>
        <w:t>The Transfer Prices should be consistent with the arm’s length principle.</w:t>
      </w:r>
    </w:p>
    <w:p>
      <w:pPr>
        <w:spacing w:after="0" w:line="130" w:lineRule="exact"/>
        <w:rPr>
          <w:rFonts w:ascii="Times New Roman" w:cs="Times New Roman" w:eastAsia="Times New Roman" w:hAnsi="Times New Roman"/>
          <w:sz w:val="18"/>
          <w:szCs w:val="18"/>
          <w:b w:val="1"/>
          <w:bCs w:val="1"/>
          <w:color w:val="auto"/>
        </w:rPr>
      </w:pPr>
    </w:p>
    <w:p>
      <w:pPr>
        <w:ind w:left="1184" w:right="2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5.3.Should the result be that Importer is over or under compensated, the Parties agree to settle such difference between them, and Service Provider will adjust such difference directly with Importer.</w:t>
      </w:r>
    </w:p>
    <w:p>
      <w:pPr>
        <w:spacing w:after="0" w:line="67" w:lineRule="exact"/>
        <w:rPr>
          <w:rFonts w:ascii="Times New Roman" w:cs="Times New Roman" w:eastAsia="Times New Roman" w:hAnsi="Times New Roman"/>
          <w:sz w:val="18"/>
          <w:szCs w:val="18"/>
          <w:b w:val="1"/>
          <w:bCs w:val="1"/>
          <w:color w:val="auto"/>
        </w:rPr>
      </w:pPr>
    </w:p>
    <w:p>
      <w:pPr>
        <w:ind w:left="1184" w:right="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5.4.Once the Importer’s and Distributor’s compensation has been finalized and found to be arm’s length, any additional profit or loss related specifically to / arising out of this Agreement (and not the Importer’s separate business over which Purchaser does not have control, and not the Distributor’s business over which the Service Provider does not have control), will be split in an arm’s length manner between Service Provider and Purchaser. Such a split will account for each Party’s contributions and risks as per this Framework Agreement and is further detailed in Section 7.3 below.</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and documentation</w:t>
      </w:r>
    </w:p>
    <w:p>
      <w:pPr>
        <w:spacing w:after="0" w:line="134" w:lineRule="exact"/>
        <w:rPr>
          <w:rFonts w:ascii="Times New Roman" w:cs="Times New Roman" w:eastAsia="Times New Roman" w:hAnsi="Times New Roman"/>
          <w:sz w:val="18"/>
          <w:szCs w:val="18"/>
          <w:b w:val="1"/>
          <w:bCs w:val="1"/>
          <w:color w:val="auto"/>
        </w:rPr>
      </w:pPr>
    </w:p>
    <w:p>
      <w:pPr>
        <w:ind w:left="1184" w:right="2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6.1.Service Provider and Purchaser will supply each other, upon request, with such information and documentation in their possession, as may reasonably be required to verify the financial data relevant to the execution of this Framework Agreement.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Customs Duty Drawback; Adjustments to Duty Drawback Refunds; Clawback</w:t>
      </w:r>
    </w:p>
    <w:p>
      <w:pPr>
        <w:spacing w:after="0" w:line="134" w:lineRule="exact"/>
        <w:rPr>
          <w:rFonts w:ascii="Times New Roman" w:cs="Times New Roman" w:eastAsia="Times New Roman" w:hAnsi="Times New Roman"/>
          <w:sz w:val="18"/>
          <w:szCs w:val="18"/>
          <w:b w:val="1"/>
          <w:bCs w:val="1"/>
          <w:color w:val="auto"/>
        </w:rPr>
      </w:pPr>
    </w:p>
    <w:p>
      <w:pPr>
        <w:ind w:left="1184" w:right="3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7.1.The Parties acknowledge that current US customs law enables Importer to claim drawback of paid import duty, taxes and fees in the Territory on its designated vehicles exported to Export Markets and that the Parties will share this Duty Drawback Refund in accordance with what is stated in Section 7.3 below.</w:t>
      </w:r>
    </w:p>
    <w:p>
      <w:pPr>
        <w:spacing w:after="0" w:line="8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7"/>
          <w:szCs w:val="17"/>
          <w:color w:val="auto"/>
        </w:rPr>
        <w:t>Duty Drawback Refund process</w:t>
      </w:r>
    </w:p>
    <w:p>
      <w:pPr>
        <w:spacing w:after="0" w:line="130" w:lineRule="exact"/>
        <w:rPr>
          <w:rFonts w:ascii="Times New Roman" w:cs="Times New Roman" w:eastAsia="Times New Roman" w:hAnsi="Times New Roman"/>
          <w:sz w:val="18"/>
          <w:szCs w:val="18"/>
          <w:b w:val="1"/>
          <w:bCs w:val="1"/>
          <w:color w:val="auto"/>
        </w:rPr>
      </w:pPr>
    </w:p>
    <w:p>
      <w:pPr>
        <w:jc w:val="both"/>
        <w:ind w:left="1184" w:right="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7.2.1. Service Provider will instruct Importer to organize and operate a customs Duty Drawback Refund process in accordance with the rules stipulated by the US customs authorities. In this process Service Provider will be responsible for that Importer will use its best efforts to optimize the Duty Drawback Refund by designating each Export Vehicle against an eligible Polestar Vehicle or Volvo branded imported vehicle based on the applicable standards for drawback substitution as set forth in the drawback regulations. The brand of the vehicles is not a factor to be considered in this process.</w:t>
      </w:r>
    </w:p>
    <w:p>
      <w:pPr>
        <w:spacing w:after="0" w:line="88" w:lineRule="exact"/>
        <w:rPr>
          <w:rFonts w:ascii="Times New Roman" w:cs="Times New Roman" w:eastAsia="Times New Roman" w:hAnsi="Times New Roman"/>
          <w:sz w:val="18"/>
          <w:szCs w:val="18"/>
          <w:b w:val="1"/>
          <w:bCs w:val="1"/>
          <w:color w:val="auto"/>
        </w:rPr>
      </w:pPr>
    </w:p>
    <w:p>
      <w:pPr>
        <w:ind w:left="1184" w:right="1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7.2.2. The Parties acknowledge that a Duty Drawback Refund against a specific imported vehicle can only be filed once the corresponding final Transfer Price 1 has been established and its final duty has been paid. This adjustment takes place in the beginning of the calendar year following the year of the importation. Therefore, the duty paid for an imported vehicle cannot be claimed until earliest in the calendar year following its year of import.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 | Page</w:t>
      </w:r>
    </w:p>
    <w:p>
      <w:pPr>
        <w:sectPr>
          <w:pgSz w:w="11900" w:h="16838" w:orient="portrait"/>
          <w:cols w:equalWidth="0" w:num="1">
            <w:col w:w="11024"/>
          </w:cols>
          <w:pgMar w:left="436" w:top="270" w:right="4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Parties agree to share the received Duty Drawback Refund in accordance with what is described below in this Section 7.3.</w:t>
      </w:r>
    </w:p>
    <w:p>
      <w:pPr>
        <w:spacing w:after="0" w:line="131" w:lineRule="exact"/>
        <w:rPr>
          <w:sz w:val="20"/>
          <w:szCs w:val="20"/>
          <w:color w:val="auto"/>
        </w:rPr>
      </w:pPr>
    </w:p>
    <w:p>
      <w:pPr>
        <w:ind w:left="1184" w:right="22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7.3.1.</w:t>
        <w:tab/>
        <w:t>The Parties agree to calculate the split of the received Duty Drawback Refund on an annual basis following the Transfer Price 1 adjustment and final duty payment, as described in Section 7.2.2 above, and after all claims against Exported Vehicles in the previous year have been processed and the relevant Duty Drawback Refund payment has been received by Importer.</w:t>
      </w:r>
    </w:p>
    <w:p>
      <w:pPr>
        <w:spacing w:after="0" w:line="81" w:lineRule="exact"/>
        <w:rPr>
          <w:sz w:val="20"/>
          <w:szCs w:val="20"/>
          <w:color w:val="auto"/>
        </w:rPr>
      </w:pPr>
    </w:p>
    <w:p>
      <w:pPr>
        <w:ind w:left="1184" w:right="100" w:hanging="647"/>
        <w:spacing w:after="0" w:line="258" w:lineRule="auto"/>
        <w:tabs>
          <w:tab w:leader="none" w:pos="1164" w:val="left"/>
        </w:tabs>
        <w:rPr>
          <w:sz w:val="20"/>
          <w:szCs w:val="20"/>
          <w:color w:val="auto"/>
        </w:rPr>
      </w:pPr>
      <w:r>
        <w:rPr>
          <w:rFonts w:ascii="Times New Roman" w:cs="Times New Roman" w:eastAsia="Times New Roman" w:hAnsi="Times New Roman"/>
          <w:sz w:val="18"/>
          <w:szCs w:val="18"/>
          <w:color w:val="auto"/>
        </w:rPr>
        <w:t>7.3.2.</w:t>
        <w:tab/>
        <w:t>There are administraive costs associated with the Duty Drawback Refund that will be proportionally deducted from each of the Parties’ share of the return. These costs include, but are not limited to, US customs administration fee (currently 1% of claimed amount), bond cost and brokage, audit and legal defense fee. All references to a Party’s share of the Duty Drawback Refund in this Framework Agreement assumes that this deduction is applied and the Duty Drawback Refund to be shared between the Parties in accordance with Section 7.3.4 is the amount net of such cost.</w:t>
      </w:r>
    </w:p>
    <w:p>
      <w:pPr>
        <w:spacing w:after="0" w:line="89" w:lineRule="exact"/>
        <w:rPr>
          <w:sz w:val="20"/>
          <w:szCs w:val="20"/>
          <w:color w:val="auto"/>
        </w:rPr>
      </w:pPr>
    </w:p>
    <w:p>
      <w:pPr>
        <w:jc w:val="center"/>
        <w:ind w:left="560" w:right="420"/>
        <w:spacing w:after="0" w:line="282" w:lineRule="auto"/>
        <w:rPr>
          <w:sz w:val="20"/>
          <w:szCs w:val="20"/>
          <w:color w:val="auto"/>
        </w:rPr>
      </w:pPr>
      <w:r>
        <w:rPr>
          <w:rFonts w:ascii="Times New Roman" w:cs="Times New Roman" w:eastAsia="Times New Roman" w:hAnsi="Times New Roman"/>
          <w:sz w:val="18"/>
          <w:szCs w:val="18"/>
          <w:color w:val="auto"/>
        </w:rPr>
        <w:t>7.3.3.   Each Party’s contribution of Clawbacked Funds will be calculated in the same fashion as the division of Duty Drawback Refund in Section 7.3.4, below, except that payment to the United States of such Clawbacked Funds will be made by Importer only.</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7.3.4.</w:t>
        <w:tab/>
        <w:t>[***]</w:t>
      </w:r>
    </w:p>
    <w:p>
      <w:pPr>
        <w:spacing w:after="0" w:line="131" w:lineRule="exact"/>
        <w:rPr>
          <w:sz w:val="20"/>
          <w:szCs w:val="20"/>
          <w:color w:val="auto"/>
        </w:rPr>
      </w:pPr>
    </w:p>
    <w:p>
      <w:pPr>
        <w:ind w:left="1964" w:hanging="533"/>
        <w:spacing w:after="0"/>
        <w:tabs>
          <w:tab w:leader="none" w:pos="196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7.3.5.   [***]</w:t>
      </w:r>
    </w:p>
    <w:p>
      <w:pPr>
        <w:spacing w:after="0" w:line="130"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7.3.6.   [***]</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and indemnification</w:t>
      </w:r>
    </w:p>
    <w:p>
      <w:pPr>
        <w:spacing w:after="0" w:line="134" w:lineRule="exact"/>
        <w:rPr>
          <w:rFonts w:ascii="Times New Roman" w:cs="Times New Roman" w:eastAsia="Times New Roman" w:hAnsi="Times New Roman"/>
          <w:sz w:val="18"/>
          <w:szCs w:val="18"/>
          <w:b w:val="1"/>
          <w:bCs w:val="1"/>
          <w:color w:val="auto"/>
        </w:rPr>
      </w:pPr>
    </w:p>
    <w:p>
      <w:pPr>
        <w:ind w:left="1184" w:right="2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8.1.Purchaser or Purchaser’s Affiliates will indemnify and hold Service Provider or Service Provider’s Affiliates harmless from any loss, damage, claims, allegations, actions, causes of action, suits, demands, liabilities, judgments, penalties, fees, fines, forfeitures and expense incurred in relation to any product liability or other claim by any Third Party arising out of a defect in manufacture, material, workmanship, or design of Polestar Vehicles. Damages include damage to property, death, or personal injury. Expenses include reasonable expenses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 | Page</w:t>
      </w:r>
    </w:p>
    <w:p>
      <w:pPr>
        <w:sectPr>
          <w:pgSz w:w="11900" w:h="16838" w:orient="portrait"/>
          <w:cols w:equalWidth="0" w:num="1">
            <w:col w:w="11024"/>
          </w:cols>
          <w:pgMar w:left="436" w:top="270" w:right="439" w:bottom="1440" w:gutter="0" w:footer="0" w:header="0"/>
        </w:sectPr>
      </w:pPr>
    </w:p>
    <w:bookmarkStart w:id="332" w:name="page333"/>
    <w:bookmarkEnd w:id="332"/>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1204" w:right="40"/>
        <w:spacing w:after="0" w:line="258" w:lineRule="auto"/>
        <w:rPr>
          <w:sz w:val="20"/>
          <w:szCs w:val="20"/>
          <w:color w:val="auto"/>
        </w:rPr>
      </w:pPr>
      <w:r>
        <w:rPr>
          <w:rFonts w:ascii="Times New Roman" w:cs="Times New Roman" w:eastAsia="Times New Roman" w:hAnsi="Times New Roman"/>
          <w:sz w:val="18"/>
          <w:szCs w:val="18"/>
          <w:color w:val="auto"/>
        </w:rPr>
        <w:t>incurred in defending the claim or in any related investigation or negotiation, court filing fees, court costs, arbitration fees, witness fees, and legal fees and disbursements. Service Provider will promptly notify Purchaser of any claims under this Section. Service Provider, its Affiliate or its representatives may defend any such claim at Purchaser’s costs and in collaboration with Purchaser. At either Party´s request, Purchaser and/or parties designated by Purchaser will participate, at Purchaser´s expense, in the defense of such claim. Any settlement between the Service Provider and such Third Party requires a prior written approval by the Purchaser.</w:t>
      </w:r>
    </w:p>
    <w:p>
      <w:pPr>
        <w:spacing w:after="0" w:line="89" w:lineRule="exact"/>
        <w:rPr>
          <w:sz w:val="20"/>
          <w:szCs w:val="20"/>
          <w:color w:val="auto"/>
        </w:rPr>
      </w:pPr>
    </w:p>
    <w:p>
      <w:pPr>
        <w:ind w:left="1184" w:right="46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What is stated in Section 8.1 will apply also to a product recall, owner notification or other campaign or similar activities, whether conducted for regulatory or non-regulatory reasons, voluntary campaigns and for recalls that are required by any authority or governmental body i.e., regulatory campaigns.</w:t>
      </w:r>
    </w:p>
    <w:p>
      <w:pPr>
        <w:spacing w:after="0" w:line="81" w:lineRule="exact"/>
        <w:rPr>
          <w:sz w:val="20"/>
          <w:szCs w:val="20"/>
          <w:color w:val="auto"/>
        </w:rPr>
      </w:pPr>
    </w:p>
    <w:p>
      <w:pPr>
        <w:ind w:left="1184" w:right="140" w:hanging="647"/>
        <w:spacing w:after="0" w:line="256" w:lineRule="auto"/>
        <w:tabs>
          <w:tab w:leader="none" w:pos="116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Service Provider and Purchaser acknowledge that what is stated in Sections 8.1 and 8.2 above mirrors what is stated in the Importer Agreement and the Sale &amp; Purchase Agreement, and that Service Provider and its Affiliates combined may only be indemnified once for each such event. Service Provider also acknowledges that Purchaser is a party to a contract manufacturing agreement for the manufacture of Polestar Vehicles and Purchaser may be entitled to reimbursement for some manufacturing defects under that agreement. Service Provider will provide any available information that may be necessary for Purchaser to exercise its rights under the manufacturing agreement.</w:t>
      </w:r>
    </w:p>
    <w:p>
      <w:pPr>
        <w:spacing w:after="0" w:line="93" w:lineRule="exact"/>
        <w:rPr>
          <w:sz w:val="20"/>
          <w:szCs w:val="20"/>
          <w:color w:val="auto"/>
        </w:rPr>
      </w:pPr>
    </w:p>
    <w:p>
      <w:pPr>
        <w:ind w:left="1184" w:right="6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Purchaser is responsible to obtain and maintain an insurance to cover its obligations under the Framework Agreement, Importer Agreement and Sale &amp; Purchase Agreement.</w:t>
      </w:r>
    </w:p>
    <w:p>
      <w:pPr>
        <w:spacing w:after="0" w:line="67" w:lineRule="exact"/>
        <w:rPr>
          <w:sz w:val="20"/>
          <w:szCs w:val="20"/>
          <w:color w:val="auto"/>
        </w:rPr>
      </w:pPr>
    </w:p>
    <w:p>
      <w:pPr>
        <w:ind w:left="1184" w:right="280" w:hanging="647"/>
        <w:spacing w:after="0" w:line="312" w:lineRule="auto"/>
        <w:tabs>
          <w:tab w:leader="none" w:pos="1164"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The Parties acknowledge and agree that the transactions of Polestar Vehicles performed under the Importer Agreement and Sale &amp; Purchase Agreement are without any warranties and that any warranties granted to Distributor is the sole responsibility of Purchaser.</w:t>
      </w:r>
    </w:p>
    <w:p>
      <w:pPr>
        <w:spacing w:after="0" w:line="41" w:lineRule="exact"/>
        <w:rPr>
          <w:sz w:val="20"/>
          <w:szCs w:val="20"/>
          <w:color w:val="auto"/>
        </w:rPr>
      </w:pPr>
    </w:p>
    <w:p>
      <w:pPr>
        <w:ind w:left="544" w:hanging="544"/>
        <w:spacing w:after="0"/>
        <w:tabs>
          <w:tab w:leader="none" w:pos="54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and improvements</w:t>
      </w:r>
    </w:p>
    <w:p>
      <w:pPr>
        <w:spacing w:after="0" w:line="134" w:lineRule="exact"/>
        <w:rPr>
          <w:rFonts w:ascii="Times New Roman" w:cs="Times New Roman" w:eastAsia="Times New Roman" w:hAnsi="Times New Roman"/>
          <w:sz w:val="18"/>
          <w:szCs w:val="18"/>
          <w:b w:val="1"/>
          <w:bCs w:val="1"/>
          <w:color w:val="auto"/>
        </w:rPr>
      </w:pPr>
    </w:p>
    <w:p>
      <w:pPr>
        <w:ind w:left="1184" w:right="6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9.1.If Purchaser make any changes in or improvements to the Polestar Vehicles, Service Provider or its Affiliates will not incur any liability or obligations whatsoever in relation to such changes in or improvements to Polestar Vehicles previously manufactured or sold. However, if such change or improvement results in a price change from Purchaser to Importer (Transfer Price 1), the Transfer Price 2 paid by Distributor to Importer under the Sale &amp; Purchase Agreement, will be adjusted accordingly.</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w:t>
      </w:r>
    </w:p>
    <w:p>
      <w:pPr>
        <w:spacing w:after="0" w:line="134" w:lineRule="exact"/>
        <w:rPr>
          <w:rFonts w:ascii="Times New Roman" w:cs="Times New Roman" w:eastAsia="Times New Roman" w:hAnsi="Times New Roman"/>
          <w:sz w:val="18"/>
          <w:szCs w:val="18"/>
          <w:b w:val="1"/>
          <w:bCs w:val="1"/>
          <w:color w:val="auto"/>
        </w:rPr>
      </w:pPr>
    </w:p>
    <w:p>
      <w:pPr>
        <w:ind w:left="1184" w:right="1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During the term of this Agreement, either Party shall have the right to, upon reasonable notice in writing to the other Party, inspect books and records related to the services and the premises where the services are performed, in order to verify the statements rendered under this Framework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 | Page</w:t>
      </w:r>
    </w:p>
    <w:p>
      <w:pPr>
        <w:sectPr>
          <w:pgSz w:w="11900" w:h="16838" w:orient="portrait"/>
          <w:cols w:equalWidth="0" w:num="1">
            <w:col w:w="11024"/>
          </w:cols>
          <w:pgMar w:left="436" w:top="270" w:right="439" w:bottom="1440" w:gutter="0" w:footer="0" w:header="0"/>
        </w:sectPr>
      </w:pPr>
    </w:p>
    <w:bookmarkStart w:id="333" w:name="page334"/>
    <w:bookmarkEnd w:id="333"/>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1184" w:right="60" w:hanging="647"/>
        <w:spacing w:after="0" w:line="256" w:lineRule="auto"/>
        <w:tabs>
          <w:tab w:leader="none" w:pos="11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Audits shall be made during regular business hours and be conducted by requesting Party or by an independent auditor appointed by that Party. Should that Party during any inspection find that the other Party or the services does/do not fulfil the requirements set forth herein, the requesting Party is entitled to comment on the identified deviations. The audited Party shall, upon notice from the requesting Party, take reasonable efforts to take the actions required in order to fulfil the requirements. In the event the Parties cannot agree upon measures to be taken in respect of the audit, each Party shall be entitled to escalate such issue to the Steering Committee (as defined in Section 22.4 below).</w:t>
      </w:r>
    </w:p>
    <w:p>
      <w:pPr>
        <w:spacing w:after="0" w:line="89" w:lineRule="exact"/>
        <w:rPr>
          <w:sz w:val="20"/>
          <w:szCs w:val="20"/>
          <w:color w:val="auto"/>
        </w:rPr>
      </w:pPr>
    </w:p>
    <w:p>
      <w:pPr>
        <w:ind w:left="544" w:hanging="544"/>
        <w:spacing w:after="0"/>
        <w:tabs>
          <w:tab w:leader="none" w:pos="544"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The Parties will take any and all necessary measures to comply with the security and confidentiality procedures of the other Party.</w:t>
      </w:r>
    </w:p>
    <w:p>
      <w:pPr>
        <w:spacing w:after="0" w:line="130" w:lineRule="exact"/>
        <w:rPr>
          <w:rFonts w:ascii="Times New Roman" w:cs="Times New Roman" w:eastAsia="Times New Roman" w:hAnsi="Times New Roman"/>
          <w:sz w:val="18"/>
          <w:szCs w:val="18"/>
          <w:b w:val="1"/>
          <w:bCs w:val="1"/>
          <w:color w:val="auto"/>
        </w:rPr>
      </w:pPr>
    </w:p>
    <w:p>
      <w:pPr>
        <w:ind w:left="1184" w:right="14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 All Confidential Information will only be used for the purposes comprised by the fulfilment of this Framework Agreement. Each Party will keep in confidence any Confidential Information obtained in relation to this Framework Agreement and will not divulge the same to any Third Party, unless the exceptions specifically set forth below in this Section 11.2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w:t>
      </w:r>
    </w:p>
    <w:p>
      <w:pPr>
        <w:spacing w:after="0" w:line="92" w:lineRule="exact"/>
        <w:rPr>
          <w:rFonts w:ascii="Times New Roman" w:cs="Times New Roman" w:eastAsia="Times New Roman" w:hAnsi="Times New Roman"/>
          <w:sz w:val="18"/>
          <w:szCs w:val="18"/>
          <w:b w:val="1"/>
          <w:bCs w:val="1"/>
          <w:color w:val="auto"/>
        </w:rPr>
      </w:pPr>
    </w:p>
    <w:p>
      <w:pPr>
        <w:ind w:left="1964" w:hanging="533"/>
        <w:spacing w:after="0"/>
        <w:tabs>
          <w:tab w:leader="none" w:pos="196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the public domain other than by breach of this undertaking, or by another confidentiality undertaking;</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in the possession of the receiving Party before its receipt from the disclosing Party;</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obtained from a Third Party who is free to divulge the same;</w:t>
      </w:r>
    </w:p>
    <w:p>
      <w:pPr>
        <w:spacing w:after="0" w:line="130" w:lineRule="exact"/>
        <w:rPr>
          <w:rFonts w:ascii="Times New Roman" w:cs="Times New Roman" w:eastAsia="Times New Roman" w:hAnsi="Times New Roman"/>
          <w:sz w:val="18"/>
          <w:szCs w:val="18"/>
          <w:color w:val="auto"/>
        </w:rPr>
      </w:pPr>
    </w:p>
    <w:p>
      <w:pPr>
        <w:ind w:left="1964" w:right="900" w:hanging="533"/>
        <w:spacing w:after="0" w:line="282" w:lineRule="auto"/>
        <w:tabs>
          <w:tab w:leader="none" w:pos="196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disclosed by mandatory law, court order, lawful government action or applicable stock exchange regulations;</w:t>
      </w:r>
    </w:p>
    <w:p>
      <w:pPr>
        <w:spacing w:after="0" w:line="67"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necessary for either Party to utilize its rights and use of its intellectual property rights; or</w:t>
      </w:r>
    </w:p>
    <w:p>
      <w:pPr>
        <w:spacing w:after="0" w:line="130" w:lineRule="exact"/>
        <w:rPr>
          <w:rFonts w:ascii="Times New Roman" w:cs="Times New Roman" w:eastAsia="Times New Roman" w:hAnsi="Times New Roman"/>
          <w:sz w:val="18"/>
          <w:szCs w:val="18"/>
          <w:color w:val="auto"/>
        </w:rPr>
      </w:pPr>
    </w:p>
    <w:p>
      <w:pPr>
        <w:ind w:left="1964" w:right="220" w:hanging="533"/>
        <w:spacing w:after="0" w:line="282" w:lineRule="auto"/>
        <w:tabs>
          <w:tab w:leader="none" w:pos="196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or created by one Party independently of the other, without any part thereof having been developed or created with assistance or information received from the other Party.</w:t>
      </w:r>
    </w:p>
    <w:p>
      <w:pPr>
        <w:spacing w:after="0" w:line="67" w:lineRule="exact"/>
        <w:rPr>
          <w:sz w:val="20"/>
          <w:szCs w:val="20"/>
          <w:color w:val="auto"/>
        </w:rPr>
      </w:pPr>
    </w:p>
    <w:p>
      <w:pPr>
        <w:ind w:left="1184" w:right="60" w:hanging="647"/>
        <w:spacing w:after="0" w:line="258" w:lineRule="auto"/>
        <w:tabs>
          <w:tab w:leader="none" w:pos="116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receiving Party will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will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11.</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 | Page</w:t>
      </w:r>
    </w:p>
    <w:p>
      <w:pPr>
        <w:sectPr>
          <w:pgSz w:w="11900" w:h="16838" w:orient="portrait"/>
          <w:cols w:equalWidth="0" w:num="1">
            <w:col w:w="11024"/>
          </w:cols>
          <w:pgMar w:left="436" w:top="270" w:right="439" w:bottom="1440" w:gutter="0" w:footer="0" w:header="0"/>
        </w:sectPr>
      </w:pPr>
    </w:p>
    <w:bookmarkStart w:id="334" w:name="page335"/>
    <w:bookmarkEnd w:id="334"/>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1184" w:right="120" w:hanging="647"/>
        <w:spacing w:after="0" w:line="256" w:lineRule="auto"/>
        <w:tabs>
          <w:tab w:leader="none" w:pos="116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Any tangible materials that disclose or embody Confidential Information should be marked by the disclosing Party as “Confidential,” “Proprietary” or the substantial equivalent thereof. Confidential Information that is disclosed orally or visually will be identified by the disclosing Party as confidential at the time of disclosure, with subsequent confirmation in writing within 30 days after disclosure. However, the lack of marking or subsequent confirmation that the disclosed information will be regarded as “Confidential”, “Proprietary” or the substantial equivalent thereof does not disqualify the disclosed information from being classified as Confidential Information.</w:t>
      </w:r>
    </w:p>
    <w:p>
      <w:pPr>
        <w:spacing w:after="0" w:line="93"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If any Party violates any of its obligations described in this Section 11, the violating Party will, upon notification from the other Party,</w:t>
      </w:r>
    </w:p>
    <w:p>
      <w:pPr>
        <w:spacing w:after="0" w:line="27" w:lineRule="exact"/>
        <w:rPr>
          <w:sz w:val="20"/>
          <w:szCs w:val="20"/>
          <w:color w:val="auto"/>
        </w:rPr>
      </w:pPr>
    </w:p>
    <w:p>
      <w:pPr>
        <w:jc w:val="both"/>
        <w:ind w:left="1184" w:right="720" w:firstLine="4"/>
        <w:spacing w:after="0" w:line="255" w:lineRule="auto"/>
        <w:tabs>
          <w:tab w:leader="none" w:pos="139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to proceed such harmful violation and take all actions needed to rectify said behavior and (ii) financially compensate for the harm suffered as determined by an federal or state court pursuant to Section 25.1 below. All legal remedies (compensatory but not punitive in nature) according to law will apply.</w:t>
      </w:r>
    </w:p>
    <w:p>
      <w:pPr>
        <w:spacing w:after="0" w:line="91" w:lineRule="exact"/>
        <w:rPr>
          <w:sz w:val="20"/>
          <w:szCs w:val="20"/>
          <w:color w:val="auto"/>
        </w:rPr>
      </w:pPr>
    </w:p>
    <w:p>
      <w:pPr>
        <w:jc w:val="center"/>
        <w:ind w:right="-3"/>
        <w:spacing w:after="0"/>
        <w:tabs>
          <w:tab w:leader="none" w:pos="2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This confidentiality provision will survive the expiration or termination of this Framework Agreement without limitation in time.</w:t>
      </w:r>
    </w:p>
    <w:p>
      <w:pPr>
        <w:spacing w:after="0" w:line="127" w:lineRule="exact"/>
        <w:rPr>
          <w:sz w:val="20"/>
          <w:szCs w:val="20"/>
          <w:color w:val="auto"/>
        </w:rPr>
      </w:pPr>
    </w:p>
    <w:p>
      <w:pPr>
        <w:ind w:left="544" w:hanging="544"/>
        <w:spacing w:after="0"/>
        <w:tabs>
          <w:tab w:leader="none" w:pos="544"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Volvo brand name</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For the sake of clarity, it is especially noted that this Framework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w:t>
      </w:r>
    </w:p>
    <w:p>
      <w:pPr>
        <w:spacing w:after="0" w:line="88" w:lineRule="exact"/>
        <w:rPr>
          <w:rFonts w:ascii="Times New Roman" w:cs="Times New Roman" w:eastAsia="Times New Roman" w:hAnsi="Times New Roman"/>
          <w:sz w:val="18"/>
          <w:szCs w:val="18"/>
          <w:b w:val="1"/>
          <w:bCs w:val="1"/>
          <w:color w:val="auto"/>
        </w:rPr>
      </w:pPr>
    </w:p>
    <w:p>
      <w:pPr>
        <w:ind w:left="1184" w:right="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 This means that this Framework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Polestar brand name.</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13.1. This Framework Agreement includes the right to use the Polestar brand name or Trademarks, or refer to Polestar for the limited purpose of what is needed to perform Service Provider’s obligations under this Framework Agreement. When using the Polestar Trademark or Polestar brand name Service Provider will comply with any instructions or guidelines provided by Purchaser. For the avoidance of doubt, Service Provider’s right to use the Polestar brand name or Trademarks when performing its obligations does not constitute a right to use the Polestar brand name or Trademarks for any other activities under this Framework Agreement.</w:t>
      </w:r>
    </w:p>
    <w:p>
      <w:pPr>
        <w:spacing w:after="0" w:line="88" w:lineRule="exact"/>
        <w:rPr>
          <w:rFonts w:ascii="Times New Roman" w:cs="Times New Roman" w:eastAsia="Times New Roman" w:hAnsi="Times New Roman"/>
          <w:sz w:val="18"/>
          <w:szCs w:val="18"/>
          <w:b w:val="1"/>
          <w:bCs w:val="1"/>
          <w:color w:val="auto"/>
        </w:rPr>
      </w:pPr>
    </w:p>
    <w:p>
      <w:pPr>
        <w:ind w:left="1184" w:right="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13.2. For the avoidance of doubt, this Framework Agreement does not include any other rights to directly or indirectly use the Polestar brand name or Polestar Trademarks, on or for any products outside the scope of this Framework Agreement, or when marketing, promoting and/or selling such products, or in any other contacts with third parties, e.g. in presentations, business cards and correspondence, unless with the prior written consent of Purchaser.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 | Page</w:t>
      </w:r>
    </w:p>
    <w:p>
      <w:pPr>
        <w:sectPr>
          <w:pgSz w:w="11900" w:h="16838" w:orient="portrait"/>
          <w:cols w:equalWidth="0" w:num="1">
            <w:col w:w="11024"/>
          </w:cols>
          <w:pgMar w:left="436" w:top="270" w:right="4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4" w:lineRule="exact"/>
        <w:rPr>
          <w:sz w:val="20"/>
          <w:szCs w:val="20"/>
          <w:color w:val="auto"/>
        </w:rPr>
      </w:pPr>
    </w:p>
    <w:p>
      <w:pPr>
        <w:ind w:left="544" w:hanging="544"/>
        <w:spacing w:after="0"/>
        <w:tabs>
          <w:tab w:leader="none" w:pos="544"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Infringement of intellectual property rights</w:t>
      </w:r>
    </w:p>
    <w:p>
      <w:pPr>
        <w:spacing w:after="0" w:line="134" w:lineRule="exact"/>
        <w:rPr>
          <w:rFonts w:ascii="Times New Roman" w:cs="Times New Roman" w:eastAsia="Times New Roman" w:hAnsi="Times New Roman"/>
          <w:sz w:val="18"/>
          <w:szCs w:val="18"/>
          <w:b w:val="1"/>
          <w:bCs w:val="1"/>
          <w:color w:val="auto"/>
        </w:rPr>
      </w:pPr>
    </w:p>
    <w:p>
      <w:pPr>
        <w:ind w:left="1184" w:right="1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Each Party will without undue delay inform the other Party of any infringement or suspected infringement in the Territory of the other Party’s intellectual property rights.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15.1. Neither Party will be responsible for delays, losses, or damages due to causes beyond the reasonable control of the Party, including but not limited to industrial disputes, riots, mobs, fires, floods, wars, embargo; shortages of labour, power, fuel, means of transportation, or common lack of other necessities, whether relating to the Parties or their subcontractors; government actions, changes in the law or regulations or orders issued by any government agency or otherwise.</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4" w:lineRule="exact"/>
        <w:rPr>
          <w:rFonts w:ascii="Times New Roman" w:cs="Times New Roman" w:eastAsia="Times New Roman" w:hAnsi="Times New Roman"/>
          <w:sz w:val="18"/>
          <w:szCs w:val="18"/>
          <w:b w:val="1"/>
          <w:bCs w:val="1"/>
          <w:color w:val="auto"/>
        </w:rPr>
      </w:pPr>
    </w:p>
    <w:p>
      <w:pPr>
        <w:ind w:left="1184" w:right="60" w:hanging="648"/>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16.1. Notwithstanding the date of signature, this Framework Agreement will be considered to have entered into effect on 21 June 2022 and thus ratifies the terms and conditions under which the parties have already accepted and acted upon from the said date. This Framework Agreement will continue until claims for duty drawback have been made on all eligible Polestar Vehicles, i.e., imported by Importer to the Territory under the Importer Agreement, and the received duty drawback has been distributed in accordance with Section 7.3 above.</w:t>
      </w:r>
    </w:p>
    <w:p>
      <w:pPr>
        <w:spacing w:after="0" w:line="69"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16.2.   Either Party shall be entitled to terminate this Framework Agreement with immediate effect in the event:</w:t>
      </w:r>
    </w:p>
    <w:p>
      <w:pPr>
        <w:spacing w:after="0" w:line="130" w:lineRule="exact"/>
        <w:rPr>
          <w:rFonts w:ascii="Times New Roman" w:cs="Times New Roman" w:eastAsia="Times New Roman" w:hAnsi="Times New Roman"/>
          <w:sz w:val="18"/>
          <w:szCs w:val="18"/>
          <w:b w:val="1"/>
          <w:bCs w:val="1"/>
          <w:color w:val="auto"/>
        </w:rPr>
      </w:pPr>
    </w:p>
    <w:p>
      <w:pPr>
        <w:ind w:left="1964" w:right="220" w:hanging="533"/>
        <w:spacing w:after="0" w:line="282" w:lineRule="auto"/>
        <w:tabs>
          <w:tab w:leader="none" w:pos="196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commits a material breach of the terms of this Framework Agreement, which has not been remedied within 30 days from written notice from the other Party to remedy such breach (if capable of being remedied); or</w:t>
      </w:r>
    </w:p>
    <w:p>
      <w:pPr>
        <w:spacing w:after="0" w:line="67" w:lineRule="exact"/>
        <w:rPr>
          <w:rFonts w:ascii="Times New Roman" w:cs="Times New Roman" w:eastAsia="Times New Roman" w:hAnsi="Times New Roman"/>
          <w:sz w:val="18"/>
          <w:szCs w:val="18"/>
          <w:color w:val="auto"/>
        </w:rPr>
      </w:pPr>
    </w:p>
    <w:p>
      <w:pPr>
        <w:ind w:left="1964" w:right="640" w:hanging="533"/>
        <w:spacing w:after="0" w:line="282" w:lineRule="auto"/>
        <w:tabs>
          <w:tab w:leader="none" w:pos="196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should become insolvent or enter into negotiations on composition with its creditors or a petition in bankruptcy should be filed by it or it should make an assignment for the benefit of its creditors.</w:t>
      </w:r>
    </w:p>
    <w:p>
      <w:pPr>
        <w:spacing w:after="0" w:line="67" w:lineRule="exact"/>
        <w:rPr>
          <w:sz w:val="20"/>
          <w:szCs w:val="20"/>
          <w:color w:val="auto"/>
        </w:rPr>
      </w:pPr>
    </w:p>
    <w:p>
      <w:pPr>
        <w:ind w:left="1184" w:right="2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For avoidance of doubt, it shall be considered a material breach of this Framework Agreement if either Party or its Affiliates does not pay the other Party or the other Party’s Affiliates, without legitimate reasons for withholding payment.</w:t>
      </w:r>
    </w:p>
    <w:p>
      <w:pPr>
        <w:spacing w:after="0" w:line="67" w:lineRule="exact"/>
        <w:rPr>
          <w:sz w:val="20"/>
          <w:szCs w:val="20"/>
          <w:color w:val="auto"/>
        </w:rPr>
      </w:pPr>
    </w:p>
    <w:p>
      <w:pPr>
        <w:ind w:left="1184" w:right="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Either Party may, by giving the other Party at least a six (6) month prior written notice, terminate this Framework Agreement at the end of the calendar year following the end of such notice period.</w:t>
      </w:r>
    </w:p>
    <w:p>
      <w:pPr>
        <w:spacing w:after="0" w:line="67"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The Party providing notice in accordance with Section 16.4 herein will not be required to provide reasons for its decision to terminate this Framework Agreement.</w:t>
      </w:r>
    </w:p>
    <w:p>
      <w:pPr>
        <w:spacing w:after="0" w:line="67" w:lineRule="exact"/>
        <w:rPr>
          <w:sz w:val="20"/>
          <w:szCs w:val="20"/>
          <w:color w:val="auto"/>
        </w:rPr>
      </w:pPr>
    </w:p>
    <w:p>
      <w:pPr>
        <w:ind w:left="1184" w:right="1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color w:val="auto"/>
        </w:rPr>
        <w:t>If notice has been given in accordance with Section 16.4 herein, this Framework Agreement will automatically expire at the end of the calendar year following the relevant period, without any possibility of tacit renewal or the need for a court intervention. The Party providing notice pursuant to Section 16.4 hereof will not for that reason incur any liability including, without limitation, goodwill payments, indemnities for loss of profit or of clientele, or compensation for investments made.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 | Page</w:t>
      </w:r>
    </w:p>
    <w:p>
      <w:pPr>
        <w:sectPr>
          <w:pgSz w:w="11900" w:h="16838" w:orient="portrait"/>
          <w:cols w:equalWidth="0" w:num="1">
            <w:col w:w="11024"/>
          </w:cols>
          <w:pgMar w:left="436" w:top="270" w:right="439" w:bottom="1440" w:gutter="0" w:footer="0" w:header="0"/>
        </w:sectPr>
      </w:pPr>
    </w:p>
    <w:bookmarkStart w:id="336" w:name="page337"/>
    <w:bookmarkEnd w:id="336"/>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1184" w:right="16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In addition, either Party will have the right to terminate this Framework Agreement upon 30 days’ notice in the event of force majeure (as described in Section 15 above) which causes major disturbance, during more than 30 days, to the operative and/or financial conditions which this Framework Agreement is based on.</w:t>
      </w:r>
    </w:p>
    <w:p>
      <w:pPr>
        <w:spacing w:after="0" w:line="77" w:lineRule="exact"/>
        <w:rPr>
          <w:sz w:val="20"/>
          <w:szCs w:val="20"/>
          <w:color w:val="auto"/>
        </w:rPr>
      </w:pPr>
    </w:p>
    <w:p>
      <w:pPr>
        <w:ind w:left="544" w:hanging="544"/>
        <w:spacing w:after="0"/>
        <w:tabs>
          <w:tab w:leader="none" w:pos="54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17.1. Obligations concerning payments due and obligations expressly or by their nature intended to survive the termination of this Framework Agreement, will so survive.</w:t>
      </w:r>
    </w:p>
    <w:p>
      <w:pPr>
        <w:spacing w:after="0" w:line="67" w:lineRule="exact"/>
        <w:rPr>
          <w:rFonts w:ascii="Times New Roman" w:cs="Times New Roman" w:eastAsia="Times New Roman" w:hAnsi="Times New Roman"/>
          <w:sz w:val="18"/>
          <w:szCs w:val="18"/>
          <w:b w:val="1"/>
          <w:bCs w:val="1"/>
          <w:color w:val="auto"/>
        </w:rPr>
      </w:pPr>
    </w:p>
    <w:p>
      <w:pPr>
        <w:ind w:left="1184" w:right="6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17.2. No compensation for goodwill or investments made by either Party can be claimed by reason of termination of this Framework Agreement.</w:t>
      </w:r>
    </w:p>
    <w:p>
      <w:pPr>
        <w:spacing w:after="0" w:line="67" w:lineRule="exact"/>
        <w:rPr>
          <w:rFonts w:ascii="Times New Roman" w:cs="Times New Roman" w:eastAsia="Times New Roman" w:hAnsi="Times New Roman"/>
          <w:sz w:val="18"/>
          <w:szCs w:val="18"/>
          <w:b w:val="1"/>
          <w:bCs w:val="1"/>
          <w:color w:val="auto"/>
        </w:rPr>
      </w:pPr>
    </w:p>
    <w:p>
      <w:pPr>
        <w:ind w:left="1184" w:right="1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17.3. On termination of this Framework Agreement, Purchaser will repurchase Polestar Vehicles owned by Importer at an arm´s length price agreed between the Parties. Purchaser may assign to Distributor or any of its other Affiliates to make such purchase.</w:t>
      </w:r>
    </w:p>
    <w:p>
      <w:pPr>
        <w:spacing w:after="0" w:line="67" w:lineRule="exact"/>
        <w:rPr>
          <w:rFonts w:ascii="Times New Roman" w:cs="Times New Roman" w:eastAsia="Times New Roman" w:hAnsi="Times New Roman"/>
          <w:sz w:val="18"/>
          <w:szCs w:val="18"/>
          <w:b w:val="1"/>
          <w:bCs w:val="1"/>
          <w:color w:val="auto"/>
        </w:rPr>
      </w:pPr>
    </w:p>
    <w:p>
      <w:pPr>
        <w:ind w:left="1184" w:right="1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17.4. In the event that there are remaining Polestar Vehicles eligible for duty drawback at the time this Framework Agreement is Terminated, the Parties shall in good faith negotiate and agree how to handle the related potential duty drawback claim. The intention of this Framework Agreement will be the base for such negotiation.</w:t>
      </w:r>
    </w:p>
    <w:p>
      <w:pPr>
        <w:spacing w:after="0" w:line="81" w:lineRule="exact"/>
        <w:rPr>
          <w:rFonts w:ascii="Times New Roman" w:cs="Times New Roman" w:eastAsia="Times New Roman" w:hAnsi="Times New Roman"/>
          <w:sz w:val="18"/>
          <w:szCs w:val="18"/>
          <w:b w:val="1"/>
          <w:bCs w:val="1"/>
          <w:color w:val="auto"/>
        </w:rPr>
      </w:pPr>
    </w:p>
    <w:p>
      <w:pPr>
        <w:ind w:left="1184" w:right="16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17.5. Termination of this Framework Agreement will relieve the Parties of any other obligations or commitments it may have to the other Party in any other agreement or understanding between the parties that is depending on the fulfillment of either Party’s obligations under this Framework Agreement. This means that termination of either of this Framework Agreement, the Importer Agreement or the Sale &amp; Purchase Agreement, automatically terminates all of the beforementioned agreements.</w:t>
      </w:r>
    </w:p>
    <w:p>
      <w:pPr>
        <w:spacing w:after="0" w:line="85" w:lineRule="exact"/>
        <w:rPr>
          <w:rFonts w:ascii="Times New Roman" w:cs="Times New Roman" w:eastAsia="Times New Roman" w:hAnsi="Times New Roman"/>
          <w:sz w:val="18"/>
          <w:szCs w:val="18"/>
          <w:b w:val="1"/>
          <w:bCs w:val="1"/>
          <w:color w:val="auto"/>
        </w:rPr>
      </w:pPr>
    </w:p>
    <w:p>
      <w:pPr>
        <w:ind w:left="1184" w:right="2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17.6. Notwithstanding what is stated above in this Section 17, if this Framework Agreement is terminated or expires pursuant to Section 16 above, Section 8 (Liabilities and indemnification), Section 11 (Confidentiality), Section 14 (Infringement of intellectual property rights), Section 23 (Governing law), Section 24 (Dispute Resolution) as well as this Section17 , shall survive any termination or expiration and remain in force as between the Parties after such termination or expiration.</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Waiver, Severability</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 No amendment, supplement, or variation of this Framework Agreement will be binding unless agreed upon by the Parties in writing. A waiver of any default is not a waiver of any later default and will not affect the validity of this Framework Agreement. Unenforceable terms of this Framework Agreement will be modified to reflect the Parties’ intention and only to the extent necessary to make them enforceable. The other terms will remain in effect without change.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 | Page</w:t>
      </w:r>
    </w:p>
    <w:p>
      <w:pPr>
        <w:sectPr>
          <w:pgSz w:w="11900" w:h="16838" w:orient="portrait"/>
          <w:cols w:equalWidth="0" w:num="1">
            <w:col w:w="11024"/>
          </w:cols>
          <w:pgMar w:left="436" w:top="270" w:right="4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4" w:lineRule="exact"/>
        <w:rPr>
          <w:sz w:val="20"/>
          <w:szCs w:val="20"/>
          <w:color w:val="auto"/>
        </w:rPr>
      </w:pPr>
    </w:p>
    <w:p>
      <w:pPr>
        <w:ind w:left="544" w:hanging="544"/>
        <w:spacing w:after="0"/>
        <w:tabs>
          <w:tab w:leader="none" w:pos="54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and conflicts</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19.1. This Framework Agreement supersedes all previous representations, understandings or agreements, oral or written, between the parties with respect to the subject matter hereof, and together with the agreements and documents contemplated hereby contains the entire understanding for the Parties as to the terms and conditions of their relationship.</w:t>
      </w:r>
    </w:p>
    <w:p>
      <w:pPr>
        <w:spacing w:after="0" w:line="81" w:lineRule="exact"/>
        <w:rPr>
          <w:rFonts w:ascii="Times New Roman" w:cs="Times New Roman" w:eastAsia="Times New Roman" w:hAnsi="Times New Roman"/>
          <w:sz w:val="18"/>
          <w:szCs w:val="18"/>
          <w:b w:val="1"/>
          <w:bCs w:val="1"/>
          <w:color w:val="auto"/>
        </w:rPr>
      </w:pPr>
    </w:p>
    <w:p>
      <w:pPr>
        <w:ind w:left="1184" w:right="2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19.2. In the event there are any contradictions or inconsistencies between the terms of this Framework Agreement, the Importer Agreement and the Sale &amp; Purchase Agreement, the Parties agree that the following order of priority shall apply:</w:t>
      </w:r>
    </w:p>
    <w:p>
      <w:pPr>
        <w:spacing w:after="0" w:line="67" w:lineRule="exact"/>
        <w:rPr>
          <w:rFonts w:ascii="Times New Roman" w:cs="Times New Roman" w:eastAsia="Times New Roman" w:hAnsi="Times New Roman"/>
          <w:sz w:val="18"/>
          <w:szCs w:val="18"/>
          <w:b w:val="1"/>
          <w:bCs w:val="1"/>
          <w:color w:val="auto"/>
        </w:rPr>
      </w:pPr>
    </w:p>
    <w:p>
      <w:pPr>
        <w:ind w:left="1964" w:hanging="533"/>
        <w:spacing w:after="0"/>
        <w:tabs>
          <w:tab w:leader="none" w:pos="196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Framework Agreement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Importer Agreement</w:t>
      </w:r>
    </w:p>
    <w:p>
      <w:pPr>
        <w:spacing w:after="0" w:line="27"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&amp; Purchase Agreement</w:t>
      </w:r>
    </w:p>
    <w:p>
      <w:pPr>
        <w:spacing w:after="0" w:line="22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34" w:lineRule="exact"/>
        <w:rPr>
          <w:rFonts w:ascii="Times New Roman" w:cs="Times New Roman" w:eastAsia="Times New Roman" w:hAnsi="Times New Roman"/>
          <w:sz w:val="18"/>
          <w:szCs w:val="18"/>
          <w:b w:val="1"/>
          <w:bCs w:val="1"/>
          <w:color w:val="auto"/>
        </w:rPr>
      </w:pPr>
    </w:p>
    <w:p>
      <w:pPr>
        <w:ind w:left="1184" w:right="6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 Neither Party may assign any of its rights or obligations under this Framework Agreement without the prior written consent of the other Party.</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21.1. Any Change of Control (as defined below) will be considered a material breach under Section 16 of this Agreement unless the other Party’s prior written consent has been obtained.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 in the case of the Purchaser, the Purchaser ceasing to be wholly owned directly or indirectly through Subsidiaries by (i) before de-SPAC, Polestar Automotive Holding Limited and (ii) after de-SPAC, Polestar Automotive Holding UK PLC or (b) in the case of the Service Provider, the Service Provider ceasing to be controlled by Volvo Car AB (publ).</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1184" w:right="22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Any formal notices under this Framework Agreement, including without limitation, notices of breach or termination, required or otherwise given under this Framework Agreement will be given in writing. The notices must, as the case requires, be addressed to the party to be notified at the following addresses and/or appropriate email addresses:</w:t>
      </w:r>
    </w:p>
    <w:p>
      <w:pPr>
        <w:spacing w:after="0" w:line="6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To Service Provider:</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50419 Related Party Business</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VAK HC2N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SE-405 31 Göteborg, Sweden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 | Page</w:t>
      </w:r>
    </w:p>
    <w:p>
      <w:pPr>
        <w:sectPr>
          <w:pgSz w:w="11900" w:h="16838" w:orient="portrait"/>
          <w:cols w:equalWidth="0" w:num="1">
            <w:col w:w="11024"/>
          </w:cols>
          <w:pgMar w:left="436" w:top="270" w:right="4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50090 Group Legal and Corporate Governance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VAK HB3S</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405 31 Gothenburg, Sweden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legal@volvocars.com</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To Purchaser:</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Polestar Performance AB</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Polestar Performance AB</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legal@polestar.com</w:t>
      </w:r>
    </w:p>
    <w:p>
      <w:pPr>
        <w:spacing w:after="0" w:line="108" w:lineRule="exact"/>
        <w:rPr>
          <w:sz w:val="20"/>
          <w:szCs w:val="20"/>
          <w:color w:val="auto"/>
        </w:rPr>
      </w:pPr>
    </w:p>
    <w:p>
      <w:pPr>
        <w:ind w:left="544" w:hanging="544"/>
        <w:spacing w:after="0"/>
        <w:tabs>
          <w:tab w:leader="none" w:pos="54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 and governance forums</w:t>
      </w:r>
    </w:p>
    <w:p>
      <w:pPr>
        <w:spacing w:after="0" w:line="134" w:lineRule="exact"/>
        <w:rPr>
          <w:rFonts w:ascii="Times New Roman" w:cs="Times New Roman" w:eastAsia="Times New Roman" w:hAnsi="Times New Roman"/>
          <w:sz w:val="18"/>
          <w:szCs w:val="18"/>
          <w:b w:val="1"/>
          <w:bCs w:val="1"/>
          <w:color w:val="auto"/>
        </w:rPr>
      </w:pPr>
    </w:p>
    <w:p>
      <w:pPr>
        <w:ind w:left="1184" w:right="26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23.1. The Parties will act in good faith in all matters and will at all times co-operate in respect of changes to this Framework Agreement as well as issues and/or disputes arising under this Framework Agreement.</w:t>
      </w:r>
    </w:p>
    <w:p>
      <w:pPr>
        <w:spacing w:after="0" w:line="67" w:lineRule="exact"/>
        <w:rPr>
          <w:rFonts w:ascii="Times New Roman" w:cs="Times New Roman" w:eastAsia="Times New Roman" w:hAnsi="Times New Roman"/>
          <w:sz w:val="18"/>
          <w:szCs w:val="18"/>
          <w:b w:val="1"/>
          <w:bCs w:val="1"/>
          <w:color w:val="auto"/>
        </w:rPr>
      </w:pPr>
    </w:p>
    <w:p>
      <w:pPr>
        <w:ind w:left="1184" w:right="14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23.2. The governance and co-operation between the Parties in respect of this Framework Agreement will primarily be administered on an operational level. In the event the Parties on an operational level cannot agree upon inter alia the prioritization of activities or other aspects relating to the co-operation between the Parties, each Party will be entitled to escalate such issue to the Steering Committee (as defined below in this Section 23).</w:t>
      </w:r>
    </w:p>
    <w:p>
      <w:pPr>
        <w:spacing w:after="0" w:line="85" w:lineRule="exact"/>
        <w:rPr>
          <w:rFonts w:ascii="Times New Roman" w:cs="Times New Roman" w:eastAsia="Times New Roman" w:hAnsi="Times New Roman"/>
          <w:sz w:val="18"/>
          <w:szCs w:val="18"/>
          <w:b w:val="1"/>
          <w:bCs w:val="1"/>
          <w:color w:val="auto"/>
        </w:rPr>
      </w:pPr>
    </w:p>
    <w:p>
      <w:pPr>
        <w:ind w:left="1184"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23.3. If the Steering Committee fails to agree upon a solution of the disagreement the relevant issue should be escalated to the Strategic Board (as defined below in this Section 23) for decision.</w:t>
      </w:r>
    </w:p>
    <w:p>
      <w:pPr>
        <w:spacing w:after="0" w:line="67" w:lineRule="exact"/>
        <w:rPr>
          <w:rFonts w:ascii="Times New Roman" w:cs="Times New Roman" w:eastAsia="Times New Roman" w:hAnsi="Times New Roman"/>
          <w:sz w:val="18"/>
          <w:szCs w:val="18"/>
          <w:b w:val="1"/>
          <w:bCs w:val="1"/>
          <w:color w:val="auto"/>
        </w:rPr>
      </w:pPr>
    </w:p>
    <w:p>
      <w:pPr>
        <w:ind w:left="1184" w:right="26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23.4. Above the operational level, the next level of governance forum for handling the co-operation between the Parties in various matters, handling management, prioritization of activities etc. under the Framework Agreement will be the “</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which regarding cooperation between Service Provider and Purchaser is the so called Volvo Polestar Business Steering Committee. The Steering Committee will be the first level of governance forum established by the Parties to which an issue will be escalated if the Parties fail to agree upon a solution on the operational level.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 | Page</w:t>
      </w:r>
    </w:p>
    <w:p>
      <w:pPr>
        <w:sectPr>
          <w:pgSz w:w="11900" w:h="16838" w:orient="portrait"/>
          <w:cols w:equalWidth="0" w:num="1">
            <w:col w:w="11024"/>
          </w:cols>
          <w:pgMar w:left="436" w:top="270" w:right="439" w:bottom="1440" w:gutter="0" w:footer="0" w:header="0"/>
        </w:sectPr>
      </w:pPr>
    </w:p>
    <w:bookmarkStart w:id="339" w:name="page340"/>
    <w:bookmarkEnd w:id="339"/>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PS22-021</w:t>
      </w:r>
    </w:p>
    <w:p>
      <w:pPr>
        <w:spacing w:after="0" w:line="158" w:lineRule="exact"/>
        <w:rPr>
          <w:sz w:val="20"/>
          <w:szCs w:val="20"/>
          <w:color w:val="auto"/>
        </w:rPr>
      </w:pPr>
    </w:p>
    <w:p>
      <w:pPr>
        <w:ind w:left="1184" w:right="1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The higher level of governance forum, to which an issue will be escalated if the Steering Committee fails to agree upon a solution will be the “</w:t>
      </w:r>
      <w:r>
        <w:rPr>
          <w:rFonts w:ascii="Times New Roman" w:cs="Times New Roman" w:eastAsia="Times New Roman" w:hAnsi="Times New Roman"/>
          <w:sz w:val="18"/>
          <w:szCs w:val="18"/>
          <w:b w:val="1"/>
          <w:bCs w:val="1"/>
          <w:color w:val="auto"/>
        </w:rPr>
        <w:t>Strategic Board</w:t>
      </w:r>
      <w:r>
        <w:rPr>
          <w:rFonts w:ascii="Times New Roman" w:cs="Times New Roman" w:eastAsia="Times New Roman" w:hAnsi="Times New Roman"/>
          <w:sz w:val="18"/>
          <w:szCs w:val="18"/>
          <w:color w:val="auto"/>
        </w:rPr>
        <w:t>”, which regarding cooperation between Service Provider and Purchaser is the so called Volvo Polestar Executive Alignment Meeting. The Strategic Board will be the highest level of governance forum established by the Parties for handling the cooperation between them in respect of various matters.</w:t>
      </w:r>
    </w:p>
    <w:p>
      <w:pPr>
        <w:spacing w:after="0" w:line="81" w:lineRule="exact"/>
        <w:rPr>
          <w:sz w:val="20"/>
          <w:szCs w:val="20"/>
          <w:color w:val="auto"/>
        </w:rPr>
      </w:pPr>
    </w:p>
    <w:p>
      <w:pPr>
        <w:ind w:left="544" w:hanging="544"/>
        <w:spacing w:after="0"/>
        <w:tabs>
          <w:tab w:leader="none" w:pos="54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34" w:lineRule="exact"/>
        <w:rPr>
          <w:rFonts w:ascii="Times New Roman" w:cs="Times New Roman" w:eastAsia="Times New Roman" w:hAnsi="Times New Roman"/>
          <w:sz w:val="18"/>
          <w:szCs w:val="18"/>
          <w:b w:val="1"/>
          <w:bCs w:val="1"/>
          <w:color w:val="auto"/>
        </w:rPr>
      </w:pPr>
    </w:p>
    <w:p>
      <w:pPr>
        <w:ind w:left="1184" w:right="1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24.1. This Framework Agreement and all non-contractual obligations in connection with this Framework Agreement will be governed by the substantive laws of Sweden, without giving regard to its conflict of laws principles.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25.1. In case the Parties cannot agree on a joint solution for handling disagreements or disputes, a deadlock situation will be deemed to have occurred and each Party will notify the other Party hereof by the means of a deadlock notice and simultaneously send a copy of the notice to the Steering Committee. Upon the receipt of such a deadlock notice, the receiving Party will within ten days of receipt, prepare and circulate to the other Party a statement setting out its position on the matter in dispute and reasons for adopting such position, and simultaneously send a copy of its statement to the Steering Committee. Each such statement will be considered by the next regular meeting held by the Steering Committee or in a forum meeting specifically called upon by either Party for the settlement of the issue.</w:t>
      </w:r>
    </w:p>
    <w:p>
      <w:pPr>
        <w:spacing w:after="0" w:line="78"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25.2.   The members of the Steering Committee will use reasonable endeavors to resolve a deadlock situation in good faith. As part thereof, the</w:t>
      </w:r>
    </w:p>
    <w:p>
      <w:pPr>
        <w:spacing w:after="0" w:line="27" w:lineRule="exact"/>
        <w:rPr>
          <w:rFonts w:ascii="Times New Roman" w:cs="Times New Roman" w:eastAsia="Times New Roman" w:hAnsi="Times New Roman"/>
          <w:sz w:val="18"/>
          <w:szCs w:val="18"/>
          <w:b w:val="1"/>
          <w:bCs w:val="1"/>
          <w:color w:val="auto"/>
        </w:rPr>
      </w:pPr>
    </w:p>
    <w:p>
      <w:pPr>
        <w:ind w:left="1184" w:right="3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Steering Committee may request the Parties to in good faith develop and agree on a plan to resolve or address the breach, to be presented for the Steering Committee without undue delay. If the Steering Committee agrees upon a resolution or disposition of the matter, the Parties will agree in writing on terms of such resolution or disposition and the Parties will procure that such resolution or disposition is fully and promptly carried into effect.</w:t>
      </w:r>
    </w:p>
    <w:p>
      <w:pPr>
        <w:spacing w:after="0" w:line="94" w:lineRule="exact"/>
        <w:rPr>
          <w:rFonts w:ascii="Times New Roman" w:cs="Times New Roman" w:eastAsia="Times New Roman" w:hAnsi="Times New Roman"/>
          <w:sz w:val="18"/>
          <w:szCs w:val="18"/>
          <w:b w:val="1"/>
          <w:bCs w:val="1"/>
          <w:color w:val="auto"/>
        </w:rPr>
      </w:pPr>
    </w:p>
    <w:p>
      <w:pPr>
        <w:ind w:left="1184" w:right="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25.3. If the Steering Committee cannot settle the deadlock within 30 days from the deadlock notice pursuant to the Section above, despite using reasonable endeavors to do so, such deadlock will be referred to the Strategic Board for decision. If no Steering Committee has been established between the Parties, the relevant issue will be referred to the Strategic Board. Should the matter not have been resolved by the Strategic Board within 30 days counting from when the matter was referred to them, despite using reasonable endeavors to do so, the matter will be resolved in accordance with Section 26 below.</w:t>
      </w:r>
    </w:p>
    <w:p>
      <w:pPr>
        <w:spacing w:after="0" w:line="88" w:lineRule="exact"/>
        <w:rPr>
          <w:rFonts w:ascii="Times New Roman" w:cs="Times New Roman" w:eastAsia="Times New Roman" w:hAnsi="Times New Roman"/>
          <w:sz w:val="18"/>
          <w:szCs w:val="18"/>
          <w:b w:val="1"/>
          <w:bCs w:val="1"/>
          <w:color w:val="auto"/>
        </w:rPr>
      </w:pPr>
    </w:p>
    <w:p>
      <w:pPr>
        <w:ind w:left="1184" w:right="8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25.4. All notices and communications exchanged in the course of a deadlock resolution proceeding will be considered Confidential Information of each Party and be subject to confidentiality undertaking.</w:t>
      </w:r>
    </w:p>
    <w:p>
      <w:pPr>
        <w:spacing w:after="0" w:line="67" w:lineRule="exact"/>
        <w:rPr>
          <w:rFonts w:ascii="Times New Roman" w:cs="Times New Roman" w:eastAsia="Times New Roman" w:hAnsi="Times New Roman"/>
          <w:sz w:val="18"/>
          <w:szCs w:val="18"/>
          <w:b w:val="1"/>
          <w:bCs w:val="1"/>
          <w:color w:val="auto"/>
        </w:rPr>
      </w:pPr>
    </w:p>
    <w:p>
      <w:pPr>
        <w:ind w:left="1184" w:right="1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25.5. Notwithstanding the above, the Parties agree that either Party may disregard the time frames set forth in this Section 25 and apply shorter time frames and/or escalate an issue directly to the Strategic Board in the event the escalated issue is of an urgent character and where the applicable time frames set out above are not appropriate.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 | Page</w:t>
      </w:r>
    </w:p>
    <w:p>
      <w:pPr>
        <w:sectPr>
          <w:pgSz w:w="11900" w:h="16838" w:orient="portrait"/>
          <w:cols w:equalWidth="0" w:num="1">
            <w:col w:w="11024"/>
          </w:cols>
          <w:pgMar w:left="436" w:top="270" w:right="43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PS22-021</w:t>
      </w:r>
    </w:p>
    <w:p>
      <w:pPr>
        <w:spacing w:after="0" w:line="154" w:lineRule="exact"/>
        <w:rPr>
          <w:sz w:val="20"/>
          <w:szCs w:val="20"/>
          <w:color w:val="auto"/>
        </w:rPr>
      </w:pPr>
    </w:p>
    <w:p>
      <w:pPr>
        <w:ind w:left="544" w:hanging="544"/>
        <w:spacing w:after="0"/>
        <w:tabs>
          <w:tab w:leader="none" w:pos="544"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134" w:lineRule="exact"/>
        <w:rPr>
          <w:rFonts w:ascii="Times New Roman" w:cs="Times New Roman" w:eastAsia="Times New Roman" w:hAnsi="Times New Roman"/>
          <w:sz w:val="18"/>
          <w:szCs w:val="18"/>
          <w:b w:val="1"/>
          <w:bCs w:val="1"/>
          <w:color w:val="auto"/>
        </w:rPr>
      </w:pPr>
    </w:p>
    <w:p>
      <w:pPr>
        <w:ind w:left="1184" w:right="14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26.1. 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w:t>
      </w:r>
    </w:p>
    <w:p>
      <w:pPr>
        <w:spacing w:after="0" w:line="85" w:lineRule="exact"/>
        <w:rPr>
          <w:rFonts w:ascii="Times New Roman" w:cs="Times New Roman" w:eastAsia="Times New Roman" w:hAnsi="Times New Roman"/>
          <w:sz w:val="18"/>
          <w:szCs w:val="18"/>
          <w:b w:val="1"/>
          <w:bCs w:val="1"/>
          <w:color w:val="auto"/>
        </w:rPr>
      </w:pPr>
    </w:p>
    <w:p>
      <w:pPr>
        <w:ind w:left="1184" w:right="3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26.2. Irrespective of any discussions or disputes between the Parties, each Party shall always continue to fulfil its undertakings under this Framework Agreement unless an arbitral tribunal or court (as the case may be) decides otherwise.</w:t>
      </w:r>
    </w:p>
    <w:p>
      <w:pPr>
        <w:spacing w:after="0" w:line="67" w:lineRule="exact"/>
        <w:rPr>
          <w:rFonts w:ascii="Times New Roman" w:cs="Times New Roman" w:eastAsia="Times New Roman" w:hAnsi="Times New Roman"/>
          <w:sz w:val="18"/>
          <w:szCs w:val="18"/>
          <w:b w:val="1"/>
          <w:bCs w:val="1"/>
          <w:color w:val="auto"/>
        </w:rPr>
      </w:pPr>
    </w:p>
    <w:p>
      <w:pPr>
        <w:ind w:left="1184" w:right="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26.3. In any arbitration proceeding, any legal proceeding to enforce any arbitration award, or any other legal proceedings between the Parties relating to this Framework Agreement, each Party expressly waives the defense of sovereign immunity and any other defense based on the fact or allegation that it is an agency or instrumentality of a sovereign state. Such waiver includes a waiver of any defense of sovereign immunity in respect of enforcement of arbitral awards and/or sovereign immunity from execution over any of its assets.</w:t>
      </w:r>
    </w:p>
    <w:p>
      <w:pPr>
        <w:spacing w:after="0" w:line="85" w:lineRule="exact"/>
        <w:rPr>
          <w:rFonts w:ascii="Times New Roman" w:cs="Times New Roman" w:eastAsia="Times New Roman" w:hAnsi="Times New Roman"/>
          <w:sz w:val="18"/>
          <w:szCs w:val="18"/>
          <w:b w:val="1"/>
          <w:bCs w:val="1"/>
          <w:color w:val="auto"/>
        </w:rPr>
      </w:pPr>
    </w:p>
    <w:p>
      <w:pPr>
        <w:ind w:left="1184" w:right="1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26.4. All arbitral proceedings as well as any and all information, documentation and materials in any form disclosed in the proceedings shall be strictly confidential.</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Invalidity</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27.1. In the event that any Section or provision of this Framework Agreement should, under any applicable legislation or trade practice, be held to be illegal, null or void, such clause or provision will not affect the validity of the remaining Sections of this Framework Agreement. In such cases, the parties will negotiate in order, if possible, to agree upon wording which achieves the purpose sought to be achieved by the invalid Section or provision and which complies with the legislation or trade practice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 | Page</w:t>
      </w:r>
    </w:p>
    <w:p>
      <w:pPr>
        <w:sectPr>
          <w:pgSz w:w="11900" w:h="16838" w:orient="portrait"/>
          <w:cols w:equalWidth="0" w:num="1">
            <w:col w:w="11024"/>
          </w:cols>
          <w:pgMar w:left="436" w:top="270" w:right="4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Framework Agreement has been signed electronically by both Parties.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VOLVO CAR CORPORATION</w:t>
            </w:r>
          </w:p>
        </w:tc>
        <w:tc>
          <w:tcPr>
            <w:tcW w:w="37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Hemberg</w:t>
            </w:r>
          </w:p>
        </w:tc>
        <w:tc>
          <w:tcPr>
            <w:tcW w:w="374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Björn Annwall</w:t>
            </w:r>
          </w:p>
        </w:tc>
      </w:tr>
      <w:tr>
        <w:trPr>
          <w:trHeight w:val="205"/>
        </w:trPr>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Maria Hemberg</w:t>
            </w:r>
          </w:p>
        </w:tc>
        <w:tc>
          <w:tcPr>
            <w:tcW w:w="3740" w:type="dxa"/>
            <w:vAlign w:val="bottom"/>
          </w:tcPr>
          <w:p>
            <w:pPr>
              <w:spacing w:after="0"/>
              <w:rPr>
                <w:sz w:val="17"/>
                <w:szCs w:val="17"/>
                <w:color w:val="auto"/>
              </w:rPr>
            </w:pPr>
          </w:p>
        </w:tc>
        <w:tc>
          <w:tcPr>
            <w:tcW w:w="34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Björn Annwall</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c>
          <w:tcPr>
            <w:tcW w:w="37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CFO</w:t>
            </w: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 PERFORMANCE AB</w:t>
            </w:r>
          </w:p>
        </w:tc>
        <w:tc>
          <w:tcPr>
            <w:tcW w:w="37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2"/>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Anna Rudensjö</w:t>
            </w:r>
          </w:p>
        </w:tc>
        <w:tc>
          <w:tcPr>
            <w:tcW w:w="374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Nobelius</w:t>
            </w:r>
          </w:p>
        </w:tc>
      </w:tr>
      <w:tr>
        <w:trPr>
          <w:trHeight w:val="205"/>
        </w:trPr>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Anna Rudensjö</w:t>
            </w:r>
          </w:p>
        </w:tc>
        <w:tc>
          <w:tcPr>
            <w:tcW w:w="3740" w:type="dxa"/>
            <w:vAlign w:val="bottom"/>
          </w:tcPr>
          <w:p>
            <w:pPr>
              <w:spacing w:after="0"/>
              <w:rPr>
                <w:sz w:val="17"/>
                <w:szCs w:val="17"/>
                <w:color w:val="auto"/>
              </w:rPr>
            </w:pPr>
          </w:p>
        </w:tc>
        <w:tc>
          <w:tcPr>
            <w:tcW w:w="34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Dennis Nobelius</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c>
          <w:tcPr>
            <w:tcW w:w="37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COO</w:t>
            </w:r>
          </w:p>
        </w:tc>
      </w:tr>
      <w:tr>
        <w:trPr>
          <w:trHeight w:val="364"/>
        </w:trPr>
        <w:tc>
          <w:tcPr>
            <w:tcW w:w="3860" w:type="dxa"/>
            <w:vAlign w:val="bottom"/>
          </w:tcPr>
          <w:p>
            <w:pPr>
              <w:spacing w:after="0"/>
              <w:rPr>
                <w:sz w:val="24"/>
                <w:szCs w:val="24"/>
                <w:color w:val="auto"/>
              </w:rPr>
            </w:pPr>
          </w:p>
        </w:tc>
        <w:tc>
          <w:tcPr>
            <w:tcW w:w="7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17 | Page</w:t>
            </w:r>
          </w:p>
        </w:tc>
      </w:tr>
    </w:tbl>
    <w:p>
      <w:pPr>
        <w:sectPr>
          <w:pgSz w:w="11900" w:h="16838" w:orient="portrait"/>
          <w:cols w:equalWidth="0" w:num="1">
            <w:col w:w="11020"/>
          </w:cols>
          <w:pgMar w:left="440" w:top="270" w:right="439" w:bottom="1440" w:gutter="0" w:footer="0" w:header="0"/>
        </w:sectPr>
      </w:pPr>
    </w:p>
    <w:bookmarkStart w:id="342" w:name="page343"/>
    <w:bookmarkEnd w:id="342"/>
    <w:p>
      <w:pPr>
        <w:ind w:left="10080"/>
        <w:spacing w:after="0"/>
        <w:rPr>
          <w:sz w:val="20"/>
          <w:szCs w:val="20"/>
          <w:color w:val="auto"/>
        </w:rPr>
      </w:pPr>
      <w:r>
        <w:rPr>
          <w:rFonts w:ascii="Times New Roman" w:cs="Times New Roman" w:eastAsia="Times New Roman" w:hAnsi="Times New Roman"/>
          <w:sz w:val="18"/>
          <w:szCs w:val="18"/>
          <w:b w:val="1"/>
          <w:bCs w:val="1"/>
          <w:color w:val="auto"/>
        </w:rPr>
        <w:t>Exhibit 4.92</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No. PS22-020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&amp;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Volvo Car USA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ectPr>
          <w:pgSz w:w="11900" w:h="16838" w:orient="portrait"/>
          <w:cols w:equalWidth="0" w:num="1">
            <w:col w:w="11020"/>
          </w:cols>
          <w:pgMar w:left="440" w:top="117" w:right="4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sale &amp; purchase agreement (“</w:t>
      </w:r>
      <w:r>
        <w:rPr>
          <w:rFonts w:ascii="Times New Roman" w:cs="Times New Roman" w:eastAsia="Times New Roman" w:hAnsi="Times New Roman"/>
          <w:sz w:val="18"/>
          <w:szCs w:val="18"/>
          <w:b w:val="1"/>
          <w:bCs w:val="1"/>
          <w:color w:val="auto"/>
        </w:rPr>
        <w:t>Sale &amp; Purchase Agreement”</w:t>
      </w:r>
      <w:r>
        <w:rPr>
          <w:rFonts w:ascii="Times New Roman" w:cs="Times New Roman" w:eastAsia="Times New Roman" w:hAnsi="Times New Roman"/>
          <w:sz w:val="18"/>
          <w:szCs w:val="18"/>
          <w:color w:val="auto"/>
        </w:rPr>
        <w:t>) is made effective as of 21 June 2022 by and between</w:t>
      </w:r>
    </w:p>
    <w:p>
      <w:pPr>
        <w:spacing w:after="0" w:line="225"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t>Volvo Cars USA LLC</w:t>
      </w:r>
      <w:r>
        <w:rPr>
          <w:rFonts w:ascii="Times New Roman" w:cs="Times New Roman" w:eastAsia="Times New Roman" w:hAnsi="Times New Roman"/>
          <w:sz w:val="18"/>
          <w:szCs w:val="18"/>
          <w:color w:val="auto"/>
        </w:rPr>
        <w:t>, a Delaware limited liability company, having its principal place of business at 1800 Volvo Place, Mahwah, NJ 07430,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 w:right="700"/>
        <w:spacing w:after="0" w:line="286" w:lineRule="auto"/>
        <w:rPr>
          <w:sz w:val="20"/>
          <w:szCs w:val="20"/>
          <w:color w:val="auto"/>
        </w:rPr>
      </w:pPr>
      <w:r>
        <w:rPr>
          <w:rFonts w:ascii="Times New Roman" w:cs="Times New Roman" w:eastAsia="Times New Roman" w:hAnsi="Times New Roman"/>
          <w:sz w:val="18"/>
          <w:szCs w:val="18"/>
          <w:b w:val="1"/>
          <w:bCs w:val="1"/>
          <w:color w:val="auto"/>
        </w:rPr>
        <w:t>Polestar Automotive USA Inc.</w:t>
      </w:r>
      <w:r>
        <w:rPr>
          <w:rFonts w:ascii="Times New Roman" w:cs="Times New Roman" w:eastAsia="Times New Roman" w:hAnsi="Times New Roman"/>
          <w:sz w:val="18"/>
          <w:szCs w:val="18"/>
          <w:color w:val="auto"/>
        </w:rPr>
        <w:t>, a Delaware corporation, with its principal place of business at 777 MacArthur Blvd, Mahwah NJ 07430,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Seller and Purchaser is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jointly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35" w:lineRule="exact"/>
        <w:rPr>
          <w:sz w:val="20"/>
          <w:szCs w:val="20"/>
          <w:color w:val="auto"/>
        </w:rPr>
      </w:pPr>
    </w:p>
    <w:p>
      <w:pPr>
        <w:ind w:left="1184" w:hanging="644"/>
        <w:spacing w:after="0"/>
        <w:tabs>
          <w:tab w:leader="none" w:pos="11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experience and expertise in importation, and sale of passenger cars in the Territory (as defined below).</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experience and expertise in distribution, marketing, and sale of passenger cars in the Territory.</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wishes to purchase from Seller the Polestar Vehicles (as hereinafter defined), with the purpose of reselling and distributing the Polestar Vehicles to consumers or dealers.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THEREFORE, SELLER AND PURCHASER AGREE:</w:t>
      </w:r>
    </w:p>
    <w:p>
      <w:pPr>
        <w:spacing w:after="0" w:line="127" w:lineRule="exact"/>
        <w:rPr>
          <w:sz w:val="20"/>
          <w:szCs w:val="20"/>
          <w:color w:val="auto"/>
        </w:rPr>
      </w:pPr>
    </w:p>
    <w:p>
      <w:pPr>
        <w:ind w:left="544" w:hanging="544"/>
        <w:spacing w:after="0"/>
        <w:tabs>
          <w:tab w:leader="none" w:pos="54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0" w:lineRule="exact"/>
        <w:rPr>
          <w:rFonts w:ascii="Times New Roman" w:cs="Times New Roman" w:eastAsia="Times New Roman" w:hAnsi="Times New Roman"/>
          <w:sz w:val="18"/>
          <w:szCs w:val="18"/>
          <w:b w:val="1"/>
          <w:bCs w:val="1"/>
          <w:color w:val="auto"/>
        </w:rPr>
      </w:pPr>
    </w:p>
    <w:p>
      <w:pPr>
        <w:ind w:left="1184" w:right="100" w:hanging="648"/>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other legal entity that, directly or indirectly, is controlled by Volvo Car Corporation or Polestar Holding AB;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w:t>
      </w:r>
    </w:p>
    <w:p>
      <w:pPr>
        <w:spacing w:after="0" w:line="81" w:lineRule="exact"/>
        <w:rPr>
          <w:rFonts w:ascii="Times New Roman" w:cs="Times New Roman" w:eastAsia="Times New Roman" w:hAnsi="Times New Roman"/>
          <w:sz w:val="18"/>
          <w:szCs w:val="18"/>
          <w:b w:val="1"/>
          <w:bCs w:val="1"/>
          <w:color w:val="auto"/>
        </w:rPr>
      </w:pPr>
    </w:p>
    <w:p>
      <w:pPr>
        <w:ind w:left="1184" w:right="4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Base Warranty</w:t>
      </w:r>
      <w:r>
        <w:rPr>
          <w:rFonts w:ascii="Times New Roman" w:cs="Times New Roman" w:eastAsia="Times New Roman" w:hAnsi="Times New Roman"/>
          <w:sz w:val="18"/>
          <w:szCs w:val="18"/>
          <w:color w:val="auto"/>
        </w:rPr>
        <w:t>” means the standard warranty in place for the sale of new Polestar cars as per Polestar’s standard terms and conditions for the prevailing number of years of warranty that the Purchaser provides for new Polestar cars.</w:t>
      </w:r>
    </w:p>
    <w:p>
      <w:pPr>
        <w:spacing w:after="0" w:line="60" w:lineRule="exact"/>
        <w:rPr>
          <w:rFonts w:ascii="Times New Roman" w:cs="Times New Roman" w:eastAsia="Times New Roman" w:hAnsi="Times New Roman"/>
          <w:sz w:val="18"/>
          <w:szCs w:val="18"/>
          <w:b w:val="1"/>
          <w:bCs w:val="1"/>
          <w:color w:val="auto"/>
        </w:rPr>
      </w:pPr>
    </w:p>
    <w:p>
      <w:pPr>
        <w:ind w:left="1184" w:right="2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non-public information regarding the Parties and their respective businesses, whether commercial or technical, in whatever form or media, including but not limited to the existence, content and subject matter of this Sale &amp; Purchase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Sale &amp; Purchase Agreement.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 | Page</w:t>
      </w:r>
    </w:p>
    <w:p>
      <w:pPr>
        <w:sectPr>
          <w:pgSz w:w="11900" w:h="16838" w:orient="portrait"/>
          <w:cols w:equalWidth="0" w:num="1">
            <w:col w:w="11024"/>
          </w:cols>
          <w:pgMar w:left="436" w:top="270" w:right="4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4"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Extended Service Plan</w:t>
      </w:r>
      <w:r>
        <w:rPr>
          <w:rFonts w:ascii="Times New Roman" w:cs="Times New Roman" w:eastAsia="Times New Roman" w:hAnsi="Times New Roman"/>
          <w:sz w:val="17"/>
          <w:szCs w:val="17"/>
          <w:color w:val="auto"/>
        </w:rPr>
        <w:t>” (ESP) means an extension of the Base Warranty with one or two years.</w:t>
      </w:r>
    </w:p>
    <w:p>
      <w:pPr>
        <w:spacing w:after="0" w:line="131" w:lineRule="exact"/>
        <w:rPr>
          <w:sz w:val="20"/>
          <w:szCs w:val="20"/>
          <w:color w:val="auto"/>
        </w:rPr>
      </w:pPr>
    </w:p>
    <w:p>
      <w:pPr>
        <w:ind w:left="1184" w:right="34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Warranty</w:t>
      </w:r>
      <w:r>
        <w:rPr>
          <w:rFonts w:ascii="Times New Roman" w:cs="Times New Roman" w:eastAsia="Times New Roman" w:hAnsi="Times New Roman"/>
          <w:sz w:val="18"/>
          <w:szCs w:val="18"/>
          <w:color w:val="auto"/>
        </w:rPr>
        <w:t>” means the extended warranty in place for the sale of new Polestar cars for the prevailing number of years of warranty that the Purchaser provides for new Polestar cars sales with an extended warranty.</w:t>
      </w:r>
    </w:p>
    <w:p>
      <w:pPr>
        <w:spacing w:after="0" w:line="60" w:lineRule="exact"/>
        <w:rPr>
          <w:sz w:val="20"/>
          <w:szCs w:val="20"/>
          <w:color w:val="auto"/>
        </w:rPr>
      </w:pPr>
    </w:p>
    <w:p>
      <w:pPr>
        <w:ind w:left="1184" w:right="140" w:hanging="647"/>
        <w:spacing w:after="0" w:line="268" w:lineRule="auto"/>
        <w:tabs>
          <w:tab w:leader="none" w:pos="116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 Service Action</w:t>
      </w:r>
      <w:r>
        <w:rPr>
          <w:rFonts w:ascii="Times New Roman" w:cs="Times New Roman" w:eastAsia="Times New Roman" w:hAnsi="Times New Roman"/>
          <w:sz w:val="18"/>
          <w:szCs w:val="18"/>
          <w:color w:val="auto"/>
        </w:rPr>
        <w:t>” means repairs resulting from safety recall campaigns for specific defaults that could influence vehicle’s safety, and repairs or damages resulting from premature deterioration of parts condition, which could have a negative impact of Polestar’s image.</w:t>
      </w:r>
    </w:p>
    <w:p>
      <w:pPr>
        <w:spacing w:after="0" w:line="76" w:lineRule="exact"/>
        <w:rPr>
          <w:sz w:val="20"/>
          <w:szCs w:val="20"/>
          <w:color w:val="auto"/>
        </w:rPr>
      </w:pPr>
    </w:p>
    <w:p>
      <w:pPr>
        <w:ind w:left="1184" w:right="28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Goodwill (AWA) Warranty</w:t>
      </w:r>
      <w:r>
        <w:rPr>
          <w:rFonts w:ascii="Times New Roman" w:cs="Times New Roman" w:eastAsia="Times New Roman" w:hAnsi="Times New Roman"/>
          <w:sz w:val="18"/>
          <w:szCs w:val="18"/>
          <w:color w:val="auto"/>
        </w:rPr>
        <w:t>” means the partial or full coverage of repair costs for customer cases where the vehicle Base Warranty has expired. The Goodwill (AWA) Warranty assists to improve customer satisfaction metrics.</w:t>
      </w:r>
    </w:p>
    <w:p>
      <w:pPr>
        <w:spacing w:after="0" w:line="60" w:lineRule="exact"/>
        <w:rPr>
          <w:sz w:val="20"/>
          <w:szCs w:val="20"/>
          <w:color w:val="auto"/>
        </w:rPr>
      </w:pPr>
    </w:p>
    <w:p>
      <w:pPr>
        <w:ind w:left="1184" w:right="4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Polestar Vehicles</w:t>
      </w:r>
      <w:r>
        <w:rPr>
          <w:rFonts w:ascii="Times New Roman" w:cs="Times New Roman" w:eastAsia="Times New Roman" w:hAnsi="Times New Roman"/>
          <w:sz w:val="18"/>
          <w:szCs w:val="18"/>
          <w:color w:val="auto"/>
        </w:rPr>
        <w:t>” means new Polestar branded cars imported by Seller into the Territory, for resale to Purchaser. For the avoidance of doubt, used cars, test cars or pre-series cars are not included.</w:t>
      </w:r>
    </w:p>
    <w:p>
      <w:pPr>
        <w:spacing w:after="0" w:line="60" w:lineRule="exact"/>
        <w:rPr>
          <w:sz w:val="20"/>
          <w:szCs w:val="20"/>
          <w:color w:val="auto"/>
        </w:rPr>
      </w:pPr>
    </w:p>
    <w:p>
      <w:pPr>
        <w:ind w:left="1184" w:right="48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means Polestar Performance AB, a company registered in Sweden and Purchaser’s parent company, which is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of Polestar Vehicles.</w:t>
      </w:r>
    </w:p>
    <w:p>
      <w:pPr>
        <w:spacing w:after="0" w:line="60"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United States of America, excluding Puerto Rico.</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 party other than any of the Parties and/or an Affiliate of one of the Parties to this Sale &amp; Purchase Agreement.</w:t>
      </w:r>
    </w:p>
    <w:p>
      <w:pPr>
        <w:spacing w:after="0" w:line="131" w:lineRule="exact"/>
        <w:rPr>
          <w:sz w:val="20"/>
          <w:szCs w:val="20"/>
          <w:color w:val="auto"/>
        </w:rPr>
      </w:pPr>
    </w:p>
    <w:p>
      <w:pPr>
        <w:ind w:left="1184" w:right="180" w:hanging="647"/>
        <w:spacing w:after="0" w:line="291" w:lineRule="auto"/>
        <w:tabs>
          <w:tab w:leader="none" w:pos="1164"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w:t>
      </w:r>
    </w:p>
    <w:p>
      <w:pPr>
        <w:spacing w:after="0" w:line="58"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Price”</w:t>
      </w:r>
      <w:r>
        <w:rPr>
          <w:rFonts w:ascii="Times New Roman" w:cs="Times New Roman" w:eastAsia="Times New Roman" w:hAnsi="Times New Roman"/>
          <w:sz w:val="17"/>
          <w:szCs w:val="17"/>
          <w:color w:val="auto"/>
        </w:rPr>
        <w:t xml:space="preserve"> means the price at which Seller sells the Polestar Vehicles to Purchaser.</w:t>
      </w:r>
    </w:p>
    <w:p>
      <w:pPr>
        <w:spacing w:after="0" w:line="131" w:lineRule="exact"/>
        <w:rPr>
          <w:sz w:val="20"/>
          <w:szCs w:val="20"/>
          <w:color w:val="auto"/>
        </w:rPr>
      </w:pPr>
    </w:p>
    <w:p>
      <w:pPr>
        <w:ind w:left="544" w:hanging="544"/>
        <w:spacing w:after="0"/>
        <w:tabs>
          <w:tab w:leader="none" w:pos="54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 of Seller</w:t>
      </w:r>
    </w:p>
    <w:p>
      <w:pPr>
        <w:spacing w:after="0" w:line="134" w:lineRule="exact"/>
        <w:rPr>
          <w:rFonts w:ascii="Times New Roman" w:cs="Times New Roman" w:eastAsia="Times New Roman" w:hAnsi="Times New Roman"/>
          <w:sz w:val="18"/>
          <w:szCs w:val="18"/>
          <w:b w:val="1"/>
          <w:bCs w:val="1"/>
          <w:color w:val="auto"/>
        </w:rPr>
      </w:pPr>
    </w:p>
    <w:p>
      <w:pPr>
        <w:ind w:left="1184" w:right="2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2.1.Seller will sell Polestar Vehicles to Purchaser on the terms set out in this Sale &amp; Purchase Agreement. For the avoidance of doubt, the importation process is carried out by Seller prior to the sale to Purchaser.</w:t>
      </w:r>
    </w:p>
    <w:p>
      <w:pPr>
        <w:spacing w:after="0" w:line="67" w:lineRule="exact"/>
        <w:rPr>
          <w:rFonts w:ascii="Times New Roman" w:cs="Times New Roman" w:eastAsia="Times New Roman" w:hAnsi="Times New Roman"/>
          <w:sz w:val="18"/>
          <w:szCs w:val="18"/>
          <w:b w:val="1"/>
          <w:bCs w:val="1"/>
          <w:color w:val="auto"/>
        </w:rPr>
      </w:pPr>
    </w:p>
    <w:p>
      <w:pPr>
        <w:ind w:left="1184" w:right="3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2.2.The obligation of Seller to sell Polestar Vehicles may be met by supplying Polestar Vehicles directly from or through any of Seller’s Affiliates.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 | Page</w:t>
      </w:r>
    </w:p>
    <w:p>
      <w:pPr>
        <w:sectPr>
          <w:pgSz w:w="11900" w:h="16838" w:orient="portrait"/>
          <w:cols w:equalWidth="0" w:num="1">
            <w:col w:w="11024"/>
          </w:cols>
          <w:pgMar w:left="436" w:top="270" w:right="439" w:bottom="1440" w:gutter="0" w:footer="0" w:header="0"/>
        </w:sectPr>
      </w:pPr>
    </w:p>
    <w:bookmarkStart w:id="345" w:name="page346"/>
    <w:bookmarkEnd w:id="345"/>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ind w:left="1184" w:right="1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Seller will timely, provide all information, documentation and data, related to the importation process, necessary to ensure compliance with all applicable laws and regulations for the distribution of Polestar Vehicles in the Territory.</w:t>
      </w:r>
    </w:p>
    <w:p>
      <w:pPr>
        <w:spacing w:after="0" w:line="63" w:lineRule="exact"/>
        <w:rPr>
          <w:sz w:val="20"/>
          <w:szCs w:val="20"/>
          <w:color w:val="auto"/>
        </w:rPr>
      </w:pPr>
    </w:p>
    <w:p>
      <w:pPr>
        <w:ind w:left="544" w:hanging="544"/>
        <w:spacing w:after="0"/>
        <w:tabs>
          <w:tab w:leader="none" w:pos="54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 of Purchaser</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color w:val="auto"/>
        </w:rPr>
        <w:t>Purchaser will purchase the Polestar Vehicles from Seller upon arrival in the Territory.</w:t>
      </w:r>
    </w:p>
    <w:p>
      <w:pPr>
        <w:spacing w:after="0" w:line="130" w:lineRule="exact"/>
        <w:rPr>
          <w:rFonts w:ascii="Times New Roman" w:cs="Times New Roman" w:eastAsia="Times New Roman" w:hAnsi="Times New Roman"/>
          <w:sz w:val="18"/>
          <w:szCs w:val="18"/>
          <w:b w:val="1"/>
          <w:bCs w:val="1"/>
          <w:color w:val="auto"/>
        </w:rPr>
      </w:pPr>
    </w:p>
    <w:p>
      <w:pPr>
        <w:ind w:left="1184" w:right="1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3.2.Purchaser is responsible to retrieve, without Seller’s involvement, all information, documentation and data, which is not covered under Section 2.3 above, but is necessary to ensure compliance with all applicable laws and regulations for the distribution of Polestar Vehicles into the Territory.</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undertakings of the Parties</w:t>
      </w:r>
    </w:p>
    <w:p>
      <w:pPr>
        <w:spacing w:after="0" w:line="134" w:lineRule="exact"/>
        <w:rPr>
          <w:rFonts w:ascii="Times New Roman" w:cs="Times New Roman" w:eastAsia="Times New Roman" w:hAnsi="Times New Roman"/>
          <w:sz w:val="18"/>
          <w:szCs w:val="18"/>
          <w:b w:val="1"/>
          <w:bCs w:val="1"/>
          <w:color w:val="auto"/>
        </w:rPr>
      </w:pPr>
    </w:p>
    <w:p>
      <w:pPr>
        <w:ind w:left="1184" w:right="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4.1.Neither Party may, without the express written authority of the other Party, enter into any contract, undertakings, or agreements whatsoever on behalf of the other Party. It is thus understood between the Parties that nothing herein contained will create a relationship of principal and agent or employer and employee between Seller and Purchaser or any of the Parties’ Affiliates.</w:t>
      </w:r>
    </w:p>
    <w:p>
      <w:pPr>
        <w:spacing w:after="0" w:line="81" w:lineRule="exact"/>
        <w:rPr>
          <w:rFonts w:ascii="Times New Roman" w:cs="Times New Roman" w:eastAsia="Times New Roman" w:hAnsi="Times New Roman"/>
          <w:sz w:val="18"/>
          <w:szCs w:val="18"/>
          <w:b w:val="1"/>
          <w:bCs w:val="1"/>
          <w:color w:val="auto"/>
        </w:rPr>
      </w:pPr>
    </w:p>
    <w:p>
      <w:pPr>
        <w:ind w:left="1184" w:right="16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4.2.Neither Party is authorized to accept service of legal process, under any circumstances, on behalf of the other Party. If any legal proceedings are served on a Party due to the arrangements under this Sale &amp; Purchase Agreement, such Party will immediately inform the other Party of such proceedings.</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Prices and payment</w:t>
      </w:r>
    </w:p>
    <w:p>
      <w:pPr>
        <w:spacing w:after="0" w:line="130" w:lineRule="exact"/>
        <w:rPr>
          <w:rFonts w:ascii="Times New Roman" w:cs="Times New Roman" w:eastAsia="Times New Roman" w:hAnsi="Times New Roman"/>
          <w:sz w:val="18"/>
          <w:szCs w:val="18"/>
          <w:b w:val="1"/>
          <w:bCs w:val="1"/>
          <w:color w:val="auto"/>
        </w:rPr>
      </w:pPr>
    </w:p>
    <w:p>
      <w:pPr>
        <w:ind w:left="1184" w:right="42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5.1.The Parties agree that all prices and compensations for Polestar Vehicles payable by Purchaser to Seller (“</w:t>
      </w:r>
      <w:r>
        <w:rPr>
          <w:rFonts w:ascii="Times New Roman" w:cs="Times New Roman" w:eastAsia="Times New Roman" w:hAnsi="Times New Roman"/>
          <w:sz w:val="18"/>
          <w:szCs w:val="18"/>
          <w:b w:val="1"/>
          <w:bCs w:val="1"/>
          <w:color w:val="auto"/>
        </w:rPr>
        <w:t>Transfer Price</w:t>
      </w:r>
      <w:r>
        <w:rPr>
          <w:rFonts w:ascii="Times New Roman" w:cs="Times New Roman" w:eastAsia="Times New Roman" w:hAnsi="Times New Roman"/>
          <w:sz w:val="18"/>
          <w:szCs w:val="18"/>
          <w:color w:val="auto"/>
        </w:rPr>
        <w:t>”) will be established on an arm’s length basis as outlined in Appendix A.</w:t>
      </w:r>
    </w:p>
    <w:p>
      <w:pPr>
        <w:spacing w:after="0" w:line="64" w:lineRule="exact"/>
        <w:rPr>
          <w:rFonts w:ascii="Times New Roman" w:cs="Times New Roman" w:eastAsia="Times New Roman" w:hAnsi="Times New Roman"/>
          <w:sz w:val="18"/>
          <w:szCs w:val="18"/>
          <w:b w:val="1"/>
          <w:bCs w:val="1"/>
          <w:color w:val="auto"/>
        </w:rPr>
      </w:pPr>
    </w:p>
    <w:p>
      <w:pPr>
        <w:ind w:left="1184" w:right="1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5.2.The invoice for a Polestar Vehicle shall be issued by the Seller to the Purchaser when the Polestar Vehicle has arrived to the US port of arrival at the named place referenced on the bill of lading. Invoices may be generated electronically.</w:t>
      </w:r>
    </w:p>
    <w:p>
      <w:pPr>
        <w:spacing w:after="0" w:line="67"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7"/>
          <w:szCs w:val="17"/>
          <w:color w:val="auto"/>
        </w:rPr>
        <w:t>The payment terms below will apply unless separately agreed between Seller and Purchaser.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7"/>
          <w:szCs w:val="17"/>
          <w:color w:val="auto"/>
        </w:rPr>
        <w:t>Purchaser will pay Seller for the Polestar Vehicles within 45 days of the date of invoice unless otherwise agreed between the Parties.</w:t>
      </w:r>
    </w:p>
    <w:p>
      <w:pPr>
        <w:spacing w:after="0" w:line="130" w:lineRule="exact"/>
        <w:rPr>
          <w:rFonts w:ascii="Times New Roman" w:cs="Times New Roman" w:eastAsia="Times New Roman" w:hAnsi="Times New Roman"/>
          <w:sz w:val="18"/>
          <w:szCs w:val="18"/>
          <w:b w:val="1"/>
          <w:bCs w:val="1"/>
          <w:color w:val="auto"/>
        </w:rPr>
      </w:pPr>
    </w:p>
    <w:p>
      <w:pPr>
        <w:ind w:left="1184" w:right="1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5.5.Payment made later than 15 days after the due date will automatically be subject to interest for late payments for each day it is not paid and the interest shall be based on the one-month applicable interbank rate, depending on invoice and currency, with an addition of two per cent (2.0%) per annum.</w:t>
      </w:r>
    </w:p>
    <w:p>
      <w:pPr>
        <w:spacing w:after="0" w:line="81" w:lineRule="exact"/>
        <w:rPr>
          <w:rFonts w:ascii="Times New Roman" w:cs="Times New Roman" w:eastAsia="Times New Roman" w:hAnsi="Times New Roman"/>
          <w:sz w:val="18"/>
          <w:szCs w:val="18"/>
          <w:b w:val="1"/>
          <w:bCs w:val="1"/>
          <w:color w:val="auto"/>
        </w:rPr>
      </w:pPr>
    </w:p>
    <w:p>
      <w:pPr>
        <w:ind w:left="1184" w:right="2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5.6.If Purchaser is in default in making any payment to Seller, Seller will have the right to postpone, subject to two weeks prior written notice, its obligations under this Sale &amp; Purchase Agreement until payment is received. Any postponement or termination of Seller’s obligations under this Sale &amp; Purchase Agreement will have no effect on Seller’s obligations or commitments under any other agreement between the Parties.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 | Page</w:t>
      </w:r>
    </w:p>
    <w:p>
      <w:pPr>
        <w:sectPr>
          <w:pgSz w:w="11900" w:h="16838" w:orient="portrait"/>
          <w:cols w:equalWidth="0" w:num="1">
            <w:col w:w="11024"/>
          </w:cols>
          <w:pgMar w:left="436" w:top="270" w:right="4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4" w:lineRule="exact"/>
        <w:rPr>
          <w:sz w:val="20"/>
          <w:szCs w:val="20"/>
          <w:color w:val="auto"/>
        </w:rPr>
      </w:pPr>
    </w:p>
    <w:p>
      <w:pPr>
        <w:ind w:left="544" w:hanging="544"/>
        <w:spacing w:after="0"/>
        <w:tabs>
          <w:tab w:leader="none" w:pos="54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and documentation</w:t>
      </w:r>
    </w:p>
    <w:p>
      <w:pPr>
        <w:spacing w:after="0" w:line="134" w:lineRule="exact"/>
        <w:rPr>
          <w:rFonts w:ascii="Times New Roman" w:cs="Times New Roman" w:eastAsia="Times New Roman" w:hAnsi="Times New Roman"/>
          <w:sz w:val="18"/>
          <w:szCs w:val="18"/>
          <w:b w:val="1"/>
          <w:bCs w:val="1"/>
          <w:color w:val="auto"/>
        </w:rPr>
      </w:pPr>
    </w:p>
    <w:p>
      <w:pPr>
        <w:ind w:left="1184" w:right="6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6.1.Seller and Purchaser will supply each other, upon request, with such information and documentation in their possession, as may reasonably be required to verify the financial data relevant to the execution of this Sale &amp; Purchase Agreement.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terms</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color w:val="auto"/>
        </w:rPr>
        <w:t>Seller will supply to Purchaser the Polestar Vehicles in accordance with the Transfer Prices specified in Section 5.</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7"/>
          <w:szCs w:val="17"/>
          <w:color w:val="auto"/>
        </w:rPr>
        <w:t>The delivery terms below will apply unless separately agreed between Seller and Purchaser.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7"/>
          <w:szCs w:val="17"/>
          <w:color w:val="auto"/>
        </w:rPr>
        <w:t>The delivery terms are EXW US port of arrival, and Incoterms 2020 will be applicable in its entirety.</w:t>
      </w:r>
    </w:p>
    <w:p>
      <w:pPr>
        <w:spacing w:after="0" w:line="130" w:lineRule="exact"/>
        <w:rPr>
          <w:rFonts w:ascii="Times New Roman" w:cs="Times New Roman" w:eastAsia="Times New Roman" w:hAnsi="Times New Roman"/>
          <w:sz w:val="18"/>
          <w:szCs w:val="18"/>
          <w:b w:val="1"/>
          <w:bCs w:val="1"/>
          <w:color w:val="auto"/>
        </w:rPr>
      </w:pPr>
    </w:p>
    <w:p>
      <w:pPr>
        <w:ind w:left="1184" w:right="2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7.4.The ownership, title, and risk of loss of Polestar Vehicles transfer from Seller to Purchaser at the time of invoicing in accordance with Section 5.2.</w:t>
      </w:r>
    </w:p>
    <w:p>
      <w:pPr>
        <w:spacing w:after="0" w:line="67" w:lineRule="exact"/>
        <w:rPr>
          <w:rFonts w:ascii="Times New Roman" w:cs="Times New Roman" w:eastAsia="Times New Roman" w:hAnsi="Times New Roman"/>
          <w:sz w:val="18"/>
          <w:szCs w:val="18"/>
          <w:b w:val="1"/>
          <w:bCs w:val="1"/>
          <w:color w:val="auto"/>
        </w:rPr>
      </w:pPr>
    </w:p>
    <w:p>
      <w:pPr>
        <w:ind w:left="1184" w:right="4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7.5.For the avoidance of doubt, Purchaser will indemnify and hold Seller harmless of any cost, including but not limited to, legal fees, administration, insurance deductables, that might arise in the event any damage to or loss of Polestar Vehicles occurs during inland transportation up to the point in time when the ownership, title and risk is transferred to Purchaser according to Section 7.4.</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liability and recalls</w:t>
      </w:r>
    </w:p>
    <w:p>
      <w:pPr>
        <w:spacing w:after="0" w:line="134" w:lineRule="exact"/>
        <w:rPr>
          <w:rFonts w:ascii="Times New Roman" w:cs="Times New Roman" w:eastAsia="Times New Roman" w:hAnsi="Times New Roman"/>
          <w:sz w:val="18"/>
          <w:szCs w:val="18"/>
          <w:b w:val="1"/>
          <w:bCs w:val="1"/>
          <w:color w:val="auto"/>
        </w:rPr>
      </w:pPr>
    </w:p>
    <w:p>
      <w:pPr>
        <w:ind w:left="1184" w:right="6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8.1.Purchaser will indemnify and hold Seller harmless from any losses, damages, claims, allegations, actions, causes of action, suits, demands, liabilities, judgments, penalties, fees, fines, forfeitures, and expenses incurred in relation to any product liability or other claim by any Third Party arising out of a defect in manufacture, material, workmanship, or design of Polestar Vehicles. Damages include damage to property, death, or personal injury. Expenses include reasonable expenses incurred in defending the claim or in any related investigation or negotiation, court filing fees, court costs, arbitration fees, witness fees, attorney’s and legal fees and disbursements, costs of buybacks and trade assists. Seller will promptly notify Purchaser of any claims under this section. Seller or its representatives may defend any such claim at Purchaser’s costs and in collaboration with Purchaser. At either Party’s request, Purchaser and/or parties designated by Purchaser will participate, at Purchaser’s expense, in the defense of such claim. Any settlement between Seller and such Third Party requires a prior written approval by Purchaser.</w:t>
      </w:r>
    </w:p>
    <w:p>
      <w:pPr>
        <w:spacing w:after="0" w:line="93" w:lineRule="exact"/>
        <w:rPr>
          <w:rFonts w:ascii="Times New Roman" w:cs="Times New Roman" w:eastAsia="Times New Roman" w:hAnsi="Times New Roman"/>
          <w:sz w:val="18"/>
          <w:szCs w:val="18"/>
          <w:b w:val="1"/>
          <w:bCs w:val="1"/>
          <w:color w:val="auto"/>
        </w:rPr>
      </w:pPr>
    </w:p>
    <w:p>
      <w:pPr>
        <w:ind w:left="1184" w:right="3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8.2.What is stated in Section 8.1 will apply also to a warranty claim, product recall, owner notification or other campaign or similar activities, whether conducted for regulatory or non-regulatory reasons, voluntary campaigns and for recalls that are required by any authority or governmental body i.e., regulatory campaigns.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 | Page</w:t>
      </w:r>
    </w:p>
    <w:p>
      <w:pPr>
        <w:sectPr>
          <w:pgSz w:w="11900" w:h="16838" w:orient="portrait"/>
          <w:cols w:equalWidth="0" w:num="1">
            <w:col w:w="11024"/>
          </w:cols>
          <w:pgMar w:left="436" w:top="270" w:right="4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4" w:lineRule="exact"/>
        <w:rPr>
          <w:sz w:val="20"/>
          <w:szCs w:val="20"/>
          <w:color w:val="auto"/>
        </w:rPr>
      </w:pPr>
    </w:p>
    <w:p>
      <w:pPr>
        <w:ind w:left="544" w:hanging="544"/>
        <w:spacing w:after="0"/>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134" w:lineRule="exact"/>
        <w:rPr>
          <w:rFonts w:ascii="Times New Roman" w:cs="Times New Roman" w:eastAsia="Times New Roman" w:hAnsi="Times New Roman"/>
          <w:sz w:val="18"/>
          <w:szCs w:val="18"/>
          <w:b w:val="1"/>
          <w:bCs w:val="1"/>
          <w:color w:val="auto"/>
        </w:rPr>
      </w:pPr>
    </w:p>
    <w:p>
      <w:pPr>
        <w:ind w:left="1184" w:right="3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9.1.It is Purchaser’s sole responsibility to maintain a suitable insurance of the Polestar Vehicles from and including the point of delivery (US port of entry), as defined in Section 7 above.</w:t>
      </w:r>
    </w:p>
    <w:p>
      <w:pPr>
        <w:spacing w:after="0" w:line="67" w:lineRule="exact"/>
        <w:rPr>
          <w:rFonts w:ascii="Times New Roman" w:cs="Times New Roman" w:eastAsia="Times New Roman" w:hAnsi="Times New Roman"/>
          <w:sz w:val="18"/>
          <w:szCs w:val="18"/>
          <w:b w:val="1"/>
          <w:bCs w:val="1"/>
          <w:color w:val="auto"/>
        </w:rPr>
      </w:pPr>
    </w:p>
    <w:p>
      <w:pPr>
        <w:ind w:left="1184" w:right="6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9.2.Purchaser will take out and maintain an insurance against loss, damage or expenses arising out of any of the events described in Section 8 above.</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w:t>
      </w:r>
    </w:p>
    <w:p>
      <w:pPr>
        <w:spacing w:after="0" w:line="134" w:lineRule="exact"/>
        <w:rPr>
          <w:rFonts w:ascii="Times New Roman" w:cs="Times New Roman" w:eastAsia="Times New Roman" w:hAnsi="Times New Roman"/>
          <w:sz w:val="18"/>
          <w:szCs w:val="18"/>
          <w:b w:val="1"/>
          <w:bCs w:val="1"/>
          <w:color w:val="auto"/>
        </w:rPr>
      </w:pPr>
    </w:p>
    <w:p>
      <w:pPr>
        <w:ind w:left="1184" w:right="6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Purchaser acknowledges that it purchases Polestar Vehicles pursuant to this Sale &amp; Purchase Agreement without Base Warranty, Extended Service Plan (ESP) and Goodwill (AWA) Warranty.</w:t>
      </w:r>
    </w:p>
    <w:p>
      <w:pPr>
        <w:spacing w:after="0" w:line="67"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10.2.   Purchaser acknowledges that Seller </w:t>
      </w:r>
      <w:r>
        <w:rPr>
          <w:rFonts w:ascii="Times New Roman" w:cs="Times New Roman" w:eastAsia="Times New Roman" w:hAnsi="Times New Roman"/>
          <w:sz w:val="18"/>
          <w:szCs w:val="18"/>
          <w:u w:val="single" w:color="auto"/>
          <w:color w:val="auto"/>
        </w:rPr>
        <w:t>is not</w:t>
      </w:r>
      <w:r>
        <w:rPr>
          <w:rFonts w:ascii="Times New Roman" w:cs="Times New Roman" w:eastAsia="Times New Roman" w:hAnsi="Times New Roman"/>
          <w:sz w:val="18"/>
          <w:szCs w:val="18"/>
          <w:color w:val="auto"/>
        </w:rPr>
        <w:t xml:space="preserve"> providing Field Service Action Warranty (Quality campaigns) for the Polestar Vehicles.</w:t>
      </w:r>
    </w:p>
    <w:p>
      <w:pPr>
        <w:spacing w:after="0" w:line="130" w:lineRule="exact"/>
        <w:rPr>
          <w:rFonts w:ascii="Times New Roman" w:cs="Times New Roman" w:eastAsia="Times New Roman" w:hAnsi="Times New Roman"/>
          <w:sz w:val="18"/>
          <w:szCs w:val="18"/>
          <w:b w:val="1"/>
          <w:bCs w:val="1"/>
          <w:color w:val="auto"/>
        </w:rPr>
      </w:pPr>
    </w:p>
    <w:p>
      <w:pPr>
        <w:ind w:left="1184" w:right="6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Except as provided in this Sale &amp; Purchase Agreement, Seller sells Polestar Vehicles “AS IS” without any other warranties, express or implied. Seller expressly disclaims any implied warranties of title, non-infringement, merchantability or fitness for a particular purpose. Seller will assign Purchaser any available manufacturer warranty or warranty from Principal.</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and improvements</w:t>
      </w:r>
    </w:p>
    <w:p>
      <w:pPr>
        <w:spacing w:after="0" w:line="134" w:lineRule="exact"/>
        <w:rPr>
          <w:rFonts w:ascii="Times New Roman" w:cs="Times New Roman" w:eastAsia="Times New Roman" w:hAnsi="Times New Roman"/>
          <w:sz w:val="18"/>
          <w:szCs w:val="18"/>
          <w:b w:val="1"/>
          <w:bCs w:val="1"/>
          <w:color w:val="auto"/>
        </w:rPr>
      </w:pPr>
    </w:p>
    <w:p>
      <w:pPr>
        <w:ind w:left="1184" w:right="4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Purchaser acknowledges that Seller, not being the developer or manufacturer of the Polestar Vehicles, is not in control of any changes in or improvements to the Polestar Vehicles that may be introduced by Principal. Therefore, Seller will not incur any liability or obligations whatsoever in relation to such changes in or improvements to Polestar Vehicles previously manufactured or sold. However, if such change or improvement results in a price change from Principal to Seller, the Transfer Price paid by Purchaser to Seller under this Sale &amp; Purchase Agreement will be adjusted accordingly.</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The Parties will take any and all necessary measures to comply with the security and confidentiality procedures of the other Party.</w:t>
      </w:r>
    </w:p>
    <w:p>
      <w:pPr>
        <w:spacing w:after="0" w:line="130" w:lineRule="exact"/>
        <w:rPr>
          <w:rFonts w:ascii="Times New Roman" w:cs="Times New Roman" w:eastAsia="Times New Roman" w:hAnsi="Times New Roman"/>
          <w:sz w:val="18"/>
          <w:szCs w:val="18"/>
          <w:b w:val="1"/>
          <w:bCs w:val="1"/>
          <w:color w:val="auto"/>
        </w:rPr>
      </w:pPr>
    </w:p>
    <w:p>
      <w:pPr>
        <w:ind w:left="1184" w:right="6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 All Confidential Information will only be used for the purposes comprised by the fulfilment of this Sale &amp; Purchase Agreement. Each Party will keep in confidence any Confidential Information obtained in relation to this Sale &amp; Purchase Agreement and will not divulge the same to any Third Party, unless the exceptions specifically set forth below in this Section 12.2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 | Page</w:t>
      </w:r>
    </w:p>
    <w:p>
      <w:pPr>
        <w:sectPr>
          <w:pgSz w:w="11900" w:h="16838" w:orient="portrait"/>
          <w:cols w:equalWidth="0" w:num="1">
            <w:col w:w="11024"/>
          </w:cols>
          <w:pgMar w:left="436" w:top="270" w:right="4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ind w:left="1420" w:hanging="533"/>
        <w:spacing w:after="0"/>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the public domain other than by breach of this undertaking, or by another confidentiality undertaking;</w:t>
      </w:r>
    </w:p>
    <w:p>
      <w:pPr>
        <w:spacing w:after="0" w:line="130" w:lineRule="exact"/>
        <w:rPr>
          <w:rFonts w:ascii="Times New Roman" w:cs="Times New Roman" w:eastAsia="Times New Roman" w:hAnsi="Times New Roman"/>
          <w:sz w:val="18"/>
          <w:szCs w:val="18"/>
          <w:color w:val="auto"/>
        </w:rPr>
      </w:pPr>
    </w:p>
    <w:p>
      <w:pPr>
        <w:ind w:left="1420" w:hanging="533"/>
        <w:spacing w:after="0"/>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in the possession of the receiving Party before its receipt from the disclosing Party;</w:t>
      </w:r>
    </w:p>
    <w:p>
      <w:pPr>
        <w:spacing w:after="0" w:line="130" w:lineRule="exact"/>
        <w:rPr>
          <w:rFonts w:ascii="Times New Roman" w:cs="Times New Roman" w:eastAsia="Times New Roman" w:hAnsi="Times New Roman"/>
          <w:sz w:val="18"/>
          <w:szCs w:val="18"/>
          <w:color w:val="auto"/>
        </w:rPr>
      </w:pPr>
    </w:p>
    <w:p>
      <w:pPr>
        <w:ind w:left="1420" w:hanging="533"/>
        <w:spacing w:after="0"/>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obtained from a Third Party who is free to divulge the same;</w:t>
      </w:r>
    </w:p>
    <w:p>
      <w:pPr>
        <w:spacing w:after="0" w:line="130" w:lineRule="exact"/>
        <w:rPr>
          <w:rFonts w:ascii="Times New Roman" w:cs="Times New Roman" w:eastAsia="Times New Roman" w:hAnsi="Times New Roman"/>
          <w:sz w:val="18"/>
          <w:szCs w:val="18"/>
          <w:color w:val="auto"/>
        </w:rPr>
      </w:pPr>
    </w:p>
    <w:p>
      <w:pPr>
        <w:ind w:left="1420" w:right="900" w:hanging="533"/>
        <w:spacing w:after="0" w:line="282" w:lineRule="auto"/>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disclosed by mandatory law, court order, lawful government action or applicable stock exchange regulations;</w:t>
      </w:r>
    </w:p>
    <w:p>
      <w:pPr>
        <w:spacing w:after="0" w:line="67" w:lineRule="exact"/>
        <w:rPr>
          <w:rFonts w:ascii="Times New Roman" w:cs="Times New Roman" w:eastAsia="Times New Roman" w:hAnsi="Times New Roman"/>
          <w:sz w:val="18"/>
          <w:szCs w:val="18"/>
          <w:color w:val="auto"/>
        </w:rPr>
      </w:pPr>
    </w:p>
    <w:p>
      <w:pPr>
        <w:ind w:left="1420" w:hanging="533"/>
        <w:spacing w:after="0"/>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necessary for either Party to utilize its rights and use of its intellectual property rights; or</w:t>
      </w:r>
    </w:p>
    <w:p>
      <w:pPr>
        <w:spacing w:after="0" w:line="130" w:lineRule="exact"/>
        <w:rPr>
          <w:rFonts w:ascii="Times New Roman" w:cs="Times New Roman" w:eastAsia="Times New Roman" w:hAnsi="Times New Roman"/>
          <w:sz w:val="18"/>
          <w:szCs w:val="18"/>
          <w:color w:val="auto"/>
        </w:rPr>
      </w:pPr>
    </w:p>
    <w:p>
      <w:pPr>
        <w:ind w:left="1420" w:right="220" w:hanging="533"/>
        <w:spacing w:after="0" w:line="282" w:lineRule="auto"/>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or created by one Party independently of the other, without any part thereof having been developed or created with assistance or information received from the other Party.</w:t>
      </w:r>
    </w:p>
    <w:p>
      <w:pPr>
        <w:spacing w:after="0" w:line="67" w:lineRule="exact"/>
        <w:rPr>
          <w:sz w:val="20"/>
          <w:szCs w:val="20"/>
          <w:color w:val="auto"/>
        </w:rPr>
      </w:pPr>
    </w:p>
    <w:p>
      <w:pPr>
        <w:ind w:left="640" w:right="6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receiving Party will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will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12.</w:t>
      </w:r>
    </w:p>
    <w:p>
      <w:pPr>
        <w:spacing w:after="0" w:line="89" w:lineRule="exact"/>
        <w:rPr>
          <w:sz w:val="20"/>
          <w:szCs w:val="20"/>
          <w:color w:val="auto"/>
        </w:rPr>
      </w:pPr>
    </w:p>
    <w:p>
      <w:pPr>
        <w:ind w:left="640" w:right="12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Any tangible materials that disclose or embody Confidential Information should be marked by the disclosing Party as “Confidential,” “Proprietary” or the substantial equivalent thereof. Confidential Information that is disclosed orally or visually will be identified by the disclosing Party as confidential at the time of disclosure, with subsequent confirmation in writing within 30 days after disclosure. However, the lack of marking or subsequent confirmation that the disclosed information will be regarded as “Confidential”, “Proprietary” or the substantial equivalent thereof does not disqualify the disclosed information from being classified as Confidential Information.</w:t>
      </w:r>
    </w:p>
    <w:p>
      <w:pPr>
        <w:spacing w:after="0" w:line="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If any Party violates any of its obligations described in this Section 12, the violating Party will, upon notification from the other Party,</w:t>
      </w:r>
    </w:p>
    <w:p>
      <w:pPr>
        <w:spacing w:after="0" w:line="27" w:lineRule="exact"/>
        <w:rPr>
          <w:sz w:val="20"/>
          <w:szCs w:val="20"/>
          <w:color w:val="auto"/>
        </w:rPr>
      </w:pPr>
    </w:p>
    <w:p>
      <w:pPr>
        <w:jc w:val="both"/>
        <w:ind w:left="640" w:right="720" w:firstLine="4"/>
        <w:spacing w:after="0" w:line="255" w:lineRule="auto"/>
        <w:tabs>
          <w:tab w:leader="none" w:pos="8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to proceed such harmful violation and take all actions needed to rectify said behavior and (ii) financially compensate for the harm suffered as determined by an federal or state court pursuant to Section 25.6 below. All legal remedies (compensatory but not punitive in nature) according to law will apply.</w:t>
      </w:r>
    </w:p>
    <w:p>
      <w:pPr>
        <w:spacing w:after="0" w:line="91" w:lineRule="exact"/>
        <w:rPr>
          <w:sz w:val="20"/>
          <w:szCs w:val="20"/>
          <w:color w:val="auto"/>
        </w:rPr>
      </w:pPr>
    </w:p>
    <w:p>
      <w:pPr>
        <w:jc w:val="center"/>
        <w:ind w:right="180"/>
        <w:spacing w:after="0"/>
        <w:tabs>
          <w:tab w:leader="none" w:pos="26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This confidentiality provision will survive the expiration or termination of this Sale &amp; Purchase Agreement without limitation in time.</w:t>
      </w:r>
    </w:p>
    <w:p>
      <w:pPr>
        <w:spacing w:after="0" w:line="1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 | Page</w:t>
      </w:r>
    </w:p>
    <w:p>
      <w:pPr>
        <w:sectPr>
          <w:pgSz w:w="11900" w:h="16838" w:orient="portrait"/>
          <w:cols w:equalWidth="0" w:num="1">
            <w:col w:w="10480"/>
          </w:cols>
          <w:pgMar w:left="980" w:top="270" w:right="4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4" w:lineRule="exact"/>
        <w:rPr>
          <w:sz w:val="20"/>
          <w:szCs w:val="20"/>
          <w:color w:val="auto"/>
        </w:rPr>
      </w:pPr>
    </w:p>
    <w:p>
      <w:pPr>
        <w:ind w:left="544" w:hanging="544"/>
        <w:spacing w:after="0"/>
        <w:tabs>
          <w:tab w:leader="none" w:pos="54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Volvo brand name</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13.1. For the sake of clarity, it is especially noted that this Sale &amp; Purchase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w:t>
      </w:r>
    </w:p>
    <w:p>
      <w:pPr>
        <w:spacing w:after="0" w:line="88" w:lineRule="exact"/>
        <w:rPr>
          <w:rFonts w:ascii="Times New Roman" w:cs="Times New Roman" w:eastAsia="Times New Roman" w:hAnsi="Times New Roman"/>
          <w:sz w:val="18"/>
          <w:szCs w:val="18"/>
          <w:b w:val="1"/>
          <w:bCs w:val="1"/>
          <w:color w:val="auto"/>
        </w:rPr>
      </w:pPr>
    </w:p>
    <w:p>
      <w:pPr>
        <w:ind w:left="1184" w:right="2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13.2. This means that this Sale &amp; Purchase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Polestar brand name.</w:t>
      </w:r>
    </w:p>
    <w:p>
      <w:pPr>
        <w:spacing w:after="0" w:line="134" w:lineRule="exact"/>
        <w:rPr>
          <w:rFonts w:ascii="Times New Roman" w:cs="Times New Roman" w:eastAsia="Times New Roman" w:hAnsi="Times New Roman"/>
          <w:sz w:val="18"/>
          <w:szCs w:val="18"/>
          <w:b w:val="1"/>
          <w:bCs w:val="1"/>
          <w:color w:val="auto"/>
        </w:rPr>
      </w:pPr>
    </w:p>
    <w:p>
      <w:pPr>
        <w:ind w:left="1184" w:right="2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This Sale &amp; Purchase Agreement includes the right to use the Polestar brand name or Trademarks, or refer to Polestar for the limited purpose of what is needed to perform Seller’s obligations under this Sale &amp; Purchase Agreement. When using the Polestar Trademark or Polestar brand name Seller will comply with any instructions or guidelines provided by Purchaser. For the avoidance of doubt, Seller’s right to use the Polestar brand name or Trademarks when performing its obligations does not constitute a right to use the Polestar brand name or Trademarks for any other activities under this Sale &amp; Purchase Agreement.</w:t>
      </w:r>
    </w:p>
    <w:p>
      <w:pPr>
        <w:spacing w:after="0" w:line="88" w:lineRule="exact"/>
        <w:rPr>
          <w:rFonts w:ascii="Times New Roman" w:cs="Times New Roman" w:eastAsia="Times New Roman" w:hAnsi="Times New Roman"/>
          <w:sz w:val="18"/>
          <w:szCs w:val="18"/>
          <w:b w:val="1"/>
          <w:bCs w:val="1"/>
          <w:color w:val="auto"/>
        </w:rPr>
      </w:pPr>
    </w:p>
    <w:p>
      <w:pPr>
        <w:ind w:left="1184" w:right="1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 For the avoidance of doubt, this Sale &amp; Purchase Agreement does not include any other rights to directly or indirectly use the Polestar brand name or Polestar Trademarks, on or for any products outside the scope of this Sale &amp; Purchase Agreement, or when marketing, promoting and/or selling such products, or in any other contacts with third parties, e.g. in presentations, business cards and correspondence, unless with the prior written consent of Purchaser.</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Infringement of intellectual property rights</w:t>
      </w:r>
    </w:p>
    <w:p>
      <w:pPr>
        <w:spacing w:after="0" w:line="134" w:lineRule="exact"/>
        <w:rPr>
          <w:rFonts w:ascii="Times New Roman" w:cs="Times New Roman" w:eastAsia="Times New Roman" w:hAnsi="Times New Roman"/>
          <w:sz w:val="18"/>
          <w:szCs w:val="18"/>
          <w:b w:val="1"/>
          <w:bCs w:val="1"/>
          <w:color w:val="auto"/>
        </w:rPr>
      </w:pPr>
    </w:p>
    <w:p>
      <w:pPr>
        <w:ind w:left="1184" w:right="1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15.1. Each Party will without undue delay inform the other Party of any infringement or suspected infringement in the Territory of the other Party’s intellectual property rights.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16.1. Neither Party will be responsible for delays, losses, or damages due to causes beyond the reasonable control of the Party, including but not limited to industrial disputes, riots, mobs, fires, floods, wars, embargo; shortages of labour, power, fuel, means of transportation, or common lack of other necessities, whether relating to the Parties or their subcontractors; government actions, changes in the law or regulations or orders issued by any government agency or otherwise.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 | Page</w:t>
      </w:r>
    </w:p>
    <w:p>
      <w:pPr>
        <w:sectPr>
          <w:pgSz w:w="11900" w:h="16838" w:orient="portrait"/>
          <w:cols w:equalWidth="0" w:num="1">
            <w:col w:w="11024"/>
          </w:cols>
          <w:pgMar w:left="436" w:top="270" w:right="4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4" w:lineRule="exact"/>
        <w:rPr>
          <w:sz w:val="20"/>
          <w:szCs w:val="20"/>
          <w:color w:val="auto"/>
        </w:rPr>
      </w:pPr>
    </w:p>
    <w:p>
      <w:pPr>
        <w:ind w:left="544" w:hanging="544"/>
        <w:spacing w:after="0"/>
        <w:tabs>
          <w:tab w:leader="none" w:pos="544"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17.1. Notwithstanding the date of signature, this Sale &amp; Purchase Agreement will be considered to have entered into effect on 21 June 2022 and thus codifies the terms and conditions under which the parties have already accepted and acted upon from the said date. This Sale &amp; Purchase Agreement will continue until 31 December 2023.</w:t>
      </w:r>
    </w:p>
    <w:p>
      <w:pPr>
        <w:spacing w:after="0" w:line="8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17.2.   Either Party shall be entitled to terminate this Sale &amp; Purchase Agreement with immediate effect in the event:</w:t>
      </w:r>
    </w:p>
    <w:p>
      <w:pPr>
        <w:spacing w:after="0" w:line="130" w:lineRule="exact"/>
        <w:rPr>
          <w:rFonts w:ascii="Times New Roman" w:cs="Times New Roman" w:eastAsia="Times New Roman" w:hAnsi="Times New Roman"/>
          <w:sz w:val="18"/>
          <w:szCs w:val="18"/>
          <w:b w:val="1"/>
          <w:bCs w:val="1"/>
          <w:color w:val="auto"/>
        </w:rPr>
      </w:pPr>
    </w:p>
    <w:p>
      <w:pPr>
        <w:ind w:left="1964" w:right="380" w:hanging="533"/>
        <w:spacing w:after="0" w:line="312" w:lineRule="auto"/>
        <w:tabs>
          <w:tab w:leader="none" w:pos="1964"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Party commits a material breach of the terms of this Sale &amp; Purchase Agreement, which has not been remedied within 30 days from written notice from the other Party to remedy such breach (if capable of being remedied); or</w:t>
      </w:r>
    </w:p>
    <w:p>
      <w:pPr>
        <w:spacing w:after="0" w:line="45" w:lineRule="exact"/>
        <w:rPr>
          <w:rFonts w:ascii="Times New Roman" w:cs="Times New Roman" w:eastAsia="Times New Roman" w:hAnsi="Times New Roman"/>
          <w:sz w:val="17"/>
          <w:szCs w:val="17"/>
          <w:color w:val="auto"/>
        </w:rPr>
      </w:pPr>
    </w:p>
    <w:p>
      <w:pPr>
        <w:ind w:left="1964" w:right="640" w:hanging="533"/>
        <w:spacing w:after="0" w:line="282" w:lineRule="auto"/>
        <w:tabs>
          <w:tab w:leader="none" w:pos="196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should become insolvent or enter into negotiations on composition with its creditors or a petition in bankruptcy should be filed by it or it should make an assignment for the benefit of its creditors.</w:t>
      </w:r>
    </w:p>
    <w:p>
      <w:pPr>
        <w:spacing w:after="0" w:line="67" w:lineRule="exact"/>
        <w:rPr>
          <w:sz w:val="20"/>
          <w:szCs w:val="20"/>
          <w:color w:val="auto"/>
        </w:rPr>
      </w:pPr>
    </w:p>
    <w:p>
      <w:pPr>
        <w:ind w:left="1184" w:right="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For avoidance of doubt, Purchaser not paying Seller for the Polestar Vehicles, without legitimate reasons for withholding payment, shall be considered in material breach for the purpose of this Sale &amp; Purchase Agreement.</w:t>
      </w:r>
    </w:p>
    <w:p>
      <w:pPr>
        <w:spacing w:after="0" w:line="67" w:lineRule="exact"/>
        <w:rPr>
          <w:sz w:val="20"/>
          <w:szCs w:val="20"/>
          <w:color w:val="auto"/>
        </w:rPr>
      </w:pPr>
    </w:p>
    <w:p>
      <w:pPr>
        <w:ind w:left="1184" w:right="8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Seller or Purchaser may, by giving the other party at least a six (6) month prior written notice, terminate this Sale &amp; Purchase Agreement at the end of the calendar year following the end of such notice period.</w:t>
      </w:r>
    </w:p>
    <w:p>
      <w:pPr>
        <w:spacing w:after="0" w:line="67"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party providing notice in accordance with Section 17.4 herein will not be required to provide reasons for its decision to terminate this Sale &amp; Purchase Agreement.</w:t>
      </w:r>
    </w:p>
    <w:p>
      <w:pPr>
        <w:spacing w:after="0" w:line="67" w:lineRule="exact"/>
        <w:rPr>
          <w:sz w:val="20"/>
          <w:szCs w:val="20"/>
          <w:color w:val="auto"/>
        </w:rPr>
      </w:pPr>
    </w:p>
    <w:p>
      <w:pPr>
        <w:ind w:left="1184" w:right="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If notice has been given in accordance with Section 17.4 herein, this Sale &amp; Purchase Agreement will automatically expire at the end of the calendar year following the relevant period, without any possibility of tacit renewal or the need for a court intervention. The party providing notice pursuant to Section 17.4 hereof will not for that reason incur any liability including, without limitation, goodwill payments, indemnities for loss of profit or of clientele, or compensation for investments made.</w:t>
      </w:r>
    </w:p>
    <w:p>
      <w:pPr>
        <w:spacing w:after="0" w:line="85" w:lineRule="exact"/>
        <w:rPr>
          <w:sz w:val="20"/>
          <w:szCs w:val="20"/>
          <w:color w:val="auto"/>
        </w:rPr>
      </w:pPr>
    </w:p>
    <w:p>
      <w:pPr>
        <w:jc w:val="both"/>
        <w:ind w:left="1184" w:right="30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In addition, either Party will have the right to terminate this Sale &amp; Purchase Agreement upon 30 days’ written notice in the event of force majeure (as described in Section 16 above) which causes major disturbance, during more than 30 days, to the operative and/or financial conditions which this Sale &amp; Purchase Agreement is based on.</w:t>
      </w:r>
    </w:p>
    <w:p>
      <w:pPr>
        <w:spacing w:after="0" w:line="77" w:lineRule="exact"/>
        <w:rPr>
          <w:sz w:val="20"/>
          <w:szCs w:val="20"/>
          <w:color w:val="auto"/>
        </w:rPr>
      </w:pPr>
    </w:p>
    <w:p>
      <w:pPr>
        <w:ind w:left="544" w:hanging="544"/>
        <w:spacing w:after="0"/>
        <w:tabs>
          <w:tab w:leader="none" w:pos="544"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w:t>
      </w:r>
    </w:p>
    <w:p>
      <w:pPr>
        <w:spacing w:after="0" w:line="134" w:lineRule="exact"/>
        <w:rPr>
          <w:rFonts w:ascii="Times New Roman" w:cs="Times New Roman" w:eastAsia="Times New Roman" w:hAnsi="Times New Roman"/>
          <w:sz w:val="18"/>
          <w:szCs w:val="18"/>
          <w:b w:val="1"/>
          <w:bCs w:val="1"/>
          <w:color w:val="auto"/>
        </w:rPr>
      </w:pPr>
    </w:p>
    <w:p>
      <w:pPr>
        <w:ind w:left="1184" w:right="3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 Obligations concerning payments due and obligations expressly or by their nature intended to survive the termination of this Sale &amp; Purchase Agreement, will so survive.</w:t>
      </w:r>
    </w:p>
    <w:p>
      <w:pPr>
        <w:spacing w:after="0" w:line="67" w:lineRule="exact"/>
        <w:rPr>
          <w:rFonts w:ascii="Times New Roman" w:cs="Times New Roman" w:eastAsia="Times New Roman" w:hAnsi="Times New Roman"/>
          <w:sz w:val="18"/>
          <w:szCs w:val="18"/>
          <w:b w:val="1"/>
          <w:bCs w:val="1"/>
          <w:color w:val="auto"/>
        </w:rPr>
      </w:pPr>
    </w:p>
    <w:p>
      <w:pPr>
        <w:ind w:left="1184" w:right="7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18.2. No compensation for goodwill or investments made by Seller can be claimed by reason of termination of this Sale &amp; Purchase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 | Page</w:t>
      </w:r>
    </w:p>
    <w:p>
      <w:pPr>
        <w:sectPr>
          <w:pgSz w:w="11900" w:h="16838" w:orient="portrait"/>
          <w:cols w:equalWidth="0" w:num="1">
            <w:col w:w="11024"/>
          </w:cols>
          <w:pgMar w:left="436" w:top="270" w:right="439" w:bottom="1440" w:gutter="0" w:footer="0" w:header="0"/>
        </w:sectPr>
      </w:pPr>
    </w:p>
    <w:bookmarkStart w:id="351" w:name="page352"/>
    <w:bookmarkEnd w:id="351"/>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ind w:left="1184" w:right="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On termination of this Sale &amp; Purchase Agreement, Purchaser will repurchase at the price set between Seller and Purchaser any Polestar Vehicles owned by Seller. Purchaser may assign to Principal to make such purchase.</w:t>
      </w:r>
    </w:p>
    <w:p>
      <w:pPr>
        <w:spacing w:after="0" w:line="67" w:lineRule="exact"/>
        <w:rPr>
          <w:sz w:val="20"/>
          <w:szCs w:val="20"/>
          <w:color w:val="auto"/>
        </w:rPr>
      </w:pPr>
    </w:p>
    <w:p>
      <w:pPr>
        <w:ind w:left="1184" w:right="4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Termination of this Sale &amp; Purchase Agreement will relieve the Parties of any other obligations or commitments it may have to the other Party in any other agreement or understanding between the parties that is depending on the fulfillment of either Party’s obligations under this Sale &amp; Purchase Agreement.</w:t>
      </w:r>
    </w:p>
    <w:p>
      <w:pPr>
        <w:spacing w:after="0" w:line="81" w:lineRule="exact"/>
        <w:rPr>
          <w:sz w:val="20"/>
          <w:szCs w:val="20"/>
          <w:color w:val="auto"/>
        </w:rPr>
      </w:pPr>
    </w:p>
    <w:p>
      <w:pPr>
        <w:ind w:left="1184" w:right="18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Notwithstanding what is stated above in this Section 18, if this Sale &amp; Purchase Agreement is terminated or expires pursuant to Section 17 above, Section 8 (Product liability and recalls), Section 12 (Confidentiality), Section 15 (Infringement of intellectual property rights), Section 24 (Governing law), Section 25 (Dispute Resolution) as well as this Section 18, shall survive any termination or expiration and remain in force as between the Parties after such termination or expiration.</w:t>
      </w:r>
    </w:p>
    <w:p>
      <w:pPr>
        <w:spacing w:after="0" w:line="81" w:lineRule="exact"/>
        <w:rPr>
          <w:sz w:val="20"/>
          <w:szCs w:val="20"/>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Waiver, Severability</w:t>
      </w:r>
    </w:p>
    <w:p>
      <w:pPr>
        <w:spacing w:after="0" w:line="134" w:lineRule="exact"/>
        <w:rPr>
          <w:rFonts w:ascii="Times New Roman" w:cs="Times New Roman" w:eastAsia="Times New Roman" w:hAnsi="Times New Roman"/>
          <w:sz w:val="18"/>
          <w:szCs w:val="18"/>
          <w:b w:val="1"/>
          <w:bCs w:val="1"/>
          <w:color w:val="auto"/>
        </w:rPr>
      </w:pPr>
    </w:p>
    <w:p>
      <w:pPr>
        <w:ind w:left="1184" w:right="1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19.1. No amendment, supplement, or variation of this Sale &amp; Purchase Agreement will be binding unless agreed upon by the Parties in writing. A waiver of any default is not a waiver of any later default and will not affect the validity of this Sale &amp; Purchase Agreement. Unenforceable terms of this Sale &amp; Purchase Agreement will be modified to reflect the Parties’ intention and only to the extent necessary to make them enforceable. The other terms will remain in effect without change.</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and conflicts</w:t>
      </w:r>
    </w:p>
    <w:p>
      <w:pPr>
        <w:spacing w:after="0" w:line="134" w:lineRule="exact"/>
        <w:rPr>
          <w:rFonts w:ascii="Times New Roman" w:cs="Times New Roman" w:eastAsia="Times New Roman" w:hAnsi="Times New Roman"/>
          <w:sz w:val="18"/>
          <w:szCs w:val="18"/>
          <w:b w:val="1"/>
          <w:bCs w:val="1"/>
          <w:color w:val="auto"/>
        </w:rPr>
      </w:pPr>
    </w:p>
    <w:p>
      <w:pPr>
        <w:ind w:left="1184" w:right="2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 This Sale &amp; Purchase Agreement supersedes all previous representations, understandings or agreements, oral or written, between the parties with respect to the subject matter hereof, and together with the agreements and documents contemplated hereby contains the entire understanding for the Parties as to the terms and conditions of their relationship.</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21.1. Neither Party may assign any of its rights or obligations under this Sale &amp; Purchase Agreement without the prior written consent of the other Party.</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1184" w:right="12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Any formal notices under this Sale &amp; Purchase Agreement, including without limitation, notices of breach or termination, required or otherwise given under this Sale &amp; Purchase Agreement will be given in writing. The notices must, as the case requires, be addressed to the party to be notified at the following addresses and/or appropriate email addresses:</w:t>
      </w:r>
    </w:p>
    <w:p>
      <w:pPr>
        <w:spacing w:after="0" w:line="6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To Seller:</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USA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 | Page</w:t>
      </w:r>
    </w:p>
    <w:p>
      <w:pPr>
        <w:sectPr>
          <w:pgSz w:w="11900" w:h="16838" w:orient="portrait"/>
          <w:cols w:equalWidth="0" w:num="1">
            <w:col w:w="11024"/>
          </w:cols>
          <w:pgMar w:left="436" w:top="270" w:right="4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1800 Volvo Place</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Mahwah, NJ 07430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USA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 and</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USA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To Purchaser:</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Polestar Automotive USA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777 MacArthur Blvd</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Mahwah, NJ 07430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address: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Polestar Automotive USA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address: legal@polestar.com</w:t>
      </w:r>
    </w:p>
    <w:p>
      <w:pPr>
        <w:spacing w:after="0" w:line="108" w:lineRule="exact"/>
        <w:rPr>
          <w:sz w:val="20"/>
          <w:szCs w:val="20"/>
          <w:color w:val="auto"/>
        </w:rPr>
      </w:pPr>
    </w:p>
    <w:p>
      <w:pPr>
        <w:ind w:left="544" w:hanging="544"/>
        <w:spacing w:after="0"/>
        <w:tabs>
          <w:tab w:leader="none" w:pos="544"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 and governance forums</w:t>
      </w:r>
    </w:p>
    <w:p>
      <w:pPr>
        <w:spacing w:after="0" w:line="134" w:lineRule="exact"/>
        <w:rPr>
          <w:rFonts w:ascii="Times New Roman" w:cs="Times New Roman" w:eastAsia="Times New Roman" w:hAnsi="Times New Roman"/>
          <w:sz w:val="18"/>
          <w:szCs w:val="18"/>
          <w:b w:val="1"/>
          <w:bCs w:val="1"/>
          <w:color w:val="auto"/>
        </w:rPr>
      </w:pPr>
    </w:p>
    <w:p>
      <w:pPr>
        <w:ind w:left="1184" w:right="1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23.1. The Parties will act in good faith in all matters and will at all times co-operate in respect of changes to this Sale &amp; Purchase Agreement as well as issues and/or disputes arising under this Sale &amp; Purchase Agreement.</w:t>
      </w:r>
    </w:p>
    <w:p>
      <w:pPr>
        <w:spacing w:after="0" w:line="67" w:lineRule="exact"/>
        <w:rPr>
          <w:rFonts w:ascii="Times New Roman" w:cs="Times New Roman" w:eastAsia="Times New Roman" w:hAnsi="Times New Roman"/>
          <w:sz w:val="18"/>
          <w:szCs w:val="18"/>
          <w:b w:val="1"/>
          <w:bCs w:val="1"/>
          <w:color w:val="auto"/>
        </w:rPr>
      </w:pPr>
    </w:p>
    <w:p>
      <w:pPr>
        <w:ind w:left="1184" w:right="14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23.2. The governance and co-operation between the Parties in respect of this Sale &amp; Purchase Agreement will primarily be administered on an operational level. In the event the Parties on an operational level cannot agree upon inter alia the prioritization of activities or other aspects relating to the co-operation between the Parties, each Party will be entitled to escalate such issue to the Steering Committee (as defined below in this Section 23).</w:t>
      </w:r>
    </w:p>
    <w:p>
      <w:pPr>
        <w:spacing w:after="0" w:line="85" w:lineRule="exact"/>
        <w:rPr>
          <w:rFonts w:ascii="Times New Roman" w:cs="Times New Roman" w:eastAsia="Times New Roman" w:hAnsi="Times New Roman"/>
          <w:sz w:val="18"/>
          <w:szCs w:val="18"/>
          <w:b w:val="1"/>
          <w:bCs w:val="1"/>
          <w:color w:val="auto"/>
        </w:rPr>
      </w:pPr>
    </w:p>
    <w:p>
      <w:pPr>
        <w:ind w:left="1184"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23.3. If the Steering Committee fails to agree upon a solution of the disagreement the relevant issue should be escalated to the Strategic Board (as defined below in this Section 23) for decision.</w:t>
      </w:r>
    </w:p>
    <w:p>
      <w:pPr>
        <w:spacing w:after="0" w:line="67" w:lineRule="exact"/>
        <w:rPr>
          <w:rFonts w:ascii="Times New Roman" w:cs="Times New Roman" w:eastAsia="Times New Roman" w:hAnsi="Times New Roman"/>
          <w:sz w:val="18"/>
          <w:szCs w:val="18"/>
          <w:b w:val="1"/>
          <w:bCs w:val="1"/>
          <w:color w:val="auto"/>
        </w:rPr>
      </w:pPr>
    </w:p>
    <w:p>
      <w:pPr>
        <w:ind w:left="1184" w:right="1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23.4. Above the operational level, the next level of governance forum for handling the co-operation between the Parties in various matters, handling management, prioritization of activities etc. under the Sale &amp; Purchase Agreement will be the “</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which regarding cooperation between Seller and Purchaser is the so called Volvo Polestar Business Steering Committee. The Steering Committee will be the first level of governance forum established by the Parties to which an issue will be escalated if the Parties fail to agree upon a solution on the operational level.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 | Page</w:t>
      </w:r>
    </w:p>
    <w:p>
      <w:pPr>
        <w:sectPr>
          <w:pgSz w:w="11900" w:h="16838" w:orient="portrait"/>
          <w:cols w:equalWidth="0" w:num="1">
            <w:col w:w="11024"/>
          </w:cols>
          <w:pgMar w:left="436" w:top="270" w:right="439" w:bottom="1440" w:gutter="0" w:footer="0" w:header="0"/>
        </w:sectPr>
      </w:pPr>
    </w:p>
    <w:bookmarkStart w:id="353" w:name="page354"/>
    <w:bookmarkEnd w:id="353"/>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ind w:left="1184" w:right="1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The higher level of governance forum, to which an issue will be escalated if the Steering Committee fails to agree upon a solution will be the “</w:t>
      </w:r>
      <w:r>
        <w:rPr>
          <w:rFonts w:ascii="Times New Roman" w:cs="Times New Roman" w:eastAsia="Times New Roman" w:hAnsi="Times New Roman"/>
          <w:sz w:val="18"/>
          <w:szCs w:val="18"/>
          <w:b w:val="1"/>
          <w:bCs w:val="1"/>
          <w:color w:val="auto"/>
        </w:rPr>
        <w:t>Strategic Board</w:t>
      </w:r>
      <w:r>
        <w:rPr>
          <w:rFonts w:ascii="Times New Roman" w:cs="Times New Roman" w:eastAsia="Times New Roman" w:hAnsi="Times New Roman"/>
          <w:sz w:val="18"/>
          <w:szCs w:val="18"/>
          <w:color w:val="auto"/>
        </w:rPr>
        <w:t>”, which regarding cooperation between Seller and Purchaser is the so called Volvo Polestar Executive Alignment Meeting. The Strategic Board will be the highest level of governance forum established by the Parties for handling the cooperation between them in respect of various matters.</w:t>
      </w:r>
    </w:p>
    <w:p>
      <w:pPr>
        <w:spacing w:after="0" w:line="81" w:lineRule="exact"/>
        <w:rPr>
          <w:sz w:val="20"/>
          <w:szCs w:val="20"/>
          <w:color w:val="auto"/>
        </w:rPr>
      </w:pPr>
    </w:p>
    <w:p>
      <w:pPr>
        <w:ind w:left="544" w:hanging="544"/>
        <w:spacing w:after="0"/>
        <w:tabs>
          <w:tab w:leader="none" w:pos="544"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34" w:lineRule="exact"/>
        <w:rPr>
          <w:rFonts w:ascii="Times New Roman" w:cs="Times New Roman" w:eastAsia="Times New Roman" w:hAnsi="Times New Roman"/>
          <w:sz w:val="18"/>
          <w:szCs w:val="18"/>
          <w:b w:val="1"/>
          <w:bCs w:val="1"/>
          <w:color w:val="auto"/>
        </w:rPr>
      </w:pPr>
    </w:p>
    <w:p>
      <w:pPr>
        <w:ind w:left="1184" w:right="5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24.1. This Sale &amp; Purchase Agreement and all non-contractual obligations in connection with this Sale &amp; Purchase Agreement will be governed by the substantive laws of State of New Jersey, without giving regard to its conflict of laws principles.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25.1. In case the Parties cannot agree on a joint solution for handling disagreements or disputes, a deadlock situation will be deemed to have occurred and each Party will notify the other Party hereof by the means of a deadlock notice and simultaneously send a copy of the notice to the Steering Committee. Upon the receipt of such a deadlock notice, the receiving Party will within ten days of receipt, prepare and circulate to the other Party a statement setting out its position on the matter in dispute and reasons for adopting such position, and simultaneously send a copy of its statement to the Steering Committee. Each such statement will be considered by the next regular meeting held by the Steering Committee or in a forum meeting specifically called upon by either Party for the settlement of the issue.</w:t>
      </w:r>
    </w:p>
    <w:p>
      <w:pPr>
        <w:spacing w:after="0" w:line="78"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25.2.   The members of the Steering Committee will use reasonable endeavors to resolve a deadlock situation in good faith. As part thereof, the</w:t>
      </w:r>
    </w:p>
    <w:p>
      <w:pPr>
        <w:spacing w:after="0" w:line="27" w:lineRule="exact"/>
        <w:rPr>
          <w:rFonts w:ascii="Times New Roman" w:cs="Times New Roman" w:eastAsia="Times New Roman" w:hAnsi="Times New Roman"/>
          <w:sz w:val="18"/>
          <w:szCs w:val="18"/>
          <w:b w:val="1"/>
          <w:bCs w:val="1"/>
          <w:color w:val="auto"/>
        </w:rPr>
      </w:pPr>
    </w:p>
    <w:p>
      <w:pPr>
        <w:ind w:left="1184" w:right="3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Steering Committee may request the Parties to in good faith develop and agree on a plan to resolve or address the breach, to be presented for the Steering Committee without undue delay. If the Steering Committee agrees upon a resolution or disposition of the matter, the Parties will agree in writing on terms of such resolution or disposition and the Parties will procure that such resolution or disposition is fully and promptly carried into effect.</w:t>
      </w:r>
    </w:p>
    <w:p>
      <w:pPr>
        <w:spacing w:after="0" w:line="94" w:lineRule="exact"/>
        <w:rPr>
          <w:rFonts w:ascii="Times New Roman" w:cs="Times New Roman" w:eastAsia="Times New Roman" w:hAnsi="Times New Roman"/>
          <w:sz w:val="18"/>
          <w:szCs w:val="18"/>
          <w:b w:val="1"/>
          <w:bCs w:val="1"/>
          <w:color w:val="auto"/>
        </w:rPr>
      </w:pPr>
    </w:p>
    <w:p>
      <w:pPr>
        <w:ind w:left="1184" w:right="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25.3. If the Steering Committee cannot settle the deadlock within 30 days from the deadlock notice pursuant to the section above, despite using reasonable endeavors to do so, such deadlock will be referred to the Strategic Board for decision. If no Steering Committee has been established between the Parties, the relevant issue will be referred to the Strategic Board. Should the matter not have been resolved by the Strategic Board within 30 days counting from when the matter was referred to them, despite using reasonable endeavors to do so, the matter will be resolved in accordance with Section 25.6 below.</w:t>
      </w:r>
    </w:p>
    <w:p>
      <w:pPr>
        <w:spacing w:after="0" w:line="88" w:lineRule="exact"/>
        <w:rPr>
          <w:rFonts w:ascii="Times New Roman" w:cs="Times New Roman" w:eastAsia="Times New Roman" w:hAnsi="Times New Roman"/>
          <w:sz w:val="18"/>
          <w:szCs w:val="18"/>
          <w:b w:val="1"/>
          <w:bCs w:val="1"/>
          <w:color w:val="auto"/>
        </w:rPr>
      </w:pPr>
    </w:p>
    <w:p>
      <w:pPr>
        <w:ind w:left="1184" w:right="8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25.4. All notices and communications exchanged in the course of a deadlock resolution proceeding will be considered Confidential Information of each Party and be subject to confidentiality undertaking.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 | Page</w:t>
      </w:r>
    </w:p>
    <w:p>
      <w:pPr>
        <w:sectPr>
          <w:pgSz w:w="11900" w:h="16838" w:orient="portrait"/>
          <w:cols w:equalWidth="0" w:num="1">
            <w:col w:w="11024"/>
          </w:cols>
          <w:pgMar w:left="436" w:top="270" w:right="439" w:bottom="1440" w:gutter="0" w:footer="0" w:header="0"/>
        </w:sectPr>
      </w:pPr>
    </w:p>
    <w:bookmarkStart w:id="354" w:name="page355"/>
    <w:bookmarkEnd w:id="354"/>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ind w:left="1184" w:right="14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8"/>
          <w:szCs w:val="18"/>
          <w:color w:val="auto"/>
        </w:rPr>
        <w:t>Notwithstanding the above, the Parties agree that either Party may disregard the time frames set forth in this Section 25 and apply shorter time frames and/or escalate an issue directly to the Strategic Board in the event the escalated issue is of an urgent character and where the applicable time frames set out above are not appropriate.</w:t>
      </w:r>
    </w:p>
    <w:p>
      <w:pPr>
        <w:spacing w:after="0" w:line="81" w:lineRule="exact"/>
        <w:rPr>
          <w:sz w:val="20"/>
          <w:szCs w:val="20"/>
          <w:color w:val="auto"/>
        </w:rPr>
      </w:pPr>
    </w:p>
    <w:p>
      <w:pPr>
        <w:ind w:left="1184" w:right="5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25.6.</w:t>
      </w:r>
      <w:r>
        <w:rPr>
          <w:sz w:val="20"/>
          <w:szCs w:val="20"/>
          <w:color w:val="auto"/>
        </w:rPr>
        <w:tab/>
      </w:r>
      <w:r>
        <w:rPr>
          <w:rFonts w:ascii="Times New Roman" w:cs="Times New Roman" w:eastAsia="Times New Roman" w:hAnsi="Times New Roman"/>
          <w:sz w:val="18"/>
          <w:szCs w:val="18"/>
          <w:color w:val="auto"/>
        </w:rPr>
        <w:t>Any unresolved dispute, controversy or claim arising out of or in connection with this Sale &amp; Purchase Agreement, or the breach, termination or invalidity thereof, will be brought in the federal or state court of jurisdiction in New Jersey.</w:t>
      </w:r>
    </w:p>
    <w:p>
      <w:pPr>
        <w:spacing w:after="0" w:line="63" w:lineRule="exact"/>
        <w:rPr>
          <w:sz w:val="20"/>
          <w:szCs w:val="20"/>
          <w:color w:val="auto"/>
        </w:rPr>
      </w:pPr>
    </w:p>
    <w:p>
      <w:pPr>
        <w:ind w:left="544" w:hanging="544"/>
        <w:spacing w:after="0"/>
        <w:tabs>
          <w:tab w:leader="none" w:pos="544"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Invalidity</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26.1. In the event that any section or provision of this Sale &amp; Purchase Agreement should, under any applicable legislation or trade practice, be held to be illegal, null or void, such clause or provision will not affect the validity of the remaining sections of this Sale &amp; Purchase Agreement. In such cases, the parties will negotiate in order, if possible, to agree upon wording which achieves the purpose sought to be achieved by the invalid section or provision and which complies with the legislation or trade practice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 | Page</w:t>
      </w:r>
    </w:p>
    <w:p>
      <w:pPr>
        <w:sectPr>
          <w:pgSz w:w="11900" w:h="16838" w:orient="portrait"/>
          <w:cols w:equalWidth="0" w:num="1">
            <w:col w:w="11024"/>
          </w:cols>
          <w:pgMar w:left="436" w:top="270" w:right="43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Sale &amp; Purchase Agreement has been signed electronically by both Parties.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VOLVO CAR USA LLC</w:t>
            </w:r>
          </w:p>
        </w:tc>
        <w:tc>
          <w:tcPr>
            <w:tcW w:w="12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 Oscar Bertilsson Olsborg</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 Anders Gustafsson</w:t>
            </w:r>
          </w:p>
        </w:tc>
      </w:tr>
      <w:tr>
        <w:trPr>
          <w:trHeight w:val="205"/>
        </w:trPr>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Oscar Bertilsson Olsborg</w:t>
            </w:r>
          </w:p>
        </w:tc>
        <w:tc>
          <w:tcPr>
            <w:tcW w:w="12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Anders Gustafsson</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CFO</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Title: MD</w:t>
            </w: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tc>
        <w:tc>
          <w:tcPr>
            <w:tcW w:w="12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 Gregor Hembrough</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 Mikael Alkmark</w:t>
            </w:r>
          </w:p>
        </w:tc>
      </w:tr>
      <w:tr>
        <w:trPr>
          <w:trHeight w:val="205"/>
        </w:trPr>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Gregor Hembrough</w:t>
            </w:r>
          </w:p>
        </w:tc>
        <w:tc>
          <w:tcPr>
            <w:tcW w:w="12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Mikael Alkmark</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MD</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365"/>
        </w:trPr>
        <w:tc>
          <w:tcPr>
            <w:tcW w:w="4860" w:type="dxa"/>
            <w:vAlign w:val="bottom"/>
          </w:tcPr>
          <w:p>
            <w:pPr>
              <w:spacing w:after="0"/>
              <w:rPr>
                <w:sz w:val="24"/>
                <w:szCs w:val="24"/>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14 | Page</w:t>
            </w:r>
          </w:p>
        </w:tc>
      </w:tr>
    </w:tbl>
    <w:p>
      <w:pPr>
        <w:sectPr>
          <w:pgSz w:w="11900" w:h="16838" w:orient="portrait"/>
          <w:cols w:equalWidth="0" w:num="1">
            <w:col w:w="11020"/>
          </w:cols>
          <w:pgMar w:left="440" w:top="270" w:right="43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Parties have agreed that all prices for Polestar Vehicles payable by Purchaser to Seller will be established on an arm’s length basis and should be set in order for Purchaser to earn a full and complete compensation (the “</w:t>
      </w:r>
      <w:r>
        <w:rPr>
          <w:rFonts w:ascii="Times New Roman" w:cs="Times New Roman" w:eastAsia="Times New Roman" w:hAnsi="Times New Roman"/>
          <w:sz w:val="18"/>
          <w:szCs w:val="18"/>
          <w:b w:val="1"/>
          <w:bCs w:val="1"/>
          <w:color w:val="auto"/>
        </w:rPr>
        <w:t>Distribution Profit</w:t>
      </w:r>
      <w:r>
        <w:rPr>
          <w:rFonts w:ascii="Times New Roman" w:cs="Times New Roman" w:eastAsia="Times New Roman" w:hAnsi="Times New Roman"/>
          <w:sz w:val="18"/>
          <w:szCs w:val="18"/>
          <w:color w:val="auto"/>
        </w:rPr>
        <w:t>”) consisting of (i) a compensation for of the distribution services performed by Purchaser (“</w:t>
      </w:r>
      <w:r>
        <w:rPr>
          <w:rFonts w:ascii="Times New Roman" w:cs="Times New Roman" w:eastAsia="Times New Roman" w:hAnsi="Times New Roman"/>
          <w:sz w:val="18"/>
          <w:szCs w:val="18"/>
          <w:b w:val="1"/>
          <w:bCs w:val="1"/>
          <w:color w:val="auto"/>
        </w:rPr>
        <w:t>Berry-Ratio Compensation</w:t>
      </w:r>
      <w:r>
        <w:rPr>
          <w:rFonts w:ascii="Times New Roman" w:cs="Times New Roman" w:eastAsia="Times New Roman" w:hAnsi="Times New Roman"/>
          <w:sz w:val="18"/>
          <w:szCs w:val="18"/>
          <w:color w:val="auto"/>
        </w:rPr>
        <w:t>”) as well as (ii) a compensation for Carrying Cost (“</w:t>
      </w:r>
      <w:r>
        <w:rPr>
          <w:rFonts w:ascii="Times New Roman" w:cs="Times New Roman" w:eastAsia="Times New Roman" w:hAnsi="Times New Roman"/>
          <w:sz w:val="18"/>
          <w:szCs w:val="18"/>
          <w:b w:val="1"/>
          <w:bCs w:val="1"/>
          <w:color w:val="auto"/>
        </w:rPr>
        <w:t>Carrying Cost Compensation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Berry-Ratio Compensation should be established according to what is set forth below:</w:t>
      </w:r>
    </w:p>
    <w:p>
      <w:pPr>
        <w:spacing w:after="0" w:line="22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Parties have agreed that the Barry-ratio Compensation should be established by applying the Transactional Net Margin Method (TNMM) and applying the Berry Ratio achieved by comparable uncontrolled distribution companies performing substantially the same functions and assuming substantially the same risks as are performed and assumed by Purchaser.</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Berry Ratio Compensation shall, for the purpose of calculating the prices of Polestar Vehicles be computed as a mark-up on the Value Adding Operating Expenses incurred by Purchaser.</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purposes of applying the TNMM, the arm’s length Berry Ratio mark-up should be reviewed and agreed between the Parties on a yearly basis. The arm’s length Berry Ratio mark-up applied should be in line with the latest Comparable Study/Benchmarks.</w:t>
      </w:r>
    </w:p>
    <w:p>
      <w:pPr>
        <w:spacing w:after="0" w:line="158"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For this purpose, the term “</w:t>
      </w:r>
      <w:r>
        <w:rPr>
          <w:rFonts w:ascii="Times New Roman" w:cs="Times New Roman" w:eastAsia="Times New Roman" w:hAnsi="Times New Roman"/>
          <w:sz w:val="18"/>
          <w:szCs w:val="18"/>
          <w:b w:val="1"/>
          <w:bCs w:val="1"/>
          <w:color w:val="auto"/>
        </w:rPr>
        <w:t>Value-Adding Operating Expenses</w:t>
      </w:r>
      <w:r>
        <w:rPr>
          <w:rFonts w:ascii="Times New Roman" w:cs="Times New Roman" w:eastAsia="Times New Roman" w:hAnsi="Times New Roman"/>
          <w:sz w:val="18"/>
          <w:szCs w:val="18"/>
          <w:color w:val="auto"/>
        </w:rPr>
        <w:t>” shall include only those operating expenses incurred by Purchaser for value-adding functions performed by Purchaser and shall not include expenses for cost of goods sold, advertising, sales incentives, promotion, product warranty, or product liability. Expenses that Purchaser incurs in implementing or administering these programs, however, are included in Value-Adding Operating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Cost Compensation should be established according to what is set forth below:</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Carrying Cost Compensation shall be calculated as the product of (i) the arm’s length interest rate and (ii) the average annual value of Purchaser’s trade accounts receivable plus inventory minus trade accounts payable.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purpose of calculating the Carrying Cost Compensation the arm´s length interest rate should be reviewed and agreed between the Parties on a yearly basis. The arm’s length Interest rate applied should be in line with the latest Comparable Study/Benchmarks.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transfer prices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transfer prices shall be mutually agreed on and based upon:</w:t>
      </w:r>
    </w:p>
    <w:p>
      <w:pPr>
        <w:spacing w:after="0" w:line="131" w:lineRule="exact"/>
        <w:rPr>
          <w:sz w:val="20"/>
          <w:szCs w:val="20"/>
          <w:color w:val="auto"/>
        </w:rPr>
      </w:pPr>
    </w:p>
    <w:p>
      <w:pPr>
        <w:ind w:left="5180" w:right="2120" w:hanging="4644"/>
        <w:spacing w:after="0" w:line="454" w:lineRule="auto"/>
        <w:tabs>
          <w:tab w:leader="none" w:pos="9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unit sales volumes and expected resale prices for Purchaser of Polestar Vehicles during a calendar year, 15 | Page</w:t>
      </w:r>
    </w:p>
    <w:p>
      <w:pPr>
        <w:sectPr>
          <w:pgSz w:w="11900" w:h="16838" w:orient="portrait"/>
          <w:cols w:equalWidth="0" w:num="1">
            <w:col w:w="11020"/>
          </w:cols>
          <w:pgMar w:left="440" w:top="270" w:right="43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PS22-020</w:t>
      </w:r>
    </w:p>
    <w:p>
      <w:pPr>
        <w:spacing w:after="0" w:line="158" w:lineRule="exact"/>
        <w:rPr>
          <w:sz w:val="20"/>
          <w:szCs w:val="20"/>
          <w:color w:val="auto"/>
        </w:rPr>
      </w:pPr>
    </w:p>
    <w:p>
      <w:pPr>
        <w:ind w:left="960" w:right="60" w:hanging="424"/>
        <w:spacing w:after="0" w:line="282" w:lineRule="auto"/>
        <w:tabs>
          <w:tab w:leader="none" w:pos="9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Budgeted expenses or refunds to be incurred by Purchaser for any activity, action or event related to the purchase and resale of the Polestar Vehicles, e.g. expenses for advertising sales incentives, promotion and product warranty during the calendar year,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Budgeted Value-Adding Operating Expenses to be incurred by Purchaser for the purpose of achieving those target sales and revenues,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Comparable Berry-Ratio mark-up, as determined as set forth above, on budgeted Value-Adding Operating Expenses,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return on Purchaser’s average level of Net Operating Assets (“Carrying Costs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Evaluating and adjusting transfer prices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 monthly basis, the full and total compensation (Distribution compensation plus Carrying Cost Compensation) earned by Purchaser with respect to its distribution of Polestar Vehicles from Seller and Seller’s Affiliates during the calendar year shall be calculated.</w:t>
      </w:r>
    </w:p>
    <w:p>
      <w:pPr>
        <w:spacing w:after="0" w:line="162"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If the aggregated actual Distribution Profit is greater than the sum of the Berry-Ratio Compensation and the Carrying Cost Compensation calculated according to what is set forth above, there shall be deemed to exist an excess in the amount of Purchaser’s operating profit (hereinafter an “</w:t>
      </w:r>
      <w:r>
        <w:rPr>
          <w:rFonts w:ascii="Times New Roman" w:cs="Times New Roman" w:eastAsia="Times New Roman" w:hAnsi="Times New Roman"/>
          <w:sz w:val="17"/>
          <w:szCs w:val="17"/>
          <w:b w:val="1"/>
          <w:bCs w:val="1"/>
          <w:color w:val="auto"/>
        </w:rPr>
        <w:t>Excess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If the aggregated actual Distribution Profit is less than the sum of the Berry-Ratio Compensation and the Carrying-Cost compensation calculated according to what is set forth above, there shall be deemed to exist a shortfall in the amount of Purchaser’s operating profit (hereinafter a “</w:t>
      </w:r>
      <w:r>
        <w:rPr>
          <w:rFonts w:ascii="Times New Roman" w:cs="Times New Roman" w:eastAsia="Times New Roman" w:hAnsi="Times New Roman"/>
          <w:sz w:val="17"/>
          <w:szCs w:val="17"/>
          <w:b w:val="1"/>
          <w:bCs w:val="1"/>
          <w:color w:val="auto"/>
        </w:rPr>
        <w:t>Shortfall</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of any Excess, there shall be a possibility to regulate such Excess as an additional purchase price for the Polestar Vehicles purchased from Seller or Seller’s Affiliates during the calendar year to which the Excess relates. In the event of any Shortfall, there shall be a possibility to regulate such Shortfall as a rebate of the transfer prices paid for the Polestar Vehicles purchased from Seller or Seller’s Affiliates during the calendar year to which the Shortfall relates.</w:t>
      </w:r>
    </w:p>
    <w:p>
      <w:pPr>
        <w:spacing w:after="0" w:line="18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Any adjustments resulting from the preceding paragraph shall be settled by way of credit or debit notes issued by Seller within 30 days of the determination of the amounts thereof. Any sums due are payable on standard intercompany terms, less payments, if any, on account of additional purchase price adjustments made or received during the year.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 Page</w:t>
      </w:r>
    </w:p>
    <w:p>
      <w:pPr>
        <w:sectPr>
          <w:pgSz w:w="11900" w:h="16838" w:orient="portrait"/>
          <w:cols w:equalWidth="0" w:num="1">
            <w:col w:w="11020"/>
          </w:cols>
          <w:pgMar w:left="440" w:top="270" w:right="439" w:bottom="1440" w:gutter="0" w:footer="0" w:header="0"/>
        </w:sectPr>
      </w:pPr>
    </w:p>
    <w:bookmarkStart w:id="358" w:name="page359"/>
    <w:bookmarkEnd w:id="358"/>
    <w:p>
      <w:pPr>
        <w:ind w:left="10080"/>
        <w:spacing w:after="0"/>
        <w:rPr>
          <w:sz w:val="20"/>
          <w:szCs w:val="20"/>
          <w:color w:val="auto"/>
        </w:rPr>
      </w:pPr>
      <w:r>
        <w:rPr>
          <w:rFonts w:ascii="Times New Roman" w:cs="Times New Roman" w:eastAsia="Times New Roman" w:hAnsi="Times New Roman"/>
          <w:sz w:val="18"/>
          <w:szCs w:val="18"/>
          <w:b w:val="1"/>
          <w:bCs w:val="1"/>
          <w:color w:val="auto"/>
        </w:rPr>
        <w:t>Exhibit 4.93</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No. PS22-019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Polestar Performance AB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Volvo Car USA LLC</w:t>
      </w:r>
    </w:p>
    <w:p>
      <w:pPr>
        <w:sectPr>
          <w:pgSz w:w="11900" w:h="16838" w:orient="portrait"/>
          <w:cols w:equalWidth="0" w:num="1">
            <w:col w:w="11020"/>
          </w:cols>
          <w:pgMar w:left="440" w:top="117" w:right="4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importer agreement (“</w:t>
      </w:r>
      <w:r>
        <w:rPr>
          <w:rFonts w:ascii="Times New Roman" w:cs="Times New Roman" w:eastAsia="Times New Roman" w:hAnsi="Times New Roman"/>
          <w:sz w:val="18"/>
          <w:szCs w:val="18"/>
          <w:b w:val="1"/>
          <w:bCs w:val="1"/>
          <w:color w:val="auto"/>
        </w:rPr>
        <w:t>Importer Agreement”</w:t>
      </w:r>
      <w:r>
        <w:rPr>
          <w:rFonts w:ascii="Times New Roman" w:cs="Times New Roman" w:eastAsia="Times New Roman" w:hAnsi="Times New Roman"/>
          <w:sz w:val="18"/>
          <w:szCs w:val="18"/>
          <w:color w:val="auto"/>
        </w:rPr>
        <w:t>) is made effective as of 21 June 2022 by and between</w:t>
      </w:r>
    </w:p>
    <w:p>
      <w:pPr>
        <w:spacing w:after="0" w:line="225"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Polestar Performance AB</w:t>
      </w:r>
      <w:r>
        <w:rPr>
          <w:rFonts w:ascii="Times New Roman" w:cs="Times New Roman" w:eastAsia="Times New Roman" w:hAnsi="Times New Roman"/>
          <w:sz w:val="18"/>
          <w:szCs w:val="18"/>
          <w:color w:val="auto"/>
        </w:rPr>
        <w:t>, a company organized and existing under the laws of Sweden, having its principal place of business at Assar Gabrielssons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Väg 9, 405 31 Gothenburg, Sweden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t>Volvo Cars USA LLC</w:t>
      </w:r>
      <w:r>
        <w:rPr>
          <w:rFonts w:ascii="Times New Roman" w:cs="Times New Roman" w:eastAsia="Times New Roman" w:hAnsi="Times New Roman"/>
          <w:sz w:val="18"/>
          <w:szCs w:val="18"/>
          <w:color w:val="auto"/>
        </w:rPr>
        <w:t>, a Delaware limited liability company, having its principal place of business at 1800 Volvo Place, Mahwah, NJ 07430,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Importer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Seller and Importer is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jointly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544" w:right="140" w:hanging="544"/>
        <w:spacing w:after="0" w:line="282" w:lineRule="auto"/>
        <w:tabs>
          <w:tab w:leader="none" w:pos="5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engaged in the design, research and development, manufacturing, marketing, sales, and distribution of Polestar Vehicles (as hereinafter defined).</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Importer has experience and expertise in importation, and sale of passenger cars in the Territory (as defined below).</w:t>
      </w:r>
    </w:p>
    <w:p>
      <w:pPr>
        <w:spacing w:after="0" w:line="130" w:lineRule="exact"/>
        <w:rPr>
          <w:rFonts w:ascii="Times New Roman" w:cs="Times New Roman" w:eastAsia="Times New Roman" w:hAnsi="Times New Roman"/>
          <w:sz w:val="18"/>
          <w:szCs w:val="18"/>
          <w:color w:val="auto"/>
        </w:rPr>
      </w:pPr>
    </w:p>
    <w:p>
      <w:pPr>
        <w:ind w:left="544" w:right="700" w:hanging="544"/>
        <w:spacing w:after="0" w:line="282" w:lineRule="auto"/>
        <w:tabs>
          <w:tab w:leader="none" w:pos="5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wishes to engage Importer as importer of Polestar Vehicles in the Territory and Importer wishes to import Polestar Vehicles in the Territory.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THEREFORE, SELLER AND IMPORTER AGREE:</w:t>
      </w:r>
    </w:p>
    <w:p>
      <w:pPr>
        <w:spacing w:after="0" w:line="127" w:lineRule="exact"/>
        <w:rPr>
          <w:sz w:val="20"/>
          <w:szCs w:val="20"/>
          <w:color w:val="auto"/>
        </w:rPr>
      </w:pPr>
    </w:p>
    <w:p>
      <w:pPr>
        <w:ind w:left="544" w:hanging="544"/>
        <w:spacing w:after="0"/>
        <w:tabs>
          <w:tab w:leader="none" w:pos="544"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0" w:lineRule="exact"/>
        <w:rPr>
          <w:rFonts w:ascii="Times New Roman" w:cs="Times New Roman" w:eastAsia="Times New Roman" w:hAnsi="Times New Roman"/>
          <w:sz w:val="18"/>
          <w:szCs w:val="18"/>
          <w:b w:val="1"/>
          <w:bCs w:val="1"/>
          <w:color w:val="auto"/>
        </w:rPr>
      </w:pPr>
    </w:p>
    <w:p>
      <w:pPr>
        <w:ind w:left="1184" w:right="100" w:hanging="648"/>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other legal entity that, directly or indirectly, is controlled by Volvo Car Corporation or Polestar Holding AB;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w:t>
      </w:r>
    </w:p>
    <w:p>
      <w:pPr>
        <w:spacing w:after="0" w:line="81" w:lineRule="exact"/>
        <w:rPr>
          <w:rFonts w:ascii="Times New Roman" w:cs="Times New Roman" w:eastAsia="Times New Roman" w:hAnsi="Times New Roman"/>
          <w:sz w:val="18"/>
          <w:szCs w:val="18"/>
          <w:b w:val="1"/>
          <w:bCs w:val="1"/>
          <w:color w:val="auto"/>
        </w:rPr>
      </w:pPr>
    </w:p>
    <w:p>
      <w:pPr>
        <w:ind w:left="1184" w:right="4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Base Warranty</w:t>
      </w:r>
      <w:r>
        <w:rPr>
          <w:rFonts w:ascii="Times New Roman" w:cs="Times New Roman" w:eastAsia="Times New Roman" w:hAnsi="Times New Roman"/>
          <w:sz w:val="18"/>
          <w:szCs w:val="18"/>
          <w:color w:val="auto"/>
        </w:rPr>
        <w:t>” means the standard warranty in place for the sale of new Polestar cars as per Polestar’s standard terms and conditions for the prevailing number of years of warranty that the Distributor provides for new Polestar cars.</w:t>
      </w:r>
    </w:p>
    <w:p>
      <w:pPr>
        <w:spacing w:after="0" w:line="60" w:lineRule="exact"/>
        <w:rPr>
          <w:rFonts w:ascii="Times New Roman" w:cs="Times New Roman" w:eastAsia="Times New Roman" w:hAnsi="Times New Roman"/>
          <w:sz w:val="18"/>
          <w:szCs w:val="18"/>
          <w:b w:val="1"/>
          <w:bCs w:val="1"/>
          <w:color w:val="auto"/>
        </w:rPr>
      </w:pPr>
    </w:p>
    <w:p>
      <w:pPr>
        <w:ind w:left="1184" w:right="22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non-public information regarding the Parties and their respective businesses, whether commercial or technical, in whatever form or media, including but not limited to the existence, content and subject matter of this Importer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Importer Agreement.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 | Page</w:t>
      </w:r>
    </w:p>
    <w:p>
      <w:pPr>
        <w:sectPr>
          <w:pgSz w:w="11900" w:h="16838" w:orient="portrait"/>
          <w:cols w:equalWidth="0" w:num="1">
            <w:col w:w="11024"/>
          </w:cols>
          <w:pgMar w:left="436" w:top="270" w:right="4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4"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“Distributor</w:t>
      </w:r>
      <w:r>
        <w:rPr>
          <w:rFonts w:ascii="Times New Roman" w:cs="Times New Roman" w:eastAsia="Times New Roman" w:hAnsi="Times New Roman"/>
          <w:sz w:val="17"/>
          <w:szCs w:val="17"/>
          <w:color w:val="auto"/>
        </w:rPr>
        <w:t>” means Polestar Automotive USA Inc., a wholly owned subsidiary of Seller.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Extended Service Plan</w:t>
      </w:r>
      <w:r>
        <w:rPr>
          <w:rFonts w:ascii="Times New Roman" w:cs="Times New Roman" w:eastAsia="Times New Roman" w:hAnsi="Times New Roman"/>
          <w:sz w:val="17"/>
          <w:szCs w:val="17"/>
          <w:color w:val="auto"/>
        </w:rPr>
        <w:t>” (ESP) means an extension of the Base Warranty with one or two years.</w:t>
      </w:r>
    </w:p>
    <w:p>
      <w:pPr>
        <w:spacing w:after="0" w:line="131" w:lineRule="exact"/>
        <w:rPr>
          <w:sz w:val="20"/>
          <w:szCs w:val="20"/>
          <w:color w:val="auto"/>
        </w:rPr>
      </w:pPr>
    </w:p>
    <w:p>
      <w:pPr>
        <w:ind w:left="1184" w:right="34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Warranty</w:t>
      </w:r>
      <w:r>
        <w:rPr>
          <w:rFonts w:ascii="Times New Roman" w:cs="Times New Roman" w:eastAsia="Times New Roman" w:hAnsi="Times New Roman"/>
          <w:sz w:val="18"/>
          <w:szCs w:val="18"/>
          <w:color w:val="auto"/>
        </w:rPr>
        <w:t>” means the extended warranty in place for the sale of new Polestar cars for the prevailing number of years of warranty that the Distributor provides for new Polestar cars sales with an extended warranty.</w:t>
      </w:r>
    </w:p>
    <w:p>
      <w:pPr>
        <w:spacing w:after="0" w:line="60" w:lineRule="exact"/>
        <w:rPr>
          <w:sz w:val="20"/>
          <w:szCs w:val="20"/>
          <w:color w:val="auto"/>
        </w:rPr>
      </w:pPr>
    </w:p>
    <w:p>
      <w:pPr>
        <w:ind w:left="1184" w:right="140" w:hanging="647"/>
        <w:spacing w:after="0" w:line="268" w:lineRule="auto"/>
        <w:tabs>
          <w:tab w:leader="none" w:pos="116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 Service Action</w:t>
      </w:r>
      <w:r>
        <w:rPr>
          <w:rFonts w:ascii="Times New Roman" w:cs="Times New Roman" w:eastAsia="Times New Roman" w:hAnsi="Times New Roman"/>
          <w:sz w:val="18"/>
          <w:szCs w:val="18"/>
          <w:color w:val="auto"/>
        </w:rPr>
        <w:t>” means repairs resulting from safety recall campaigns for specific defaults that could influence vehicle’s safety, and repairs or damages resulting from premature deterioration of parts condition, which could have a negative impact of Polestar’s image.</w:t>
      </w:r>
    </w:p>
    <w:p>
      <w:pPr>
        <w:spacing w:after="0" w:line="76" w:lineRule="exact"/>
        <w:rPr>
          <w:sz w:val="20"/>
          <w:szCs w:val="20"/>
          <w:color w:val="auto"/>
        </w:rPr>
      </w:pPr>
    </w:p>
    <w:p>
      <w:pPr>
        <w:ind w:left="1184" w:right="28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Goodwill (AWA) Warranty</w:t>
      </w:r>
      <w:r>
        <w:rPr>
          <w:rFonts w:ascii="Times New Roman" w:cs="Times New Roman" w:eastAsia="Times New Roman" w:hAnsi="Times New Roman"/>
          <w:sz w:val="18"/>
          <w:szCs w:val="18"/>
          <w:color w:val="auto"/>
        </w:rPr>
        <w:t>” means the partial or full coverage of repair costs for customer cases where the vehicle Base Warranty has expired. The Goodwill (AWA) Warranty assists to improve customer satisfaction metrics.</w:t>
      </w:r>
    </w:p>
    <w:p>
      <w:pPr>
        <w:spacing w:after="0" w:line="60" w:lineRule="exact"/>
        <w:rPr>
          <w:sz w:val="20"/>
          <w:szCs w:val="20"/>
          <w:color w:val="auto"/>
        </w:rPr>
      </w:pPr>
    </w:p>
    <w:p>
      <w:pPr>
        <w:ind w:left="1184" w:right="520" w:hanging="647"/>
        <w:spacing w:after="0" w:line="286" w:lineRule="auto"/>
        <w:tabs>
          <w:tab w:leader="none" w:pos="116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Polestar Vehicles</w:t>
      </w:r>
      <w:r>
        <w:rPr>
          <w:rFonts w:ascii="Times New Roman" w:cs="Times New Roman" w:eastAsia="Times New Roman" w:hAnsi="Times New Roman"/>
          <w:sz w:val="18"/>
          <w:szCs w:val="18"/>
          <w:color w:val="auto"/>
        </w:rPr>
        <w:t>” means new Polestar branded cars, for resale to Distributor. For the avoidance of doubt, used cars, test cars or pre-series cars are not included.</w:t>
      </w:r>
    </w:p>
    <w:p>
      <w:pPr>
        <w:spacing w:after="0" w:line="60"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United States of America, excluding Puerto Rico.</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 party other than any of the Parties and/or an Affiliate of one of the Parties to this Importer Agreement.</w:t>
      </w:r>
    </w:p>
    <w:p>
      <w:pPr>
        <w:spacing w:after="0" w:line="131" w:lineRule="exact"/>
        <w:rPr>
          <w:sz w:val="20"/>
          <w:szCs w:val="20"/>
          <w:color w:val="auto"/>
        </w:rPr>
      </w:pPr>
    </w:p>
    <w:p>
      <w:pPr>
        <w:ind w:left="1184" w:right="180" w:hanging="647"/>
        <w:spacing w:after="0" w:line="291" w:lineRule="auto"/>
        <w:tabs>
          <w:tab w:leader="none" w:pos="1164"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w:t>
      </w:r>
    </w:p>
    <w:p>
      <w:pPr>
        <w:spacing w:after="0" w:line="58"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Price”</w:t>
      </w:r>
      <w:r>
        <w:rPr>
          <w:rFonts w:ascii="Times New Roman" w:cs="Times New Roman" w:eastAsia="Times New Roman" w:hAnsi="Times New Roman"/>
          <w:sz w:val="17"/>
          <w:szCs w:val="17"/>
          <w:color w:val="auto"/>
        </w:rPr>
        <w:t xml:space="preserve"> means the price at which Seller sells the Polestar Vehicles to Importer.</w:t>
      </w:r>
    </w:p>
    <w:p>
      <w:pPr>
        <w:spacing w:after="0" w:line="131" w:lineRule="exact"/>
        <w:rPr>
          <w:sz w:val="20"/>
          <w:szCs w:val="20"/>
          <w:color w:val="auto"/>
        </w:rPr>
      </w:pPr>
    </w:p>
    <w:p>
      <w:pPr>
        <w:ind w:left="544" w:hanging="544"/>
        <w:spacing w:after="0"/>
        <w:tabs>
          <w:tab w:leader="none" w:pos="544"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134" w:lineRule="exact"/>
        <w:rPr>
          <w:rFonts w:ascii="Times New Roman" w:cs="Times New Roman" w:eastAsia="Times New Roman" w:hAnsi="Times New Roman"/>
          <w:sz w:val="18"/>
          <w:szCs w:val="18"/>
          <w:b w:val="1"/>
          <w:bCs w:val="1"/>
          <w:color w:val="auto"/>
        </w:rPr>
      </w:pPr>
    </w:p>
    <w:p>
      <w:pPr>
        <w:ind w:left="1184" w:right="6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2.1.Seller appoints Importer as an exclusive importer of Polestar Vehicles in the Territory and will supply Polestar Vehicles on the terms set out in this Importer Agreement.</w:t>
      </w:r>
    </w:p>
    <w:p>
      <w:pPr>
        <w:spacing w:after="0" w:line="67" w:lineRule="exact"/>
        <w:rPr>
          <w:rFonts w:ascii="Times New Roman" w:cs="Times New Roman" w:eastAsia="Times New Roman" w:hAnsi="Times New Roman"/>
          <w:sz w:val="18"/>
          <w:szCs w:val="18"/>
          <w:b w:val="1"/>
          <w:bCs w:val="1"/>
          <w:color w:val="auto"/>
        </w:rPr>
      </w:pPr>
    </w:p>
    <w:p>
      <w:pPr>
        <w:ind w:left="1184" w:right="1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2.2.The obligation of Seller to supply Polestar Vehicles may be met by supplying Polestar Vehicles directly from or through any of Seller’s Affiliates.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 of Seller</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color w:val="auto"/>
        </w:rPr>
        <w:t>Seller will sell Polestar Vehicles to Importer on the terms and conditions of this Importer Agreement.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 | Page</w:t>
      </w:r>
    </w:p>
    <w:p>
      <w:pPr>
        <w:sectPr>
          <w:pgSz w:w="11900" w:h="16838" w:orient="portrait"/>
          <w:cols w:equalWidth="0" w:num="1">
            <w:col w:w="11024"/>
          </w:cols>
          <w:pgMar w:left="436" w:top="270" w:right="439" w:bottom="1440" w:gutter="0" w:footer="0" w:header="0"/>
        </w:sectPr>
      </w:pPr>
    </w:p>
    <w:bookmarkStart w:id="361" w:name="page362"/>
    <w:bookmarkEnd w:id="361"/>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ind w:left="1184" w:right="6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Seller will timely, provide all information, documentation and data necessary to ensure compliance with all applicable laws and regulations for import into the Territory.</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Seller will cause Distributor to purchase the Polestar Vehicles from Importer upon entry into the Territory.</w:t>
      </w:r>
    </w:p>
    <w:p>
      <w:pPr>
        <w:spacing w:after="0" w:line="127" w:lineRule="exact"/>
        <w:rPr>
          <w:sz w:val="20"/>
          <w:szCs w:val="20"/>
          <w:color w:val="auto"/>
        </w:rPr>
      </w:pPr>
    </w:p>
    <w:p>
      <w:pPr>
        <w:ind w:left="544" w:hanging="544"/>
        <w:spacing w:after="0"/>
        <w:tabs>
          <w:tab w:leader="none" w:pos="544"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 of Importer</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color w:val="auto"/>
        </w:rPr>
        <w:t>Importer will purchase Polestar Vehicles from Seller on the terms and conditions of this Importer Agreement.</w:t>
      </w:r>
    </w:p>
    <w:p>
      <w:pPr>
        <w:spacing w:after="0" w:line="130" w:lineRule="exact"/>
        <w:rPr>
          <w:rFonts w:ascii="Times New Roman" w:cs="Times New Roman" w:eastAsia="Times New Roman" w:hAnsi="Times New Roman"/>
          <w:sz w:val="18"/>
          <w:szCs w:val="18"/>
          <w:b w:val="1"/>
          <w:bCs w:val="1"/>
          <w:color w:val="auto"/>
        </w:rPr>
      </w:pPr>
    </w:p>
    <w:p>
      <w:pPr>
        <w:ind w:left="1184" w:right="1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4.2.Importer will organize and operate an efficient import process using professional and skilled personnel, reasonably experienced for the services to be performed, in each case according to the same standard of care and professionalism that is done in Importer’s internal business and development projects and will be responsible for importation and customs clearance of Polestar Vehicles.</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undertakings of the Parties</w:t>
      </w:r>
    </w:p>
    <w:p>
      <w:pPr>
        <w:spacing w:after="0" w:line="134" w:lineRule="exact"/>
        <w:rPr>
          <w:rFonts w:ascii="Times New Roman" w:cs="Times New Roman" w:eastAsia="Times New Roman" w:hAnsi="Times New Roman"/>
          <w:sz w:val="18"/>
          <w:szCs w:val="18"/>
          <w:b w:val="1"/>
          <w:bCs w:val="1"/>
          <w:color w:val="auto"/>
        </w:rPr>
      </w:pPr>
    </w:p>
    <w:p>
      <w:pPr>
        <w:ind w:left="1184" w:right="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5.1.Neither Party may, without the express written authority of the other Party, enter into any contract, undertakings, or agreements whatsoever on behalf of the other Party. It is thus understood between the Parties that nothing herein contained will create a relationship of principal and agent or employer and employee between Seller and Importer or any of the Parties’ Affiliates.</w:t>
      </w:r>
    </w:p>
    <w:p>
      <w:pPr>
        <w:spacing w:after="0" w:line="81" w:lineRule="exact"/>
        <w:rPr>
          <w:rFonts w:ascii="Times New Roman" w:cs="Times New Roman" w:eastAsia="Times New Roman" w:hAnsi="Times New Roman"/>
          <w:sz w:val="18"/>
          <w:szCs w:val="18"/>
          <w:b w:val="1"/>
          <w:bCs w:val="1"/>
          <w:color w:val="auto"/>
        </w:rPr>
      </w:pPr>
    </w:p>
    <w:p>
      <w:pPr>
        <w:ind w:left="1184" w:right="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5.2.Neither Party is authorized to accept service of legal process, under any circumstances, on behalf of the other Party. If any legal proceedings are served on a Party due to the arrangements under this Importer Agreement, such Party will immediately inform the other Party of such proceedings.</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Prices and payment</w:t>
      </w:r>
    </w:p>
    <w:p>
      <w:pPr>
        <w:spacing w:after="0" w:line="130" w:lineRule="exact"/>
        <w:rPr>
          <w:rFonts w:ascii="Times New Roman" w:cs="Times New Roman" w:eastAsia="Times New Roman" w:hAnsi="Times New Roman"/>
          <w:sz w:val="18"/>
          <w:szCs w:val="18"/>
          <w:b w:val="1"/>
          <w:bCs w:val="1"/>
          <w:color w:val="auto"/>
        </w:rPr>
      </w:pPr>
    </w:p>
    <w:p>
      <w:pPr>
        <w:ind w:left="1184" w:right="50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6.1.The Parties agree that all prices and compensations for Polestar Vehicles payable by Importer to Seller (“</w:t>
      </w:r>
      <w:r>
        <w:rPr>
          <w:rFonts w:ascii="Times New Roman" w:cs="Times New Roman" w:eastAsia="Times New Roman" w:hAnsi="Times New Roman"/>
          <w:sz w:val="18"/>
          <w:szCs w:val="18"/>
          <w:b w:val="1"/>
          <w:bCs w:val="1"/>
          <w:color w:val="auto"/>
        </w:rPr>
        <w:t>Transfer Price</w:t>
      </w:r>
      <w:r>
        <w:rPr>
          <w:rFonts w:ascii="Times New Roman" w:cs="Times New Roman" w:eastAsia="Times New Roman" w:hAnsi="Times New Roman"/>
          <w:sz w:val="18"/>
          <w:szCs w:val="18"/>
          <w:color w:val="auto"/>
        </w:rPr>
        <w:t>”) will be established on an arm’s length basis as outlined in Appendix A.</w:t>
      </w:r>
    </w:p>
    <w:p>
      <w:pPr>
        <w:spacing w:after="0" w:line="64" w:lineRule="exact"/>
        <w:rPr>
          <w:rFonts w:ascii="Times New Roman" w:cs="Times New Roman" w:eastAsia="Times New Roman" w:hAnsi="Times New Roman"/>
          <w:sz w:val="18"/>
          <w:szCs w:val="18"/>
          <w:b w:val="1"/>
          <w:bCs w:val="1"/>
          <w:color w:val="auto"/>
        </w:rPr>
      </w:pPr>
    </w:p>
    <w:p>
      <w:pPr>
        <w:ind w:left="1184" w:right="4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6.2.The invoice for a Polestar Vehicle shall be issued by the Seller to the Importer when the Polestar Vehicle has been loaded onto the transport vessel at the port of departure, outside the Territory, at the named place referenced on the bill of lading. Invoices may be generated electronically.</w:t>
      </w:r>
    </w:p>
    <w:p>
      <w:pPr>
        <w:spacing w:after="0" w:line="8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7"/>
          <w:szCs w:val="17"/>
          <w:color w:val="auto"/>
        </w:rPr>
        <w:t>The payment terms below will apply unless separately agreed between Seller and Importer.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7"/>
          <w:szCs w:val="17"/>
          <w:color w:val="auto"/>
        </w:rPr>
        <w:t>Importer will pay Seller for the Polestar Vehicles within 60 days of the date of invoice unless otherwise agreed between the Parties.</w:t>
      </w:r>
    </w:p>
    <w:p>
      <w:pPr>
        <w:spacing w:after="0" w:line="130" w:lineRule="exact"/>
        <w:rPr>
          <w:rFonts w:ascii="Times New Roman" w:cs="Times New Roman" w:eastAsia="Times New Roman" w:hAnsi="Times New Roman"/>
          <w:sz w:val="18"/>
          <w:szCs w:val="18"/>
          <w:b w:val="1"/>
          <w:bCs w:val="1"/>
          <w:color w:val="auto"/>
        </w:rPr>
      </w:pPr>
    </w:p>
    <w:p>
      <w:pPr>
        <w:ind w:left="1184" w:right="1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6.5.Payment made later than 15 days after the due date will automatically be subject to interest for late payments for each day it is not paid and the interest shall be based on the one-month applicable interbank rate, depending on invoice and currency, with an addition of two per cent (2.0%) per annum.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 | Page</w:t>
      </w:r>
    </w:p>
    <w:p>
      <w:pPr>
        <w:sectPr>
          <w:pgSz w:w="11900" w:h="16838" w:orient="portrait"/>
          <w:cols w:equalWidth="0" w:num="1">
            <w:col w:w="11024"/>
          </w:cols>
          <w:pgMar w:left="436" w:top="270" w:right="439" w:bottom="1440" w:gutter="0" w:footer="0" w:header="0"/>
        </w:sectPr>
      </w:pPr>
    </w:p>
    <w:bookmarkStart w:id="362" w:name="page363"/>
    <w:bookmarkEnd w:id="362"/>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ind w:left="1184" w:right="26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If Importer is in default in making any payment, Seller may postpone, subject to two weeks prior written notice, its obligations under this Importer Agreement until payment is received. Any postponement or termination of Seller’s obligations under this Importer Agreement will have no effect on Seller’s obligations or commitments under any other agreement between the Parties.</w:t>
      </w:r>
    </w:p>
    <w:p>
      <w:pPr>
        <w:spacing w:after="0" w:line="81" w:lineRule="exact"/>
        <w:rPr>
          <w:sz w:val="20"/>
          <w:szCs w:val="20"/>
          <w:color w:val="auto"/>
        </w:rPr>
      </w:pPr>
    </w:p>
    <w:p>
      <w:pPr>
        <w:ind w:left="1184" w:right="2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However, if Distributor on the other hand, is in default in making payment for purchases of Polestar Vehicles from Importer under the Sales &amp; Purchase Agreement (agreement No. PS22-020), Importer will have the right to withhold payment of the corresponding amount to Seller until such debt has been cleared. For the avoidance of doubt, Seller will under such circumstances not have the right to claim default interest, as specified in Section 6.4 above or terminate this Importer Agreement in accordance with Section 18.3 below.</w:t>
      </w:r>
    </w:p>
    <w:p>
      <w:pPr>
        <w:spacing w:after="0" w:line="85" w:lineRule="exact"/>
        <w:rPr>
          <w:sz w:val="20"/>
          <w:szCs w:val="20"/>
          <w:color w:val="auto"/>
        </w:rPr>
      </w:pPr>
    </w:p>
    <w:p>
      <w:pPr>
        <w:ind w:left="1184" w:right="32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Furthermore, if Distributor’s default described in Section 6.6 above is not resolved within 30 days, Importer will after prior written notice to Seller have the right to postpone its obligations under this Importer Agreement, including, but not limited to, purchasing of additional Polestar Vehicles.</w:t>
      </w:r>
    </w:p>
    <w:p>
      <w:pPr>
        <w:spacing w:after="0" w:line="77" w:lineRule="exact"/>
        <w:rPr>
          <w:sz w:val="20"/>
          <w:szCs w:val="20"/>
          <w:color w:val="auto"/>
        </w:rPr>
      </w:pPr>
    </w:p>
    <w:p>
      <w:pPr>
        <w:ind w:left="544" w:hanging="544"/>
        <w:spacing w:after="0"/>
        <w:tabs>
          <w:tab w:leader="none" w:pos="544"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and documentation</w:t>
      </w:r>
    </w:p>
    <w:p>
      <w:pPr>
        <w:spacing w:after="0" w:line="134" w:lineRule="exact"/>
        <w:rPr>
          <w:rFonts w:ascii="Times New Roman" w:cs="Times New Roman" w:eastAsia="Times New Roman" w:hAnsi="Times New Roman"/>
          <w:sz w:val="18"/>
          <w:szCs w:val="18"/>
          <w:b w:val="1"/>
          <w:bCs w:val="1"/>
          <w:color w:val="auto"/>
        </w:rPr>
      </w:pPr>
    </w:p>
    <w:p>
      <w:pPr>
        <w:ind w:left="1184" w:right="7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7.1.Seller and Importer will supply each other, upon request, with such information and documentation in their possession, as may reasonably be required to verify the financial data relevant to the execution of this Importer Agreement.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terms</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7"/>
          <w:szCs w:val="17"/>
          <w:color w:val="auto"/>
        </w:rPr>
        <w:t>Seller will supply Importer with Polestar Vehicles in accordance with the Transfer Prices specified in Section 6.</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7"/>
          <w:szCs w:val="17"/>
          <w:color w:val="auto"/>
        </w:rPr>
        <w:t>The delivery terms below will apply unless separately agreed between Seller and Importer.</w:t>
      </w:r>
    </w:p>
    <w:p>
      <w:pPr>
        <w:spacing w:after="0" w:line="130"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7"/>
          <w:szCs w:val="17"/>
          <w:color w:val="auto"/>
        </w:rPr>
        <w:t>The delivery terms are CIF, US port of entry, and Incoterms 2020 will be applicable in its entirety.</w:t>
      </w:r>
    </w:p>
    <w:p>
      <w:pPr>
        <w:spacing w:after="0" w:line="130" w:lineRule="exact"/>
        <w:rPr>
          <w:rFonts w:ascii="Times New Roman" w:cs="Times New Roman" w:eastAsia="Times New Roman" w:hAnsi="Times New Roman"/>
          <w:sz w:val="18"/>
          <w:szCs w:val="18"/>
          <w:b w:val="1"/>
          <w:bCs w:val="1"/>
          <w:color w:val="auto"/>
        </w:rPr>
      </w:pPr>
    </w:p>
    <w:p>
      <w:pPr>
        <w:ind w:left="1184"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8.4.The ownership, title, and risk of loss transfer of Polestar Vehicles are from Seller to Importer at the time of invoicing in accordance with Section 6.2.</w:t>
      </w:r>
    </w:p>
    <w:p>
      <w:pPr>
        <w:spacing w:after="0" w:line="67" w:lineRule="exact"/>
        <w:rPr>
          <w:rFonts w:ascii="Times New Roman" w:cs="Times New Roman" w:eastAsia="Times New Roman" w:hAnsi="Times New Roman"/>
          <w:sz w:val="18"/>
          <w:szCs w:val="18"/>
          <w:b w:val="1"/>
          <w:bCs w:val="1"/>
          <w:color w:val="auto"/>
        </w:rPr>
      </w:pPr>
    </w:p>
    <w:p>
      <w:pPr>
        <w:ind w:left="1184" w:right="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8.5.For the avoidance of doubt, Seller will indemnify and hold Importer harmless of any cost, e.g., but not limited to, legal fees, administration, insurance deductables, etc., that might arise in the event any damage to or loss of Polestar Vehicles occurs during the transportation.</w:t>
      </w:r>
    </w:p>
    <w:p>
      <w:pPr>
        <w:spacing w:after="0" w:line="2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 | Page</w:t>
      </w:r>
    </w:p>
    <w:p>
      <w:pPr>
        <w:sectPr>
          <w:pgSz w:w="11900" w:h="16838" w:orient="portrait"/>
          <w:cols w:equalWidth="0" w:num="1">
            <w:col w:w="11024"/>
          </w:cols>
          <w:pgMar w:left="436" w:top="270" w:right="43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4" w:lineRule="exact"/>
        <w:rPr>
          <w:sz w:val="20"/>
          <w:szCs w:val="20"/>
          <w:color w:val="auto"/>
        </w:rPr>
      </w:pPr>
    </w:p>
    <w:p>
      <w:pPr>
        <w:ind w:left="544" w:hanging="544"/>
        <w:spacing w:after="0"/>
        <w:tabs>
          <w:tab w:leader="none" w:pos="54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liability and recalls</w:t>
      </w:r>
    </w:p>
    <w:p>
      <w:pPr>
        <w:spacing w:after="0" w:line="134" w:lineRule="exact"/>
        <w:rPr>
          <w:rFonts w:ascii="Times New Roman" w:cs="Times New Roman" w:eastAsia="Times New Roman" w:hAnsi="Times New Roman"/>
          <w:sz w:val="18"/>
          <w:szCs w:val="18"/>
          <w:b w:val="1"/>
          <w:bCs w:val="1"/>
          <w:color w:val="auto"/>
        </w:rPr>
      </w:pPr>
    </w:p>
    <w:p>
      <w:pPr>
        <w:ind w:left="1184" w:right="8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9.1.Seller will indemnify and hold Importer harmless from any losses, damages, claims, allegations, actions, causes of action, suits, demands, liabilities, judgments, penalties, fees, fines, forfeitures, and expenses incurred in relation to any product liability or other claim by any Third Party arising out of a defect in manufacture, material, workmanship, or design of Polestar Vehicles. Damages include damage to property, death, or personal injury. Expenses include reasonable expenses incurred in defending the claim or in any related investigation or negotiation, court filing fees, court costs, arbitration fees, witness fees, attorney’s and legal fees and disbursements, costs of buybacks and trade assists. Importer will promptly notify Seller of any claims under this section. Importer or its representatives may defend any such claim at Seller’s costs and in collaboration with Seller. At either Party’s request, Seller and/or parties designated by Seller will participate, at Seller’s expense, in the defense of such claim. Any settlement between Importer and such Third Party requires a prior written approval by Seller.</w:t>
      </w:r>
    </w:p>
    <w:p>
      <w:pPr>
        <w:spacing w:after="0" w:line="93" w:lineRule="exact"/>
        <w:rPr>
          <w:rFonts w:ascii="Times New Roman" w:cs="Times New Roman" w:eastAsia="Times New Roman" w:hAnsi="Times New Roman"/>
          <w:sz w:val="18"/>
          <w:szCs w:val="18"/>
          <w:b w:val="1"/>
          <w:bCs w:val="1"/>
          <w:color w:val="auto"/>
        </w:rPr>
      </w:pPr>
    </w:p>
    <w:p>
      <w:pPr>
        <w:ind w:left="1184" w:right="3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9.2.What is stated in Section 9.1 will apply also to a warranty claim, product recall, owner notification or other campaign or similar activities, whether conducted for regulatory or non-regulatory reasons, voluntary campaigns and for recalls that are required by any authority or governmental body i.e., regulatory campaigns.</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Without limiting any of the other obligations or liabilities of Seller under this Importer Agreement, Seller will continuously maintain the insurance outlined below covering Polestar Vehicles.</w:t>
      </w:r>
    </w:p>
    <w:p>
      <w:pPr>
        <w:sectPr>
          <w:pgSz w:w="11900" w:h="16838" w:orient="portrait"/>
          <w:cols w:equalWidth="0" w:num="1">
            <w:col w:w="11024"/>
          </w:cols>
          <w:pgMar w:left="436" w:top="270" w:right="439" w:bottom="1440" w:gutter="0" w:footer="0" w:header="0"/>
        </w:sectPr>
      </w:pPr>
    </w:p>
    <w:p>
      <w:pPr>
        <w:spacing w:after="0" w:line="182"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4"/>
          <w:szCs w:val="14"/>
          <w:b w:val="1"/>
          <w:bCs w:val="1"/>
          <w:color w:val="auto"/>
        </w:rPr>
        <w:t>Insurance Coverage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Minimum Limit</w:t>
      </w:r>
    </w:p>
    <w:p>
      <w:pPr>
        <w:spacing w:after="0" w:line="102" w:lineRule="exact"/>
        <w:rPr>
          <w:sz w:val="20"/>
          <w:szCs w:val="20"/>
          <w:color w:val="auto"/>
        </w:rPr>
      </w:pPr>
    </w:p>
    <w:p>
      <w:pPr>
        <w:sectPr>
          <w:pgSz w:w="11900" w:h="16838" w:orient="portrait"/>
          <w:cols w:equalWidth="0" w:num="2">
            <w:col w:w="5024" w:space="720"/>
            <w:col w:w="5280"/>
          </w:cols>
          <w:pgMar w:left="436" w:top="270" w:right="439" w:bottom="1440" w:gutter="0" w:footer="0" w:header="0"/>
          <w:type w:val="continuous"/>
        </w:sectPr>
      </w:pPr>
    </w:p>
    <w:p>
      <w:pPr>
        <w:ind w:left="904"/>
        <w:spacing w:after="0"/>
        <w:rPr>
          <w:sz w:val="20"/>
          <w:szCs w:val="20"/>
          <w:color w:val="auto"/>
        </w:rPr>
      </w:pPr>
      <w:r>
        <w:rPr>
          <w:rFonts w:ascii="Times New Roman" w:cs="Times New Roman" w:eastAsia="Times New Roman" w:hAnsi="Times New Roman"/>
          <w:sz w:val="17"/>
          <w:szCs w:val="17"/>
          <w:color w:val="auto"/>
        </w:rPr>
        <w:t>Commercial General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per claim</w:t>
      </w:r>
    </w:p>
    <w:p>
      <w:pPr>
        <w:spacing w:after="0" w:line="129" w:lineRule="exact"/>
        <w:rPr>
          <w:sz w:val="20"/>
          <w:szCs w:val="20"/>
          <w:color w:val="auto"/>
        </w:rPr>
      </w:pPr>
    </w:p>
    <w:p>
      <w:pPr>
        <w:sectPr>
          <w:pgSz w:w="11900" w:h="16838" w:orient="portrait"/>
          <w:cols w:equalWidth="0" w:num="2">
            <w:col w:w="5024" w:space="720"/>
            <w:col w:w="5280"/>
          </w:cols>
          <w:pgMar w:left="436" w:top="270" w:right="439" w:bottom="1440" w:gutter="0" w:footer="0" w:header="0"/>
          <w:type w:val="continuous"/>
        </w:sectPr>
      </w:pPr>
    </w:p>
    <w:p>
      <w:pPr>
        <w:ind w:left="904"/>
        <w:spacing w:after="0"/>
        <w:rPr>
          <w:sz w:val="20"/>
          <w:szCs w:val="20"/>
          <w:color w:val="auto"/>
        </w:rPr>
      </w:pPr>
      <w:r>
        <w:rPr>
          <w:rFonts w:ascii="Times New Roman" w:cs="Times New Roman" w:eastAsia="Times New Roman" w:hAnsi="Times New Roman"/>
          <w:sz w:val="17"/>
          <w:szCs w:val="17"/>
          <w:color w:val="auto"/>
        </w:rPr>
        <w:t>Product Liability Insurance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per claim and year.</w:t>
      </w:r>
    </w:p>
    <w:p>
      <w:pPr>
        <w:spacing w:after="0" w:line="129" w:lineRule="exact"/>
        <w:rPr>
          <w:sz w:val="20"/>
          <w:szCs w:val="20"/>
          <w:color w:val="auto"/>
        </w:rPr>
      </w:pPr>
    </w:p>
    <w:p>
      <w:pPr>
        <w:sectPr>
          <w:pgSz w:w="11900" w:h="16838" w:orient="portrait"/>
          <w:cols w:equalWidth="0" w:num="2">
            <w:col w:w="5024" w:space="720"/>
            <w:col w:w="5280"/>
          </w:cols>
          <w:pgMar w:left="436" w:top="270" w:right="439" w:bottom="1440" w:gutter="0" w:footer="0" w:header="0"/>
          <w:type w:val="continuous"/>
        </w:sectPr>
      </w:pPr>
    </w:p>
    <w:p>
      <w:pPr>
        <w:ind w:left="904"/>
        <w:spacing w:after="0"/>
        <w:rPr>
          <w:sz w:val="20"/>
          <w:szCs w:val="20"/>
          <w:color w:val="auto"/>
        </w:rPr>
      </w:pPr>
      <w:r>
        <w:rPr>
          <w:rFonts w:ascii="Times New Roman" w:cs="Times New Roman" w:eastAsia="Times New Roman" w:hAnsi="Times New Roman"/>
          <w:sz w:val="18"/>
          <w:szCs w:val="18"/>
          <w:color w:val="auto"/>
        </w:rPr>
        <w:t>Additional requirements for Seller’s insurance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800" w:hanging="116"/>
        <w:spacing w:after="0" w:line="282" w:lineRule="auto"/>
        <w:rPr>
          <w:sz w:val="20"/>
          <w:szCs w:val="20"/>
          <w:color w:val="auto"/>
        </w:rPr>
      </w:pPr>
      <w:r>
        <w:rPr>
          <w:rFonts w:ascii="Times New Roman" w:cs="Times New Roman" w:eastAsia="Times New Roman" w:hAnsi="Times New Roman"/>
          <w:sz w:val="18"/>
          <w:szCs w:val="18"/>
          <w:color w:val="auto"/>
        </w:rPr>
        <w:t>   Waive all rights of recovery under subrogation, set-off, or counterclaim against Importer</w:t>
      </w:r>
    </w:p>
    <w:p>
      <w:pPr>
        <w:spacing w:after="0" w:line="67" w:lineRule="exact"/>
        <w:rPr>
          <w:sz w:val="20"/>
          <w:szCs w:val="20"/>
          <w:color w:val="auto"/>
        </w:rPr>
      </w:pPr>
    </w:p>
    <w:p>
      <w:pPr>
        <w:sectPr>
          <w:pgSz w:w="11900" w:h="16838" w:orient="portrait"/>
          <w:cols w:equalWidth="0" w:num="3">
            <w:col w:w="5024" w:space="720"/>
            <w:col w:w="100" w:space="260"/>
            <w:col w:w="4920"/>
          </w:cols>
          <w:pgMar w:left="436" w:top="270" w:right="439" w:bottom="1440" w:gutter="0" w:footer="0" w:header="0"/>
          <w:type w:val="continuous"/>
        </w:sectPr>
      </w:pPr>
    </w:p>
    <w:p>
      <w:pPr>
        <w:ind w:left="5744"/>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500" w:hanging="116"/>
        <w:spacing w:after="0" w:line="282" w:lineRule="auto"/>
        <w:rPr>
          <w:sz w:val="20"/>
          <w:szCs w:val="20"/>
          <w:color w:val="auto"/>
        </w:rPr>
      </w:pPr>
      <w:r>
        <w:rPr>
          <w:rFonts w:ascii="Times New Roman" w:cs="Times New Roman" w:eastAsia="Times New Roman" w:hAnsi="Times New Roman"/>
          <w:sz w:val="18"/>
          <w:szCs w:val="18"/>
          <w:color w:val="auto"/>
        </w:rPr>
        <w:t>   Insurers with a current Standard &amp; Poor’s rating of at least A-and/or Moodys’ rating agency with a rating of at least A3.</w:t>
      </w:r>
    </w:p>
    <w:p>
      <w:pPr>
        <w:spacing w:after="0" w:line="67" w:lineRule="exact"/>
        <w:rPr>
          <w:sz w:val="20"/>
          <w:szCs w:val="20"/>
          <w:color w:val="auto"/>
        </w:rPr>
      </w:pPr>
    </w:p>
    <w:p>
      <w:pPr>
        <w:sectPr>
          <w:pgSz w:w="11900" w:h="16838" w:orient="portrait"/>
          <w:cols w:equalWidth="0" w:num="2">
            <w:col w:w="5844" w:space="260"/>
            <w:col w:w="4920"/>
          </w:cols>
          <w:pgMar w:left="436" w:top="270" w:right="439" w:bottom="1440" w:gutter="0" w:footer="0" w:header="0"/>
          <w:type w:val="continuous"/>
        </w:sectPr>
      </w:pPr>
    </w:p>
    <w:p>
      <w:pPr>
        <w:ind w:left="5744"/>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240" w:hanging="116"/>
        <w:spacing w:after="0" w:line="312" w:lineRule="auto"/>
        <w:rPr>
          <w:sz w:val="20"/>
          <w:szCs w:val="20"/>
          <w:color w:val="auto"/>
        </w:rPr>
      </w:pPr>
      <w:r>
        <w:rPr>
          <w:rFonts w:ascii="Times New Roman" w:cs="Times New Roman" w:eastAsia="Times New Roman" w:hAnsi="Times New Roman"/>
          <w:sz w:val="17"/>
          <w:szCs w:val="17"/>
          <w:color w:val="auto"/>
        </w:rPr>
        <w:t>   Provide Certificate of Insurance to Importer when requested and notify Importer of any material changes affecting this agreement.</w:t>
      </w:r>
    </w:p>
    <w:p>
      <w:pPr>
        <w:spacing w:after="0" w:line="55" w:lineRule="exact"/>
        <w:rPr>
          <w:sz w:val="20"/>
          <w:szCs w:val="20"/>
          <w:color w:val="auto"/>
        </w:rPr>
      </w:pPr>
    </w:p>
    <w:p>
      <w:pPr>
        <w:sectPr>
          <w:pgSz w:w="11900" w:h="16838" w:orient="portrait"/>
          <w:cols w:equalWidth="0" w:num="2">
            <w:col w:w="5844" w:space="260"/>
            <w:col w:w="4920"/>
          </w:cols>
          <w:pgMar w:left="436" w:top="270" w:right="439" w:bottom="1440" w:gutter="0" w:footer="0" w:header="0"/>
          <w:type w:val="continuous"/>
        </w:sectPr>
      </w:pPr>
    </w:p>
    <w:p>
      <w:pPr>
        <w:ind w:left="544" w:hanging="544"/>
        <w:spacing w:after="0"/>
        <w:tabs>
          <w:tab w:leader="none" w:pos="544"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w:t>
      </w:r>
    </w:p>
    <w:p>
      <w:pPr>
        <w:spacing w:after="0" w:line="134" w:lineRule="exact"/>
        <w:rPr>
          <w:rFonts w:ascii="Times New Roman" w:cs="Times New Roman" w:eastAsia="Times New Roman" w:hAnsi="Times New Roman"/>
          <w:sz w:val="18"/>
          <w:szCs w:val="18"/>
          <w:b w:val="1"/>
          <w:bCs w:val="1"/>
          <w:color w:val="auto"/>
        </w:rPr>
      </w:pPr>
    </w:p>
    <w:p>
      <w:pPr>
        <w:ind w:left="1184" w:right="5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Importer acknowledges that it purchases Polestar Vehicles pursuant to this Importer Agreement without Base Warranty, Extended Service Plan (ESP) and Goodwill (AWA) Warranty and will sell the Polestar Vehicles further on to Distributor under the same condition.</w:t>
      </w:r>
    </w:p>
    <w:p>
      <w:pPr>
        <w:spacing w:after="0" w:line="81" w:lineRule="exact"/>
        <w:rPr>
          <w:rFonts w:ascii="Times New Roman" w:cs="Times New Roman" w:eastAsia="Times New Roman" w:hAnsi="Times New Roman"/>
          <w:sz w:val="18"/>
          <w:szCs w:val="18"/>
          <w:b w:val="1"/>
          <w:bCs w:val="1"/>
          <w:color w:val="auto"/>
        </w:rPr>
      </w:pPr>
    </w:p>
    <w:p>
      <w:pPr>
        <w:ind w:left="1184" w:right="5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 Seller acknowledges that it needs to provide Distributor directly with Field Service Action Warranty (Quality campaigns) for the Polestar Vehicles and that any cost incurred by Importer will be compensated by Seller.</w:t>
      </w:r>
    </w:p>
    <w:p>
      <w:pPr>
        <w:spacing w:after="0" w:line="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6 | Page</w:t>
      </w:r>
    </w:p>
    <w:p>
      <w:pPr>
        <w:sectPr>
          <w:pgSz w:w="11900" w:h="16838" w:orient="portrait"/>
          <w:cols w:equalWidth="0" w:num="1">
            <w:col w:w="11024"/>
          </w:cols>
          <w:pgMar w:left="436" w:top="270" w:right="439" w:bottom="1440" w:gutter="0" w:footer="0" w:header="0"/>
          <w:type w:val="continuous"/>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4" w:lineRule="exact"/>
        <w:rPr>
          <w:sz w:val="20"/>
          <w:szCs w:val="20"/>
          <w:color w:val="auto"/>
        </w:rPr>
      </w:pPr>
    </w:p>
    <w:p>
      <w:pPr>
        <w:ind w:left="544" w:hanging="544"/>
        <w:spacing w:after="0"/>
        <w:tabs>
          <w:tab w:leader="none" w:pos="544"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and improvements</w:t>
      </w:r>
    </w:p>
    <w:p>
      <w:pPr>
        <w:spacing w:after="0" w:line="134" w:lineRule="exact"/>
        <w:rPr>
          <w:rFonts w:ascii="Times New Roman" w:cs="Times New Roman" w:eastAsia="Times New Roman" w:hAnsi="Times New Roman"/>
          <w:sz w:val="18"/>
          <w:szCs w:val="18"/>
          <w:b w:val="1"/>
          <w:bCs w:val="1"/>
          <w:color w:val="auto"/>
        </w:rPr>
      </w:pPr>
    </w:p>
    <w:p>
      <w:pPr>
        <w:ind w:left="1184" w:right="4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Seller will have the right to make any changes in or improvements to Polestar Vehicles without incurring any liability or obligations whatsoever and without being required to make any corresponding changes in or improvements to Polestar Vehicles previously manufactured or sold. Such change or improvement will not result in any price increase for already ordered Polestar Vehicles. However, it is Seller’s responsibility that such changes or improvements are documented and approved by the appropriate authorities as may be required to ensure compliance with all applicable regulations for import into the Territory.</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4"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13.1.   The Parties will take any and all necessary measures to comply with the security and confidentiality procedures of the other Party.</w:t>
      </w:r>
    </w:p>
    <w:p>
      <w:pPr>
        <w:spacing w:after="0" w:line="130" w:lineRule="exact"/>
        <w:rPr>
          <w:rFonts w:ascii="Times New Roman" w:cs="Times New Roman" w:eastAsia="Times New Roman" w:hAnsi="Times New Roman"/>
          <w:sz w:val="18"/>
          <w:szCs w:val="18"/>
          <w:b w:val="1"/>
          <w:bCs w:val="1"/>
          <w:color w:val="auto"/>
        </w:rPr>
      </w:pPr>
    </w:p>
    <w:p>
      <w:pPr>
        <w:ind w:left="1184" w:right="2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13.2. All Confidential Information will only be used for the purposes comprised by the fulfilment of this Importer Agreement. Each Party will keep in confidence any Confidential Information obtained in relation to this Importer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w:t>
      </w:r>
    </w:p>
    <w:p>
      <w:pPr>
        <w:spacing w:after="0" w:line="92"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the public domain other than by breach of this undertaking, or by another confidentiality undertaking;</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in the possession of the receiving Party before its receipt from the disclosing Party;</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obtained from a Third Party who is free to divulge the same;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disclosed by mandatory law, court order, lawful government action or applicable stock exchange regulations;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necessary for either Party to utilize its rights and use of its intellectual property rights; or</w:t>
      </w:r>
    </w:p>
    <w:p>
      <w:pPr>
        <w:spacing w:after="0" w:line="130" w:lineRule="exact"/>
        <w:rPr>
          <w:rFonts w:ascii="Times New Roman" w:cs="Times New Roman" w:eastAsia="Times New Roman" w:hAnsi="Times New Roman"/>
          <w:sz w:val="18"/>
          <w:szCs w:val="18"/>
          <w:color w:val="auto"/>
        </w:rPr>
      </w:pPr>
    </w:p>
    <w:p>
      <w:pPr>
        <w:ind w:left="1744" w:right="80" w:hanging="543"/>
        <w:spacing w:after="0" w:line="282" w:lineRule="auto"/>
        <w:tabs>
          <w:tab w:leader="none" w:pos="17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or created by one Party independently of the other, without any part thereof having been developed or created with assistance or information received from the other Party.</w:t>
      </w:r>
    </w:p>
    <w:p>
      <w:pPr>
        <w:spacing w:after="0" w:line="67" w:lineRule="exact"/>
        <w:rPr>
          <w:sz w:val="20"/>
          <w:szCs w:val="20"/>
          <w:color w:val="auto"/>
        </w:rPr>
      </w:pPr>
    </w:p>
    <w:p>
      <w:pPr>
        <w:ind w:left="1184" w:right="60" w:hanging="647"/>
        <w:spacing w:after="0" w:line="258" w:lineRule="auto"/>
        <w:tabs>
          <w:tab w:leader="none" w:pos="116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receiving Party will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will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 | Page</w:t>
      </w:r>
    </w:p>
    <w:p>
      <w:pPr>
        <w:sectPr>
          <w:pgSz w:w="11900" w:h="16838" w:orient="portrait"/>
          <w:cols w:equalWidth="0" w:num="1">
            <w:col w:w="11024"/>
          </w:cols>
          <w:pgMar w:left="436" w:top="270" w:right="439" w:bottom="1440" w:gutter="0" w:footer="0" w:header="0"/>
        </w:sectPr>
      </w:pPr>
    </w:p>
    <w:bookmarkStart w:id="365" w:name="page366"/>
    <w:bookmarkEnd w:id="365"/>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ind w:left="1184" w:right="120" w:hanging="647"/>
        <w:spacing w:after="0" w:line="256" w:lineRule="auto"/>
        <w:tabs>
          <w:tab w:leader="none" w:pos="1164"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Any tangible materials that disclose or embody Confidential Information should be marked by the disclosing Party as “Confidential,” “Proprietary” or the substantial equivalent thereof. Confidential Information that is disclosed orally or visually will be identified by the disclosing Party as confidential at the time of disclosure, with subsequent confirmation in writing within 30 days after disclosure. However, the lack of marking or subsequent confirmation that the disclosed information will be regarded as “Confidential”, “Proprietary” or the substantial equivalent thereof does not disqualify the disclosed information from being classified as Confidential Information.</w:t>
      </w:r>
    </w:p>
    <w:p>
      <w:pPr>
        <w:spacing w:after="0" w:line="93"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If any Party violates any of its obligations described in this Section 13, the violating Party will, upon notification from the other Party,</w:t>
      </w:r>
    </w:p>
    <w:p>
      <w:pPr>
        <w:spacing w:after="0" w:line="27" w:lineRule="exact"/>
        <w:rPr>
          <w:sz w:val="20"/>
          <w:szCs w:val="20"/>
          <w:color w:val="auto"/>
        </w:rPr>
      </w:pPr>
    </w:p>
    <w:p>
      <w:pPr>
        <w:jc w:val="both"/>
        <w:ind w:left="1184" w:right="720" w:firstLine="4"/>
        <w:spacing w:after="0" w:line="255" w:lineRule="auto"/>
        <w:tabs>
          <w:tab w:leader="none" w:pos="139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to proceed such harmful violation and take all actions needed to rectify said behavior and (ii) financially compensate for the harm suffered as determined by an federal or state court pursuant to Section 26.6 below. All legal remedies (compensatory but not punitive in nature) according to law will apply.</w:t>
      </w:r>
    </w:p>
    <w:p>
      <w:pPr>
        <w:spacing w:after="0" w:line="9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This confidentiality provision will survive the expiration or termination of this Importer Agreement without limitation in time.</w:t>
      </w:r>
    </w:p>
    <w:p>
      <w:pPr>
        <w:spacing w:after="0" w:line="127" w:lineRule="exact"/>
        <w:rPr>
          <w:sz w:val="20"/>
          <w:szCs w:val="20"/>
          <w:color w:val="auto"/>
        </w:rPr>
      </w:pPr>
    </w:p>
    <w:p>
      <w:pPr>
        <w:ind w:left="544" w:hanging="544"/>
        <w:spacing w:after="0"/>
        <w:tabs>
          <w:tab w:leader="none" w:pos="54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Volvo brand name</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For the sake of clarity, it is especially noted that this Importer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w:t>
      </w:r>
    </w:p>
    <w:p>
      <w:pPr>
        <w:spacing w:after="0" w:line="88" w:lineRule="exact"/>
        <w:rPr>
          <w:rFonts w:ascii="Times New Roman" w:cs="Times New Roman" w:eastAsia="Times New Roman" w:hAnsi="Times New Roman"/>
          <w:sz w:val="18"/>
          <w:szCs w:val="18"/>
          <w:b w:val="1"/>
          <w:bCs w:val="1"/>
          <w:color w:val="auto"/>
        </w:rPr>
      </w:pPr>
    </w:p>
    <w:p>
      <w:pPr>
        <w:ind w:left="1184" w:right="2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 This means that this Importer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Polestar brand name.</w:t>
      </w:r>
    </w:p>
    <w:p>
      <w:pPr>
        <w:spacing w:after="0" w:line="134" w:lineRule="exact"/>
        <w:rPr>
          <w:rFonts w:ascii="Times New Roman" w:cs="Times New Roman" w:eastAsia="Times New Roman" w:hAnsi="Times New Roman"/>
          <w:sz w:val="18"/>
          <w:szCs w:val="18"/>
          <w:b w:val="1"/>
          <w:bCs w:val="1"/>
          <w:color w:val="auto"/>
        </w:rPr>
      </w:pPr>
    </w:p>
    <w:p>
      <w:pPr>
        <w:ind w:left="1184" w:right="4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15.1. This Importer Agreement includes the right to use the Polestar brand name or Trademarks, or refer to Polestar for the limited purpose of what is needed to perform Importer’s obligations under this Importer Agreement. When using the Polestar Trademark or Polestar brand name Importer will comply with any instructions or guidelines provided by Seller. For the avoidance of doubt, Importer’s right to use the Polestar brand name or Trademarks when performing its obligations does not constitute a right to use the Polestar brand name or Trademarks for any other activities under this Importer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 | Page</w:t>
      </w:r>
    </w:p>
    <w:p>
      <w:pPr>
        <w:sectPr>
          <w:pgSz w:w="11900" w:h="16838" w:orient="portrait"/>
          <w:cols w:equalWidth="0" w:num="1">
            <w:col w:w="11024"/>
          </w:cols>
          <w:pgMar w:left="436" w:top="270" w:right="439" w:bottom="1440" w:gutter="0" w:footer="0" w:header="0"/>
        </w:sectPr>
      </w:pPr>
    </w:p>
    <w:bookmarkStart w:id="366" w:name="page367"/>
    <w:bookmarkEnd w:id="366"/>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ind w:left="1184" w:right="8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For the avoidance of doubt, this Importer Agreement does not include any other rights to directly or indirectly use the Polestar brand name or Polestar Trademarks, on or for any products outside the scope of this Importer Agreement, or when marketing, promoting and/or selling such products, or in any other contacts with third parties, e.g. in presentations, business cards and correspondence, unless with the prior written consent of Seller.</w:t>
      </w:r>
    </w:p>
    <w:p>
      <w:pPr>
        <w:spacing w:after="0" w:line="81" w:lineRule="exact"/>
        <w:rPr>
          <w:sz w:val="20"/>
          <w:szCs w:val="20"/>
          <w:color w:val="auto"/>
        </w:rPr>
      </w:pPr>
    </w:p>
    <w:p>
      <w:pPr>
        <w:ind w:left="544" w:hanging="544"/>
        <w:spacing w:after="0"/>
        <w:tabs>
          <w:tab w:leader="none" w:pos="544"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Infringement of intellectual property rights</w:t>
      </w:r>
    </w:p>
    <w:p>
      <w:pPr>
        <w:spacing w:after="0" w:line="134" w:lineRule="exact"/>
        <w:rPr>
          <w:rFonts w:ascii="Times New Roman" w:cs="Times New Roman" w:eastAsia="Times New Roman" w:hAnsi="Times New Roman"/>
          <w:sz w:val="18"/>
          <w:szCs w:val="18"/>
          <w:b w:val="1"/>
          <w:bCs w:val="1"/>
          <w:color w:val="auto"/>
        </w:rPr>
      </w:pPr>
    </w:p>
    <w:p>
      <w:pPr>
        <w:ind w:left="1184" w:right="2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16.1. Importer will without undue delay inform Seller of any infringement or suspected infringement in the Territory of Seller’s intellectual property rights.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34" w:lineRule="exact"/>
        <w:rPr>
          <w:rFonts w:ascii="Times New Roman" w:cs="Times New Roman" w:eastAsia="Times New Roman" w:hAnsi="Times New Roman"/>
          <w:sz w:val="18"/>
          <w:szCs w:val="18"/>
          <w:b w:val="1"/>
          <w:bCs w:val="1"/>
          <w:color w:val="auto"/>
        </w:rPr>
      </w:pPr>
    </w:p>
    <w:p>
      <w:pPr>
        <w:ind w:left="1184" w:right="1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17.1. Neither Party will be responsible for delays, losses, or damages due to causes beyond the reasonable control of the Party, including but not limited to industrial disputes, riots, mobs, fires, floods, wars, embargo; shortages of labour, power, fuel, means of transportation, or common lack of other necessities, whether relating to the Parties or their subcontractors; government actions, changes in the law or regulations or orders issued by any government agency or otherwise.</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4" w:lineRule="exact"/>
        <w:rPr>
          <w:rFonts w:ascii="Times New Roman" w:cs="Times New Roman" w:eastAsia="Times New Roman" w:hAnsi="Times New Roman"/>
          <w:sz w:val="18"/>
          <w:szCs w:val="18"/>
          <w:b w:val="1"/>
          <w:bCs w:val="1"/>
          <w:color w:val="auto"/>
        </w:rPr>
      </w:pPr>
    </w:p>
    <w:p>
      <w:pPr>
        <w:ind w:left="1184" w:right="1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 Notwithstanding the date of signature, this Importer Agreement will be considered to have entered into effect on 21 June 2022 and thus ratifies the terms and conditions under which the parties have already accepted and acted upon from the said date. This Importer Agreement will continue until 31 December 2023.</w:t>
      </w:r>
    </w:p>
    <w:p>
      <w:pPr>
        <w:spacing w:after="0" w:line="8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18.2.   Either Party shall be entitled to terminate this Importer Agreement with immediate effect in the event:</w:t>
      </w:r>
    </w:p>
    <w:p>
      <w:pPr>
        <w:spacing w:after="0" w:line="130" w:lineRule="exact"/>
        <w:rPr>
          <w:rFonts w:ascii="Times New Roman" w:cs="Times New Roman" w:eastAsia="Times New Roman" w:hAnsi="Times New Roman"/>
          <w:sz w:val="18"/>
          <w:szCs w:val="18"/>
          <w:b w:val="1"/>
          <w:bCs w:val="1"/>
          <w:color w:val="auto"/>
        </w:rPr>
      </w:pPr>
    </w:p>
    <w:p>
      <w:pPr>
        <w:ind w:left="1744" w:right="60" w:hanging="543"/>
        <w:spacing w:after="0" w:line="282" w:lineRule="auto"/>
        <w:tabs>
          <w:tab w:leader="none" w:pos="174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commits a material breach of the terms of this Importer Agreement, which has not been remedied within 30 days from written notice from the other Party to remedy such breach (if capable of being remedied); or</w:t>
      </w:r>
    </w:p>
    <w:p>
      <w:pPr>
        <w:spacing w:after="0" w:line="67" w:lineRule="exact"/>
        <w:rPr>
          <w:rFonts w:ascii="Times New Roman" w:cs="Times New Roman" w:eastAsia="Times New Roman" w:hAnsi="Times New Roman"/>
          <w:sz w:val="18"/>
          <w:szCs w:val="18"/>
          <w:color w:val="auto"/>
        </w:rPr>
      </w:pPr>
    </w:p>
    <w:p>
      <w:pPr>
        <w:ind w:left="1744" w:right="20" w:hanging="543"/>
        <w:spacing w:after="0" w:line="282" w:lineRule="auto"/>
        <w:tabs>
          <w:tab w:leader="none" w:pos="174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should become insolvent or enter into negotiations on composition with its creditors or a petition in bankruptcy should be filed by it or it should make an assignment for the benefit of its creditors.</w:t>
      </w:r>
    </w:p>
    <w:p>
      <w:pPr>
        <w:spacing w:after="0" w:line="67" w:lineRule="exact"/>
        <w:rPr>
          <w:sz w:val="20"/>
          <w:szCs w:val="20"/>
          <w:color w:val="auto"/>
        </w:rPr>
      </w:pPr>
    </w:p>
    <w:p>
      <w:pPr>
        <w:ind w:left="1184" w:right="1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For avoidance of doubt, Importer not paying Seller for the Polestar Vehicles, without legitimate reasons for withholding payment, shall be considered in material breach for the purpose of this Importer Agreement.</w:t>
      </w:r>
    </w:p>
    <w:p>
      <w:pPr>
        <w:spacing w:after="0" w:line="67" w:lineRule="exact"/>
        <w:rPr>
          <w:sz w:val="20"/>
          <w:szCs w:val="20"/>
          <w:color w:val="auto"/>
        </w:rPr>
      </w:pPr>
    </w:p>
    <w:p>
      <w:pPr>
        <w:ind w:left="1184" w:right="1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Seller or Importer may, by giving the other party at least a six (6) month prior written notice, terminate this Importer Agreement at the end of the calendar year following the end of such notice period.</w:t>
      </w:r>
    </w:p>
    <w:p>
      <w:pPr>
        <w:spacing w:after="0" w:line="67"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The party providing notice in accordance with Section 18.4 herein will not be required to provide reasons for its decision to terminate this Importer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 | Page</w:t>
      </w:r>
    </w:p>
    <w:p>
      <w:pPr>
        <w:sectPr>
          <w:pgSz w:w="11900" w:h="16838" w:orient="portrait"/>
          <w:cols w:equalWidth="0" w:num="1">
            <w:col w:w="11024"/>
          </w:cols>
          <w:pgMar w:left="436" w:top="270" w:right="439" w:bottom="1440" w:gutter="0" w:footer="0" w:header="0"/>
        </w:sectPr>
      </w:pPr>
    </w:p>
    <w:bookmarkStart w:id="367" w:name="page368"/>
    <w:bookmarkEnd w:id="367"/>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ind w:left="1184" w:right="3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If notice has been given in accordance with Section 18.4 herein, this Importer Agreement will automatically expire at the end of the calendar year following the relevant period, without any possibility of tacit renewal or the need for a court intervention. The party providing notice pursuant to Section 18.4 hereof will not for that reason incur any liability including, without limitation, goodwill payments, indemnities for loss of profit or of clientele, or compensation for investments made.</w:t>
      </w:r>
    </w:p>
    <w:p>
      <w:pPr>
        <w:spacing w:after="0" w:line="85" w:lineRule="exact"/>
        <w:rPr>
          <w:sz w:val="20"/>
          <w:szCs w:val="20"/>
          <w:color w:val="auto"/>
        </w:rPr>
      </w:pPr>
    </w:p>
    <w:p>
      <w:pPr>
        <w:ind w:left="1184" w:right="8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In addition, either Party will have the right to terminate this Importer Agreement upon 30 days’ written notice in the event of force majeure (as described in Section 17 above) which causes major disturbance, during more than 30 days, to the operative and/or financial conditions which this Importer Agreement is based on.</w:t>
      </w:r>
    </w:p>
    <w:p>
      <w:pPr>
        <w:spacing w:after="0" w:line="77" w:lineRule="exact"/>
        <w:rPr>
          <w:sz w:val="20"/>
          <w:szCs w:val="20"/>
          <w:color w:val="auto"/>
        </w:rPr>
      </w:pPr>
    </w:p>
    <w:p>
      <w:pPr>
        <w:ind w:left="544" w:hanging="544"/>
        <w:spacing w:after="0"/>
        <w:tabs>
          <w:tab w:leader="none" w:pos="544"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w:t>
      </w:r>
    </w:p>
    <w:p>
      <w:pPr>
        <w:spacing w:after="0" w:line="134" w:lineRule="exact"/>
        <w:rPr>
          <w:rFonts w:ascii="Times New Roman" w:cs="Times New Roman" w:eastAsia="Times New Roman" w:hAnsi="Times New Roman"/>
          <w:sz w:val="18"/>
          <w:szCs w:val="18"/>
          <w:b w:val="1"/>
          <w:bCs w:val="1"/>
          <w:color w:val="auto"/>
        </w:rPr>
      </w:pPr>
    </w:p>
    <w:p>
      <w:pPr>
        <w:ind w:left="1184" w:right="2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19.1. Obligations concerning payments due and obligations expressly or by their nature intended to survive the termination of this Importer Agreement, will so survive.</w:t>
      </w:r>
    </w:p>
    <w:p>
      <w:pPr>
        <w:spacing w:after="0" w:line="67"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19.2.   No compensation for goodwill or investments made by Importer can be claimed by reason of termination of this Importer Agreement.</w:t>
      </w:r>
    </w:p>
    <w:p>
      <w:pPr>
        <w:spacing w:after="0" w:line="130" w:lineRule="exact"/>
        <w:rPr>
          <w:rFonts w:ascii="Times New Roman" w:cs="Times New Roman" w:eastAsia="Times New Roman" w:hAnsi="Times New Roman"/>
          <w:sz w:val="18"/>
          <w:szCs w:val="18"/>
          <w:b w:val="1"/>
          <w:bCs w:val="1"/>
          <w:color w:val="auto"/>
        </w:rPr>
      </w:pPr>
    </w:p>
    <w:p>
      <w:pPr>
        <w:ind w:left="1184" w:right="56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19.3. On termination of this Importer Agreement, Seller may repurchase at the price set between Importer and Distributor any Polestar Vehicles owned by Importer.</w:t>
      </w:r>
    </w:p>
    <w:p>
      <w:pPr>
        <w:spacing w:after="0" w:line="67" w:lineRule="exact"/>
        <w:rPr>
          <w:rFonts w:ascii="Times New Roman" w:cs="Times New Roman" w:eastAsia="Times New Roman" w:hAnsi="Times New Roman"/>
          <w:sz w:val="18"/>
          <w:szCs w:val="18"/>
          <w:b w:val="1"/>
          <w:bCs w:val="1"/>
          <w:color w:val="auto"/>
        </w:rPr>
      </w:pPr>
    </w:p>
    <w:p>
      <w:pPr>
        <w:ind w:left="1184" w:right="1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19.4. Termination of this Importer Agreement will relieve the Parties of any other obligations or commitments it may have to the other Party in any other agreement or understanding between the parties that is depending on the fulfillment of either Party’s obligations under this Importer Agreement.</w:t>
      </w:r>
    </w:p>
    <w:p>
      <w:pPr>
        <w:spacing w:after="0" w:line="81" w:lineRule="exact"/>
        <w:rPr>
          <w:rFonts w:ascii="Times New Roman" w:cs="Times New Roman" w:eastAsia="Times New Roman" w:hAnsi="Times New Roman"/>
          <w:sz w:val="18"/>
          <w:szCs w:val="18"/>
          <w:b w:val="1"/>
          <w:bCs w:val="1"/>
          <w:color w:val="auto"/>
        </w:rPr>
      </w:pPr>
    </w:p>
    <w:p>
      <w:pPr>
        <w:ind w:left="1184" w:right="1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19.5. Notwithstanding what is stated above in this Section 19, if this Importer Agreement is terminated or expires pursuant to Section 18 above, Section 9 (Product liability and recalls), Section 13 (Confidentiality), Section 16 (Infringement of intellectual property rights), Section 25 (Governing law), Section 26 (Dispute Resolution) as well as this Section 19, shall survive any termination or expiration and remain in force as between the Parties after such termination or expiration.</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Waiver, Severability</w:t>
      </w:r>
    </w:p>
    <w:p>
      <w:pPr>
        <w:spacing w:after="0" w:line="134" w:lineRule="exact"/>
        <w:rPr>
          <w:rFonts w:ascii="Times New Roman" w:cs="Times New Roman" w:eastAsia="Times New Roman" w:hAnsi="Times New Roman"/>
          <w:sz w:val="18"/>
          <w:szCs w:val="18"/>
          <w:b w:val="1"/>
          <w:bCs w:val="1"/>
          <w:color w:val="auto"/>
        </w:rPr>
      </w:pPr>
    </w:p>
    <w:p>
      <w:pPr>
        <w:ind w:left="1184" w:right="32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 No amendment, supplement, or variation of this Importer Agreement will be binding unless agreed upon by the Parties in writing. A waiver of any default is not a waiver of any later default and will not affect the validity of this Importer Agreement. Unenforceable terms of this Importer Agreement will be modified to reflect the Parties’ intention and only to the extent necessary to make them enforceable. The other terms will remain in effect without change.</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and conflicts</w:t>
      </w:r>
    </w:p>
    <w:p>
      <w:pPr>
        <w:spacing w:after="0" w:line="134" w:lineRule="exact"/>
        <w:rPr>
          <w:rFonts w:ascii="Times New Roman" w:cs="Times New Roman" w:eastAsia="Times New Roman" w:hAnsi="Times New Roman"/>
          <w:sz w:val="18"/>
          <w:szCs w:val="18"/>
          <w:b w:val="1"/>
          <w:bCs w:val="1"/>
          <w:color w:val="auto"/>
        </w:rPr>
      </w:pPr>
    </w:p>
    <w:p>
      <w:pPr>
        <w:ind w:left="1184" w:right="3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21.1. This Importer Agreement supersedes all previous representations, understandings or agreements, oral or written, between the parties with respect to the subject matter hereof, and together with the agreements and documents contemplated hereby contains the entire understanding for the Parties as to the terms and conditions of their relationship.</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 | Page</w:t>
      </w:r>
    </w:p>
    <w:p>
      <w:pPr>
        <w:sectPr>
          <w:pgSz w:w="11900" w:h="16838" w:orient="portrait"/>
          <w:cols w:equalWidth="0" w:num="1">
            <w:col w:w="11024"/>
          </w:cols>
          <w:pgMar w:left="436" w:top="270" w:right="4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4" w:lineRule="exact"/>
        <w:rPr>
          <w:sz w:val="20"/>
          <w:szCs w:val="20"/>
          <w:color w:val="auto"/>
        </w:rPr>
      </w:pPr>
    </w:p>
    <w:p>
      <w:pPr>
        <w:ind w:left="544" w:hanging="544"/>
        <w:spacing w:after="0"/>
        <w:tabs>
          <w:tab w:leader="none" w:pos="544"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34" w:lineRule="exact"/>
        <w:rPr>
          <w:rFonts w:ascii="Times New Roman" w:cs="Times New Roman" w:eastAsia="Times New Roman" w:hAnsi="Times New Roman"/>
          <w:sz w:val="18"/>
          <w:szCs w:val="18"/>
          <w:b w:val="1"/>
          <w:bCs w:val="1"/>
          <w:color w:val="auto"/>
        </w:rPr>
      </w:pPr>
    </w:p>
    <w:p>
      <w:pPr>
        <w:ind w:left="1184" w:right="26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22.1. Neither Party may assign any of its rights or obligations under this Importer Agreement without the prior written consent of the other Party.</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4" w:lineRule="exact"/>
        <w:rPr>
          <w:rFonts w:ascii="Times New Roman" w:cs="Times New Roman" w:eastAsia="Times New Roman" w:hAnsi="Times New Roman"/>
          <w:sz w:val="18"/>
          <w:szCs w:val="18"/>
          <w:b w:val="1"/>
          <w:bCs w:val="1"/>
          <w:color w:val="auto"/>
        </w:rPr>
      </w:pPr>
    </w:p>
    <w:p>
      <w:pPr>
        <w:ind w:left="1184" w:right="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23.1. Any formal notices under this Importer Agreement, including without limitation, notices of breach or termination, required or otherwise given under this Importer Agreement will be given in writing. The notices must, as the case requires, be addressed to the party to be notified at the following addresses and/or appropriate email addresses:</w:t>
      </w:r>
    </w:p>
    <w:p>
      <w:pPr>
        <w:spacing w:after="0" w:line="6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To Seller:</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Polestar Performance AB</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405 31 Gothenburg</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address: legal@polestar.com</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To Importer:</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USA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1800 Volvo Place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Mahwah, NJ 07430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USA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 and</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Volvo Car USA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 [***]</w:t>
      </w:r>
    </w:p>
    <w:p>
      <w:pPr>
        <w:spacing w:after="0" w:line="108" w:lineRule="exact"/>
        <w:rPr>
          <w:sz w:val="20"/>
          <w:szCs w:val="20"/>
          <w:color w:val="auto"/>
        </w:rPr>
      </w:pPr>
    </w:p>
    <w:p>
      <w:pPr>
        <w:ind w:left="544" w:hanging="544"/>
        <w:spacing w:after="0"/>
        <w:tabs>
          <w:tab w:leader="none" w:pos="544"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 and governance forums</w:t>
      </w:r>
    </w:p>
    <w:p>
      <w:pPr>
        <w:spacing w:after="0" w:line="134" w:lineRule="exact"/>
        <w:rPr>
          <w:rFonts w:ascii="Times New Roman" w:cs="Times New Roman" w:eastAsia="Times New Roman" w:hAnsi="Times New Roman"/>
          <w:sz w:val="18"/>
          <w:szCs w:val="18"/>
          <w:b w:val="1"/>
          <w:bCs w:val="1"/>
          <w:color w:val="auto"/>
        </w:rPr>
      </w:pPr>
    </w:p>
    <w:p>
      <w:pPr>
        <w:ind w:left="1184" w:right="1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24.1. The Parties will act in good faith in all matters and will at all times co-operate in respect of changes to this Importer Agreement as well as issues and/or disputes arising under this Importer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 | Page</w:t>
      </w:r>
    </w:p>
    <w:p>
      <w:pPr>
        <w:sectPr>
          <w:pgSz w:w="11900" w:h="16838" w:orient="portrait"/>
          <w:cols w:equalWidth="0" w:num="1">
            <w:col w:w="11024"/>
          </w:cols>
          <w:pgMar w:left="436" w:top="270" w:right="439" w:bottom="1440" w:gutter="0" w:footer="0" w:header="0"/>
        </w:sectPr>
      </w:pPr>
    </w:p>
    <w:bookmarkStart w:id="369" w:name="page370"/>
    <w:bookmarkEnd w:id="369"/>
    <w:p>
      <w:pPr>
        <w:ind w:left="10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ind w:left="1184" w:right="14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governance and co-operation between the Parties in respect of this Importer Agreement will primarily be administered on an operational level. In the event the Parties on an operational level cannot agree upon inter alia the prioritization of activities or other aspects relating to the co-operation between the Parties, each Party will be entitled to escalate such issue to the Steering Committee (as defined below in this Section 24).</w:t>
      </w:r>
    </w:p>
    <w:p>
      <w:pPr>
        <w:spacing w:after="0" w:line="85" w:lineRule="exact"/>
        <w:rPr>
          <w:sz w:val="20"/>
          <w:szCs w:val="20"/>
          <w:color w:val="auto"/>
        </w:rPr>
      </w:pPr>
    </w:p>
    <w:p>
      <w:pPr>
        <w:ind w:left="1184" w:right="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If the Steering Committee fails to agree upon a solution of the disagreement the relevant issue should be escalated to the Strategic Board (as defined below in this Section 24) for decision.</w:t>
      </w:r>
    </w:p>
    <w:p>
      <w:pPr>
        <w:spacing w:after="0" w:line="67" w:lineRule="exact"/>
        <w:rPr>
          <w:sz w:val="20"/>
          <w:szCs w:val="20"/>
          <w:color w:val="auto"/>
        </w:rPr>
      </w:pPr>
    </w:p>
    <w:p>
      <w:pPr>
        <w:ind w:left="1184" w:right="120" w:hanging="647"/>
        <w:spacing w:after="0" w:line="258" w:lineRule="auto"/>
        <w:tabs>
          <w:tab w:leader="none" w:pos="1164"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Above the operational level, the next level of governance forum for handling the co-operation between the Parties in various matters, handling management, prioritization of activities etc. under the Importer Agreement will be the “</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which regarding cooperation between Seller and Importer is the so-called Volvo Polestar Business Steering Committee. The Steering Committee will be the first level of governance forum established by the Parties to which an issue will be escalated if the Parties fail to agree upon a solution on the operational level.</w:t>
      </w:r>
    </w:p>
    <w:p>
      <w:pPr>
        <w:spacing w:after="0" w:line="89" w:lineRule="exact"/>
        <w:rPr>
          <w:sz w:val="20"/>
          <w:szCs w:val="20"/>
          <w:color w:val="auto"/>
        </w:rPr>
      </w:pPr>
    </w:p>
    <w:p>
      <w:pPr>
        <w:ind w:left="1184" w:right="1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The higher level of governance forum, to which an issue will be escalated if the Steering Committee fails to agree upon a solution will be the “</w:t>
      </w:r>
      <w:r>
        <w:rPr>
          <w:rFonts w:ascii="Times New Roman" w:cs="Times New Roman" w:eastAsia="Times New Roman" w:hAnsi="Times New Roman"/>
          <w:sz w:val="18"/>
          <w:szCs w:val="18"/>
          <w:b w:val="1"/>
          <w:bCs w:val="1"/>
          <w:color w:val="auto"/>
        </w:rPr>
        <w:t>Strategic Board</w:t>
      </w:r>
      <w:r>
        <w:rPr>
          <w:rFonts w:ascii="Times New Roman" w:cs="Times New Roman" w:eastAsia="Times New Roman" w:hAnsi="Times New Roman"/>
          <w:sz w:val="18"/>
          <w:szCs w:val="18"/>
          <w:color w:val="auto"/>
        </w:rPr>
        <w:t>”, which regarding cooperation between Seller and Importer is the so-called Volvo Polestar Executive Alignment Meeting. The Strategic Board will be the highest level of governance forum established by the Parties for handling the cooperation between them in respect of various matters.</w:t>
      </w:r>
    </w:p>
    <w:p>
      <w:pPr>
        <w:spacing w:after="0" w:line="81" w:lineRule="exact"/>
        <w:rPr>
          <w:sz w:val="20"/>
          <w:szCs w:val="20"/>
          <w:color w:val="auto"/>
        </w:rPr>
      </w:pPr>
    </w:p>
    <w:p>
      <w:pPr>
        <w:ind w:left="544" w:hanging="544"/>
        <w:spacing w:after="0"/>
        <w:tabs>
          <w:tab w:leader="none" w:pos="544"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34" w:lineRule="exact"/>
        <w:rPr>
          <w:rFonts w:ascii="Times New Roman" w:cs="Times New Roman" w:eastAsia="Times New Roman" w:hAnsi="Times New Roman"/>
          <w:sz w:val="18"/>
          <w:szCs w:val="18"/>
          <w:b w:val="1"/>
          <w:bCs w:val="1"/>
          <w:color w:val="auto"/>
        </w:rPr>
      </w:pPr>
    </w:p>
    <w:p>
      <w:pPr>
        <w:ind w:left="1184" w:right="14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25.1. This Importer Agreement and all non-contractual obligations in connection with this Importer Agreement will be governed by the substantive laws of the United States of America, to the extent that national law controls, and the State of New Jersey to the extent that local law controls, without giving regard to its conflict of laws principles.</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134" w:lineRule="exact"/>
        <w:rPr>
          <w:rFonts w:ascii="Times New Roman" w:cs="Times New Roman" w:eastAsia="Times New Roman" w:hAnsi="Times New Roman"/>
          <w:sz w:val="18"/>
          <w:szCs w:val="18"/>
          <w:b w:val="1"/>
          <w:bCs w:val="1"/>
          <w:color w:val="auto"/>
        </w:rPr>
      </w:pPr>
    </w:p>
    <w:p>
      <w:pPr>
        <w:ind w:left="1184" w:right="20" w:hanging="648"/>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26.1. In case the Parties cannot agree on a joint solution for handling disagreements or disputes, a deadlock situation will be deemed to have occurred and each Party will notify the other Party hereof by the means of a deadlock notice and simultaneously send a copy of the notice to the Steering Committee. Upon the receipt of such a deadlock notice, the receiving Party will within ten days of receipt, prepare and circulate to the other Party a statement setting out its position on the matter in dispute and reasons for adopting such position, and simultaneously send a copy of its statement to the Steering Committee. Each such statement will be considered by the next regular meeting held by the Steering Committee or in a forum meeting specifically called upon by either Party for the settlement of the issue.</w:t>
      </w: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 | Page</w:t>
      </w:r>
    </w:p>
    <w:p>
      <w:pPr>
        <w:sectPr>
          <w:pgSz w:w="11900" w:h="16838" w:orient="portrait"/>
          <w:cols w:equalWidth="0" w:num="1">
            <w:col w:w="11024"/>
          </w:cols>
          <w:pgMar w:left="436" w:top="270" w:right="4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jc w:val="right"/>
        <w:ind w:right="20"/>
        <w:spacing w:after="0"/>
        <w:tabs>
          <w:tab w:leader="none" w:pos="982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The members of the Steering Committee will use reasonable endeavors to resolve a deadlock situation in good faith. As part thereof, the</w:t>
      </w:r>
    </w:p>
    <w:p>
      <w:pPr>
        <w:spacing w:after="0" w:line="27" w:lineRule="exact"/>
        <w:rPr>
          <w:sz w:val="20"/>
          <w:szCs w:val="20"/>
          <w:color w:val="auto"/>
        </w:rPr>
      </w:pPr>
    </w:p>
    <w:p>
      <w:pPr>
        <w:ind w:left="1184" w:right="320"/>
        <w:spacing w:after="0" w:line="253" w:lineRule="auto"/>
        <w:rPr>
          <w:sz w:val="20"/>
          <w:szCs w:val="20"/>
          <w:color w:val="auto"/>
        </w:rPr>
      </w:pPr>
      <w:r>
        <w:rPr>
          <w:rFonts w:ascii="Times New Roman" w:cs="Times New Roman" w:eastAsia="Times New Roman" w:hAnsi="Times New Roman"/>
          <w:sz w:val="18"/>
          <w:szCs w:val="18"/>
          <w:color w:val="auto"/>
        </w:rPr>
        <w:t>Steering Committee may request the Parties to in good faith develop and agree on a plan to resolve or address the breach, to be presented for the Steering Committee without undue delay. If the Steering Committee agrees upon a resolution or disposition of the matter, the Parties will agree in writing on terms of such resolution or disposition and the Parties will procure that such resolution or disposition is fully and promptly carried into effect.</w:t>
      </w:r>
    </w:p>
    <w:p>
      <w:pPr>
        <w:spacing w:after="0" w:line="94" w:lineRule="exact"/>
        <w:rPr>
          <w:sz w:val="20"/>
          <w:szCs w:val="20"/>
          <w:color w:val="auto"/>
        </w:rPr>
      </w:pPr>
    </w:p>
    <w:p>
      <w:pPr>
        <w:ind w:left="1184" w:right="20" w:hanging="647"/>
        <w:spacing w:after="0" w:line="258" w:lineRule="auto"/>
        <w:tabs>
          <w:tab w:leader="none" w:pos="1164"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If the Steering Committee cannot settle the deadlock within 30 days from the deadlock notice pursuant to the section above, despite using reasonable endeavors to do so, such deadlock will be referred to the Strategic Board for decision. If no Steering Committee has been established between the Parties, the relevant issue will be referred to the Strategic Board. Should the matter not have been resolved by the Strategic Board within 30 days counting from when the matter was referred to them, despite using reasonable endeavors to do so, the matter will be resolved in accordance with Section 26.6 below.</w:t>
      </w:r>
    </w:p>
    <w:p>
      <w:pPr>
        <w:spacing w:after="0" w:line="89" w:lineRule="exact"/>
        <w:rPr>
          <w:sz w:val="20"/>
          <w:szCs w:val="20"/>
          <w:color w:val="auto"/>
        </w:rPr>
      </w:pPr>
    </w:p>
    <w:p>
      <w:pPr>
        <w:ind w:left="1184" w:right="8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8"/>
          <w:szCs w:val="18"/>
          <w:color w:val="auto"/>
        </w:rPr>
        <w:t>All notices and communications exchanged in the course of a deadlock resolution proceeding will be considered Confidential Information of each Party and be subject to confidentiality undertaking.</w:t>
      </w:r>
    </w:p>
    <w:p>
      <w:pPr>
        <w:spacing w:after="0" w:line="67" w:lineRule="exact"/>
        <w:rPr>
          <w:sz w:val="20"/>
          <w:szCs w:val="20"/>
          <w:color w:val="auto"/>
        </w:rPr>
      </w:pPr>
    </w:p>
    <w:p>
      <w:pPr>
        <w:ind w:left="1184" w:right="14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8"/>
          <w:szCs w:val="18"/>
          <w:color w:val="auto"/>
        </w:rPr>
        <w:t>Notwithstanding the above, the Parties agree that either Party may disregard the time frames set forth in this Section 26 and apply shorter time frames and/or escalate an issue directly to the Strategic Board in the event the escalated issue is of an urgent character and where the applicable time frames set out above are not appropriate.</w:t>
      </w:r>
    </w:p>
    <w:p>
      <w:pPr>
        <w:spacing w:after="0" w:line="81" w:lineRule="exact"/>
        <w:rPr>
          <w:sz w:val="20"/>
          <w:szCs w:val="20"/>
          <w:color w:val="auto"/>
        </w:rPr>
      </w:pPr>
    </w:p>
    <w:p>
      <w:pPr>
        <w:ind w:left="1184" w:right="2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Any unresolved dispute, controversy or claim arising out of or in connection with this Importer Agreement, or the breach, termination or invalidity thereof, will be brought in the federal or state court of jurisdiction in New Jersey.</w:t>
      </w:r>
    </w:p>
    <w:p>
      <w:pPr>
        <w:spacing w:after="0" w:line="63" w:lineRule="exact"/>
        <w:rPr>
          <w:sz w:val="20"/>
          <w:szCs w:val="20"/>
          <w:color w:val="auto"/>
        </w:rPr>
      </w:pPr>
    </w:p>
    <w:p>
      <w:pPr>
        <w:ind w:left="544" w:hanging="544"/>
        <w:spacing w:after="0"/>
        <w:tabs>
          <w:tab w:leader="none" w:pos="544"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Invalidity</w:t>
      </w:r>
    </w:p>
    <w:p>
      <w:pPr>
        <w:spacing w:after="0" w:line="134" w:lineRule="exact"/>
        <w:rPr>
          <w:rFonts w:ascii="Times New Roman" w:cs="Times New Roman" w:eastAsia="Times New Roman" w:hAnsi="Times New Roman"/>
          <w:sz w:val="18"/>
          <w:szCs w:val="18"/>
          <w:b w:val="1"/>
          <w:bCs w:val="1"/>
          <w:color w:val="auto"/>
        </w:rPr>
      </w:pPr>
    </w:p>
    <w:p>
      <w:pPr>
        <w:ind w:left="1184" w:right="14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27.1. In the event that any section or provision of this Importer Agreement should, under any applicable legislation or trade practice, be held to be illegal, null or void, such clause or provision will not affect the validity of the remaining sections of this Importer Agreement. In such cases, the parties will negotiate in order, if possible, to agree upon wording which achieves the purpose sought to be achieved by the invalid section or provision and which complies with the legislation or trade practice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 | Page</w:t>
      </w:r>
    </w:p>
    <w:p>
      <w:pPr>
        <w:sectPr>
          <w:pgSz w:w="11900" w:h="16838" w:orient="portrait"/>
          <w:cols w:equalWidth="0" w:num="1">
            <w:col w:w="11024"/>
          </w:cols>
          <w:pgMar w:left="436" w:top="270" w:right="4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Importer Agreement has been signed electronically by both Parties.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 PERFORMANCE AB</w:t>
            </w:r>
          </w:p>
        </w:tc>
        <w:tc>
          <w:tcPr>
            <w:tcW w:w="39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Anna Rudensjö</w:t>
            </w:r>
          </w:p>
        </w:tc>
        <w:tc>
          <w:tcPr>
            <w:tcW w:w="396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Nobelius</w:t>
            </w:r>
          </w:p>
        </w:tc>
      </w:tr>
      <w:tr>
        <w:trPr>
          <w:trHeight w:val="205"/>
        </w:trPr>
        <w:tc>
          <w:tcPr>
            <w:tcW w:w="3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Anna Rudensjö</w:t>
            </w:r>
          </w:p>
        </w:tc>
        <w:tc>
          <w:tcPr>
            <w:tcW w:w="3960" w:type="dxa"/>
            <w:vAlign w:val="bottom"/>
          </w:tcPr>
          <w:p>
            <w:pPr>
              <w:spacing w:after="0"/>
              <w:rPr>
                <w:sz w:val="17"/>
                <w:szCs w:val="17"/>
                <w:color w:val="auto"/>
              </w:rPr>
            </w:pPr>
          </w:p>
        </w:tc>
        <w:tc>
          <w:tcPr>
            <w:tcW w:w="34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Dennis Nobelius</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c>
          <w:tcPr>
            <w:tcW w:w="39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COO</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VOLVO CAR USA LLC</w:t>
            </w:r>
          </w:p>
        </w:tc>
        <w:tc>
          <w:tcPr>
            <w:tcW w:w="39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Oscar Bertilsson Olsborg</w:t>
            </w:r>
          </w:p>
        </w:tc>
        <w:tc>
          <w:tcPr>
            <w:tcW w:w="396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Anders Gustafsson</w:t>
            </w:r>
          </w:p>
        </w:tc>
      </w:tr>
      <w:tr>
        <w:trPr>
          <w:trHeight w:val="205"/>
        </w:trPr>
        <w:tc>
          <w:tcPr>
            <w:tcW w:w="3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Oscar Bertilsson Olsborg</w:t>
            </w:r>
          </w:p>
        </w:tc>
        <w:tc>
          <w:tcPr>
            <w:tcW w:w="3960" w:type="dxa"/>
            <w:vAlign w:val="bottom"/>
          </w:tcPr>
          <w:p>
            <w:pPr>
              <w:spacing w:after="0"/>
              <w:rPr>
                <w:sz w:val="17"/>
                <w:szCs w:val="17"/>
                <w:color w:val="auto"/>
              </w:rPr>
            </w:pPr>
          </w:p>
        </w:tc>
        <w:tc>
          <w:tcPr>
            <w:tcW w:w="34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Anders Gustafsson</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Title: CFO</w:t>
            </w:r>
          </w:p>
        </w:tc>
        <w:tc>
          <w:tcPr>
            <w:tcW w:w="39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MD</w:t>
            </w:r>
          </w:p>
        </w:tc>
      </w:tr>
      <w:tr>
        <w:trPr>
          <w:trHeight w:val="364"/>
        </w:trPr>
        <w:tc>
          <w:tcPr>
            <w:tcW w:w="3640" w:type="dxa"/>
            <w:vAlign w:val="bottom"/>
          </w:tcPr>
          <w:p>
            <w:pPr>
              <w:spacing w:after="0"/>
              <w:rPr>
                <w:sz w:val="24"/>
                <w:szCs w:val="24"/>
                <w:color w:val="auto"/>
              </w:rPr>
            </w:pPr>
          </w:p>
        </w:tc>
        <w:tc>
          <w:tcPr>
            <w:tcW w:w="73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14 | Page</w:t>
            </w:r>
          </w:p>
        </w:tc>
      </w:tr>
    </w:tbl>
    <w:p>
      <w:pPr>
        <w:sectPr>
          <w:pgSz w:w="11900" w:h="16838" w:orient="portrait"/>
          <w:cols w:equalWidth="0" w:num="1">
            <w:col w:w="11020"/>
          </w:cols>
          <w:pgMar w:left="440" w:top="270" w:right="43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Parties have agreed that all prices for Polestar Vehicles payable by Importer to Seller will be established on an arm’s length basis and should be set in order for Importer to earn a full and complete compensation (the “</w:t>
      </w:r>
      <w:r>
        <w:rPr>
          <w:rFonts w:ascii="Times New Roman" w:cs="Times New Roman" w:eastAsia="Times New Roman" w:hAnsi="Times New Roman"/>
          <w:sz w:val="17"/>
          <w:szCs w:val="17"/>
          <w:b w:val="1"/>
          <w:bCs w:val="1"/>
          <w:color w:val="auto"/>
        </w:rPr>
        <w:t>Importer Profit</w:t>
      </w:r>
      <w:r>
        <w:rPr>
          <w:rFonts w:ascii="Times New Roman" w:cs="Times New Roman" w:eastAsia="Times New Roman" w:hAnsi="Times New Roman"/>
          <w:sz w:val="17"/>
          <w:szCs w:val="17"/>
          <w:color w:val="auto"/>
        </w:rPr>
        <w:t>”) consisting of (i) a compensation for the importation services provided by Importer (“</w:t>
      </w:r>
      <w:r>
        <w:rPr>
          <w:rFonts w:ascii="Times New Roman" w:cs="Times New Roman" w:eastAsia="Times New Roman" w:hAnsi="Times New Roman"/>
          <w:sz w:val="17"/>
          <w:szCs w:val="17"/>
          <w:b w:val="1"/>
          <w:bCs w:val="1"/>
          <w:color w:val="auto"/>
        </w:rPr>
        <w:t>Berry-Ratio Compensation</w:t>
      </w:r>
      <w:r>
        <w:rPr>
          <w:rFonts w:ascii="Times New Roman" w:cs="Times New Roman" w:eastAsia="Times New Roman" w:hAnsi="Times New Roman"/>
          <w:sz w:val="17"/>
          <w:szCs w:val="17"/>
          <w:color w:val="auto"/>
        </w:rPr>
        <w:t>”) , (ii) a compensation for Carrying Cost (“</w:t>
      </w:r>
      <w:r>
        <w:rPr>
          <w:rFonts w:ascii="Times New Roman" w:cs="Times New Roman" w:eastAsia="Times New Roman" w:hAnsi="Times New Roman"/>
          <w:sz w:val="17"/>
          <w:szCs w:val="17"/>
          <w:b w:val="1"/>
          <w:bCs w:val="1"/>
          <w:color w:val="auto"/>
        </w:rPr>
        <w:t>Carrying Cost Compensation</w:t>
      </w:r>
      <w:r>
        <w:rPr>
          <w:rFonts w:ascii="Times New Roman" w:cs="Times New Roman" w:eastAsia="Times New Roman" w:hAnsi="Times New Roman"/>
          <w:sz w:val="17"/>
          <w:szCs w:val="17"/>
          <w:color w:val="auto"/>
        </w:rPr>
        <w:t>”), as well as (iii) an amount corresponding to USD [***] (“</w:t>
      </w:r>
      <w:r>
        <w:rPr>
          <w:rFonts w:ascii="Times New Roman" w:cs="Times New Roman" w:eastAsia="Times New Roman" w:hAnsi="Times New Roman"/>
          <w:sz w:val="17"/>
          <w:szCs w:val="17"/>
          <w:b w:val="1"/>
          <w:bCs w:val="1"/>
          <w:color w:val="auto"/>
        </w:rPr>
        <w:t>Fixed Fee Compensation</w:t>
      </w:r>
      <w:r>
        <w:rPr>
          <w:rFonts w:ascii="Times New Roman" w:cs="Times New Roman" w:eastAsia="Times New Roman" w:hAnsi="Times New Roman"/>
          <w:sz w:val="17"/>
          <w:szCs w:val="17"/>
          <w:color w:val="auto"/>
        </w:rPr>
        <w:t>”) multiplied by the number of Polestar Vehicles imported during the time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Berry-Ratio Compensation should be established according to what is set forth below:</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Parties have agreed that the Barry-ratio Compensation should be established by applying the Transactional Net Margin Method (TNMM) and applying the Berry Ratio achieved by comparable uncontrolled importer companies performing substantially the same functions and assuming substantially the same risks as are performed and assumed by Importer.</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Berry Ratio Compensation shall, for the purpose of calculating the prices of Polestar Vehicles be computed as a mark-up on the Value Adding Operating Expenses incurred by Importer.</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purposes of applying the TNMM, the arm’s length Berry Ratio mark-up should be reviewed and agreed between the Parties on a yearly basis. The arm’s length Berry Ratio mark-up applied should be in line with the latest Comparable Study/Benchmarks.</w:t>
      </w:r>
    </w:p>
    <w:p>
      <w:pPr>
        <w:spacing w:after="0" w:line="158"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For this purpose, the term “</w:t>
      </w:r>
      <w:r>
        <w:rPr>
          <w:rFonts w:ascii="Times New Roman" w:cs="Times New Roman" w:eastAsia="Times New Roman" w:hAnsi="Times New Roman"/>
          <w:sz w:val="18"/>
          <w:szCs w:val="18"/>
          <w:b w:val="1"/>
          <w:bCs w:val="1"/>
          <w:color w:val="auto"/>
        </w:rPr>
        <w:t>Value-Adding Operating Expenses</w:t>
      </w:r>
      <w:r>
        <w:rPr>
          <w:rFonts w:ascii="Times New Roman" w:cs="Times New Roman" w:eastAsia="Times New Roman" w:hAnsi="Times New Roman"/>
          <w:sz w:val="18"/>
          <w:szCs w:val="18"/>
          <w:color w:val="auto"/>
        </w:rPr>
        <w:t>” shall include only those operating expenses incurred by Importer for value-adding functions performed by Importer and shall not include expenses for cost of goods sold, advertising, sales incentives, promotion, product warranty, or product liability. Expenses that Importer incurs in implementing or administering these programs, however, are included in Value-Adding Operating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Cost Compensation should be established according to what is set forth below:</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Carrying Cost Compensation shall be calculated as the product of (i) the arm’s length interest rate and (ii) the average annual value of Importer’s trade accounts receivable plus inventory minus trade accounts payable.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purpose of calculating the Carrying Cost Compensation the arm´s length interest rate should be reviewed and agreed between the Parties on a yearly basis. The arm’s length Interest rate applied should be in line with the latest Comparable Study/Benchmarks.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transfer prices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transfer prices shall be mutually agreed on and based upon:</w:t>
      </w:r>
    </w:p>
    <w:p>
      <w:pPr>
        <w:spacing w:after="0" w:line="131" w:lineRule="exact"/>
        <w:rPr>
          <w:sz w:val="20"/>
          <w:szCs w:val="20"/>
          <w:color w:val="auto"/>
        </w:rPr>
      </w:pPr>
    </w:p>
    <w:p>
      <w:pPr>
        <w:ind w:left="960" w:right="20" w:hanging="424"/>
        <w:spacing w:after="0" w:line="282" w:lineRule="auto"/>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unit sales volumes and expected resale prices for Polestar Vehicles to be made and received by Importer during a calendar year, with respect to sales to the Distributor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 Page</w:t>
      </w:r>
    </w:p>
    <w:p>
      <w:pPr>
        <w:sectPr>
          <w:pgSz w:w="11900" w:h="16838" w:orient="portrait"/>
          <w:cols w:equalWidth="0" w:num="1">
            <w:col w:w="11020"/>
          </w:cols>
          <w:pgMar w:left="440" w:top="270" w:right="43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PS22-019</w:t>
      </w:r>
    </w:p>
    <w:p>
      <w:pPr>
        <w:spacing w:after="0" w:line="158" w:lineRule="exact"/>
        <w:rPr>
          <w:sz w:val="20"/>
          <w:szCs w:val="20"/>
          <w:color w:val="auto"/>
        </w:rPr>
      </w:pPr>
    </w:p>
    <w:p>
      <w:pPr>
        <w:ind w:left="960" w:right="180" w:hanging="424"/>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Budgeted expenses or refunds to be incurred by Importer for any activity, action or event related to the import, purchase and resale of the Polestar Vehicles during the calendar year,</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Budgeted Value-Adding Operating Expenses to be incurred by Importer for the purpose of import of Polestar Vehicles and sales to the Distributor,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Comparable Berry-Ratio mark-up, as determined as set forth above, on budgeted Value-Adding Operating Expenses,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return on Importer’s average level of Net Operating Assets (“Carrying Costs Compensation”).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fee compensation [***] USD multiplied by the number of Polestar Vehicles forecasted to be imported the calendar year.</w:t>
      </w:r>
    </w:p>
    <w:p>
      <w:pPr>
        <w:spacing w:after="0" w:line="22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When setting the initial Transfer Price the custom (legal) requirements should be considered. For the purpose of assessing of the initial transfer price is in fulfillment of the custom (legal) requirements Seller and Importer shall apply the same method being used for Importer’s import of other vehicles.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Evaluating and adjusting transfer prices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 monthly basis, the full and total compensation (importation compensation plus Carrying Cost Compensation) incurred by Importer with respect to its importation of Polestar Vehicles from Seller and Seller’s Affiliates during the calendar year shall be determined.</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the aggregated actual Importer Profit is greater than the sum of the Berry-Ratio Compensation, the Carrying Cost Compensation and the Fixed Fee Compensation calculated according to what is set forth above, there shall be deemed to exist an excess in the amount of Importer’s operating profit (hereinafter an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If the aggregated actual Importer Profit is less than the sum of the Berry-Ratio Compensation, the Carrying-Cost compensation and the Fixed Fee Compensation calculated according to what is set forth above, there shall be deemed to exist a shortfall in the amount of Importer’s operating profit (hereinafter a “</w:t>
      </w:r>
      <w:r>
        <w:rPr>
          <w:rFonts w:ascii="Times New Roman" w:cs="Times New Roman" w:eastAsia="Times New Roman" w:hAnsi="Times New Roman"/>
          <w:sz w:val="18"/>
          <w:szCs w:val="18"/>
          <w:b w:val="1"/>
          <w:bCs w:val="1"/>
          <w:color w:val="auto"/>
        </w:rPr>
        <w:t>Shortfall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 the event of any Excess, there shall be a possibility to pay such Excess to Seller as an additional purchase price for the Polestar Vehicles purchased from Seller or Seller’s Affiliates during the calendar year to which the Excess relates. In the event of any Shortfall, Seller shall have the possibility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pay such Shortfall to Importer as a rebate of the transfer prices paid for the Polestar Vehicles purchased from Seller or Seller’s Affiliates during the calendar year to which the Shortfall relates.</w:t>
      </w:r>
    </w:p>
    <w:p>
      <w:pPr>
        <w:spacing w:after="0" w:line="18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Any adjustments resulting from the preceding paragraph shall be settled by way of credit or debit notes issued by Seller within 30 days of the determination of the amounts thereof. Any sums due are payable on standard intercompany terms, less payments, if any, on account of additional purchase price adjustments made or received during the year.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 Page</w:t>
      </w:r>
    </w:p>
    <w:p>
      <w:pPr>
        <w:sectPr>
          <w:pgSz w:w="11900" w:h="16838" w:orient="portrait"/>
          <w:cols w:equalWidth="0" w:num="1">
            <w:col w:w="11020"/>
          </w:cols>
          <w:pgMar w:left="440" w:top="270" w:right="43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8"/>
          <w:szCs w:val="18"/>
          <w:b w:val="1"/>
          <w:bCs w:val="1"/>
          <w:color w:val="auto"/>
        </w:rPr>
        <w:t>Exhibit 4.94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1, 3rd Floor 11 - 12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St James’s Square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London, United Kingdom, SW1Y 4LB</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director</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director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444"/>
        <w:spacing w:after="0"/>
        <w:rPr>
          <w:sz w:val="20"/>
          <w:szCs w:val="20"/>
          <w:color w:val="auto"/>
        </w:rPr>
      </w:pPr>
      <w:r>
        <w:rPr>
          <w:rFonts w:ascii="Times New Roman" w:cs="Times New Roman" w:eastAsia="Times New Roman" w:hAnsi="Times New Roman"/>
          <w:sz w:val="18"/>
          <w:szCs w:val="18"/>
          <w:color w:val="auto"/>
        </w:rPr>
        <w:t>_____________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Letter of Appointment as Non-Executive Director of Polestar Automotive Holding UK PLC</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We are writing to set out the terms of the agreement which we have reached in relation to your appointment as a non-executive director of Polestar Automotive Holding UK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24" w:hanging="424"/>
        <w:spacing w:after="0"/>
        <w:tabs>
          <w:tab w:leader="none" w:pos="424"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131" w:lineRule="exact"/>
        <w:rPr>
          <w:sz w:val="20"/>
          <w:szCs w:val="20"/>
          <w:color w:val="auto"/>
        </w:rPr>
      </w:pPr>
    </w:p>
    <w:p>
      <w:pPr>
        <w:ind w:left="424" w:right="40" w:hanging="431"/>
        <w:spacing w:after="0" w:line="277" w:lineRule="auto"/>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Your appointment as a non-executive director of the Company’s board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[shall take effect from closing of the business combination agreement entered into between the Company, Polestar Automotive Holding Limited, PAH UK Merger Sub Inc., Polestar Automotive (Singapore) Pte. Ltd., Polestar Holding, AB and Gores Guggenheim, Inc. on 17 September 2021 / took effect from [•]] (the “</w:t>
      </w:r>
      <w:r>
        <w:rPr>
          <w:rFonts w:ascii="Times New Roman" w:cs="Times New Roman" w:eastAsia="Times New Roman" w:hAnsi="Times New Roman"/>
          <w:sz w:val="17"/>
          <w:szCs w:val="17"/>
          <w:b w:val="1"/>
          <w:bCs w:val="1"/>
          <w:color w:val="auto"/>
        </w:rPr>
        <w:t>Commencement Date</w:t>
      </w:r>
      <w:r>
        <w:rPr>
          <w:rFonts w:ascii="Times New Roman" w:cs="Times New Roman" w:eastAsia="Times New Roman" w:hAnsi="Times New Roman"/>
          <w:sz w:val="17"/>
          <w:szCs w:val="17"/>
          <w:color w:val="auto"/>
        </w:rPr>
        <w:t>”), [and you shall be an “Independent Director” for the purposes of the articles of association of the Company in effect from time to time (the “</w:t>
      </w:r>
      <w:r>
        <w:rPr>
          <w:rFonts w:ascii="Times New Roman" w:cs="Times New Roman" w:eastAsia="Times New Roman" w:hAnsi="Times New Roman"/>
          <w:sz w:val="17"/>
          <w:szCs w:val="17"/>
          <w:b w:val="1"/>
          <w:bCs w:val="1"/>
          <w:color w:val="auto"/>
        </w:rPr>
        <w:t>Articles</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1</w:t>
      </w:r>
    </w:p>
    <w:p>
      <w:pPr>
        <w:ind w:left="424" w:right="120" w:hanging="431"/>
        <w:spacing w:after="0" w:line="204" w:lineRule="auto"/>
        <w:tabs>
          <w:tab w:leader="none" w:pos="404" w:val="left"/>
        </w:tabs>
        <w:rPr>
          <w:sz w:val="20"/>
          <w:szCs w:val="20"/>
          <w:color w:val="auto"/>
        </w:rPr>
      </w:pPr>
      <w:r>
        <w:rPr>
          <w:rFonts w:ascii="Times New Roman" w:cs="Times New Roman" w:eastAsia="Times New Roman" w:hAnsi="Times New Roman"/>
          <w:sz w:val="18"/>
          <w:szCs w:val="18"/>
          <w:color w:val="auto"/>
        </w:rPr>
        <w:t>1.2</w:t>
        <w:tab/>
        <w:t>Your appointment is subject to the [articles of association of the Company in effect from time to time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 Articles]. Nothing in this Agreement shall be taken to exclude or vary the Articles as they apply to you as a director of the Company.</w:t>
      </w:r>
    </w:p>
    <w:p>
      <w:pPr>
        <w:spacing w:after="0" w:line="100" w:lineRule="exact"/>
        <w:rPr>
          <w:sz w:val="20"/>
          <w:szCs w:val="20"/>
          <w:color w:val="auto"/>
        </w:rPr>
      </w:pPr>
    </w:p>
    <w:p>
      <w:pPr>
        <w:ind w:left="424" w:hanging="424"/>
        <w:spacing w:after="0"/>
        <w:tabs>
          <w:tab w:leader="none" w:pos="424"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135" w:lineRule="exact"/>
        <w:rPr>
          <w:sz w:val="20"/>
          <w:szCs w:val="20"/>
          <w:color w:val="auto"/>
        </w:rPr>
      </w:pPr>
    </w:p>
    <w:p>
      <w:pPr>
        <w:ind w:left="424" w:right="1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2.1</w:t>
        <w:tab/>
        <w:t>You shall be designated as a [Class I / Class II / Class III] non-executive director in accordance with the Articles. Accordingly, the initial term of your appointment shall be [one year / two years / three years] and you shall be required to retire from office at the [first / second / third] annual general meeting of the Company unless you are re-appointed as an executive director in accordance with the Articles.</w:t>
      </w:r>
    </w:p>
    <w:p>
      <w:pPr>
        <w:spacing w:after="0" w:line="77" w:lineRule="exact"/>
        <w:rPr>
          <w:sz w:val="20"/>
          <w:szCs w:val="20"/>
          <w:color w:val="auto"/>
        </w:rPr>
      </w:pPr>
    </w:p>
    <w:p>
      <w:pPr>
        <w:ind w:left="424" w:hanging="424"/>
        <w:spacing w:after="0"/>
        <w:tabs>
          <w:tab w:leader="none" w:pos="424"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COMMITMENT</w:t>
      </w:r>
    </w:p>
    <w:p>
      <w:pPr>
        <w:spacing w:after="0" w:line="135"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3.1</w:t>
        <w:tab/>
        <w:t xml:space="preserve">You will be expected to devote to this appointment such time as is necessary for the proper performance of your duties. This will include preparation for and attendance at meetings of the Board and service on certain of the committees of the Board as required from time to time. Given the nature of your role, it may be necessary to devote additional time to the Company in respect of preparation time and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matters which may arise, in particular, where the Company is undergoing a period of increased activity. Further Board meetings may have to be called at short notice to discuss particular issues and you will be given notice of such meetings in accordance with the terms of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424" w:hanging="424"/>
        <w:spacing w:after="0"/>
        <w:tabs>
          <w:tab w:leader="none" w:pos="424" w:val="left"/>
        </w:tabs>
        <w:numPr>
          <w:ilvl w:val="0"/>
          <w:numId w:val="2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Reference to Independent Director to be removed if not relevant.</w:t>
      </w:r>
    </w:p>
    <w:p>
      <w:pPr>
        <w:ind w:left="424" w:hanging="424"/>
        <w:spacing w:after="0" w:line="180" w:lineRule="auto"/>
        <w:tabs>
          <w:tab w:leader="none" w:pos="424" w:val="left"/>
        </w:tabs>
        <w:numPr>
          <w:ilvl w:val="0"/>
          <w:numId w:val="2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b w:val="1"/>
          <w:bCs w:val="1"/>
          <w:color w:val="auto"/>
        </w:rPr>
        <w:t>Note to Draft</w:t>
      </w:r>
      <w:r>
        <w:rPr>
          <w:rFonts w:ascii="Times New Roman" w:cs="Times New Roman" w:eastAsia="Times New Roman" w:hAnsi="Times New Roman"/>
          <w:sz w:val="17"/>
          <w:szCs w:val="17"/>
          <w:color w:val="auto"/>
        </w:rPr>
        <w:t>: Insert this definition here and delete “Articles” if the last part of clause 1.1 regarding “Independent Director” is deleted.</w:t>
      </w:r>
    </w:p>
    <w:p>
      <w:pPr>
        <w:sectPr>
          <w:pgSz w:w="11900" w:h="16838" w:orient="portrait"/>
          <w:cols w:equalWidth="0" w:num="1">
            <w:col w:w="11024"/>
          </w:cols>
          <w:pgMar w:left="436" w:top="117" w:right="439" w:bottom="1440" w:gutter="0" w:footer="0" w:header="0"/>
        </w:sectPr>
      </w:pPr>
    </w:p>
    <w:bookmarkStart w:id="375" w:name="page376"/>
    <w:bookmarkEnd w:id="375"/>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tab/>
        <w:t>By accepting this appointment, you confirm that you are able to allocate sufficient time to meet the expectations of your role and that you are not subject to any restrictions that would prevent you from taking the role.</w:t>
      </w:r>
    </w:p>
    <w:p>
      <w:pPr>
        <w:spacing w:after="0" w:line="63" w:lineRule="exact"/>
        <w:rPr>
          <w:sz w:val="20"/>
          <w:szCs w:val="20"/>
          <w:color w:val="auto"/>
        </w:rPr>
      </w:pPr>
    </w:p>
    <w:p>
      <w:pPr>
        <w:ind w:left="424" w:hanging="424"/>
        <w:spacing w:after="0"/>
        <w:tabs>
          <w:tab w:leader="none" w:pos="424"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AND DUTIES</w:t>
      </w:r>
    </w:p>
    <w:p>
      <w:pPr>
        <w:spacing w:after="0" w:line="135" w:lineRule="exact"/>
        <w:rPr>
          <w:sz w:val="20"/>
          <w:szCs w:val="20"/>
          <w:color w:val="auto"/>
        </w:rPr>
      </w:pPr>
    </w:p>
    <w:p>
      <w:pPr>
        <w:ind w:left="424" w:right="40"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t>4.1</w:t>
        <w:tab/>
        <w:t>As a non-executive director, you shall have the same legal responsibilities to the Company as any other director. You will be expected to perform your duties, whether statutory, fiduciary or common-law, faithfully, efficiently and diligently to a standard commensurate with both the functions of your role and your knowledge, skills and experience, and with regard to relevant obligations under all prevailing applicable law and regulation, the Articles and any code of conduct relating to the directors adopted by the Company from time to time. In particular, you shall have specific regard to the duty to promote the success of the Company (or the relevant Group Company) under which all directors must act in the way they consider, in good faith, would be most likely to promote the success of the Company (or the relevant Group Company) for the benefit of its members as a whole.</w:t>
      </w:r>
    </w:p>
    <w:p>
      <w:pPr>
        <w:spacing w:after="0" w:line="9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You will be required to exercise relevant powers under, and abide by, the Articles.</w:t>
      </w:r>
    </w:p>
    <w:p>
      <w:pPr>
        <w:spacing w:after="0" w:line="131"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4.3</w:t>
        <w:tab/>
        <w:t>This is a letter of appointment as a director of the Company and not a contract of employment. You are not an employee of the Company. You are solely responsible for all duties of an independent contractor which result from performing your tasks under this Agreement, as well as the satisfaction of any regulatory requirements relating to your appointment and holding of office pursuant to this Agreement.</w:t>
      </w:r>
    </w:p>
    <w:p>
      <w:pPr>
        <w:spacing w:after="0" w:line="81"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4.4</w:t>
        <w:tab/>
        <w:t>You hereby irrevocably and unconditionally waive the right to make any employment or worker related claim or any claim based on employee or worker status (including reasonable costs and expenses) against the Company, and undertake to the Company that you shall not at any time seek to bring any such claim.</w:t>
      </w:r>
    </w:p>
    <w:p>
      <w:pPr>
        <w:spacing w:after="0" w:line="77" w:lineRule="exact"/>
        <w:rPr>
          <w:sz w:val="20"/>
          <w:szCs w:val="20"/>
          <w:color w:val="auto"/>
        </w:rPr>
      </w:pPr>
    </w:p>
    <w:p>
      <w:pPr>
        <w:ind w:left="424" w:hanging="424"/>
        <w:spacing w:after="0"/>
        <w:tabs>
          <w:tab w:leader="none" w:pos="424"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135" w:lineRule="exact"/>
        <w:rPr>
          <w:sz w:val="20"/>
          <w:szCs w:val="20"/>
          <w:color w:val="auto"/>
        </w:rPr>
      </w:pPr>
    </w:p>
    <w:p>
      <w:pPr>
        <w:jc w:val="both"/>
        <w:ind w:left="424" w:right="1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This Agreement sets out the only payments and non-cash benefits you will receive for performing your duties herein. Accordingly, no other cash remuneration or benefits will be provided for your role as an Independent Director and, in particular, you will not be entitled to participate in any of the Company’s remuneration or benefit programmes, arrangements, schemes or plans.</w:t>
      </w:r>
    </w:p>
    <w:p>
      <w:pPr>
        <w:spacing w:after="0" w:line="81" w:lineRule="exact"/>
        <w:rPr>
          <w:sz w:val="20"/>
          <w:szCs w:val="20"/>
          <w:color w:val="auto"/>
        </w:rPr>
      </w:pPr>
    </w:p>
    <w:p>
      <w:pPr>
        <w:ind w:left="424" w:right="5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5.2</w:t>
        <w:tab/>
        <w:t>From the date of your appointment as a non-executive director of the Company, the annual fee for your appointment (for so long as you are appointed and remain appointed):</w:t>
      </w:r>
    </w:p>
    <w:p>
      <w:pPr>
        <w:spacing w:after="0" w:line="63" w:lineRule="exact"/>
        <w:rPr>
          <w:sz w:val="20"/>
          <w:szCs w:val="20"/>
          <w:color w:val="auto"/>
        </w:rPr>
      </w:pPr>
    </w:p>
    <w:p>
      <w:pPr>
        <w:ind w:left="964" w:hanging="532"/>
        <w:spacing w:after="0"/>
        <w:tabs>
          <w:tab w:leader="none" w:pos="96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non-executive director of the Company will be USD 200,000 gross per annum (the “</w:t>
      </w:r>
      <w:r>
        <w:rPr>
          <w:rFonts w:ascii="Times New Roman" w:cs="Times New Roman" w:eastAsia="Times New Roman" w:hAnsi="Times New Roman"/>
          <w:sz w:val="18"/>
          <w:szCs w:val="18"/>
          <w:b w:val="1"/>
          <w:bCs w:val="1"/>
          <w:color w:val="auto"/>
        </w:rPr>
        <w:t>NED Fee</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70" w:right="479" w:bottom="1440" w:gutter="0" w:footer="0" w:header="0"/>
        </w:sectPr>
      </w:pPr>
    </w:p>
    <w:bookmarkStart w:id="376" w:name="page377"/>
    <w:bookmarkEnd w:id="376"/>
    <w:p>
      <w:pPr>
        <w:ind w:left="960" w:right="300" w:hanging="532"/>
        <w:spacing w:after="0" w:line="282" w:lineRule="auto"/>
        <w:tabs>
          <w:tab w:leader="none" w:pos="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chair of the Audit Committee will be USD 20,000 gross per annum or as a regular member of such committee will be USD 10,000 gross per annum (the “</w:t>
      </w:r>
      <w:r>
        <w:rPr>
          <w:rFonts w:ascii="Times New Roman" w:cs="Times New Roman" w:eastAsia="Times New Roman" w:hAnsi="Times New Roman"/>
          <w:sz w:val="18"/>
          <w:szCs w:val="18"/>
          <w:b w:val="1"/>
          <w:bCs w:val="1"/>
          <w:color w:val="auto"/>
        </w:rPr>
        <w:t>Audit Committee Fee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 of the Nominating and Governance Committee will be USD 20,000 gross per annum or as a regular member of such committee will be USD 10,000 gross per annum (the “</w:t>
      </w:r>
      <w:r>
        <w:rPr>
          <w:rFonts w:ascii="Times New Roman" w:cs="Times New Roman" w:eastAsia="Times New Roman" w:hAnsi="Times New Roman"/>
          <w:sz w:val="18"/>
          <w:szCs w:val="18"/>
          <w:b w:val="1"/>
          <w:bCs w:val="1"/>
          <w:color w:val="auto"/>
        </w:rPr>
        <w:t>Nominating and Governance Committee Fee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 of the Compensation Committee will be USD 20,000 gross per annum or as a regular member of such committee will be USD 10,000 gross per annum (the “</w:t>
      </w:r>
      <w:r>
        <w:rPr>
          <w:rFonts w:ascii="Times New Roman" w:cs="Times New Roman" w:eastAsia="Times New Roman" w:hAnsi="Times New Roman"/>
          <w:sz w:val="18"/>
          <w:szCs w:val="18"/>
          <w:b w:val="1"/>
          <w:bCs w:val="1"/>
          <w:color w:val="auto"/>
        </w:rPr>
        <w:t>Compensation Committee Fee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980" w:right="320"/>
        <w:spacing w:after="0" w:line="286" w:lineRule="auto"/>
        <w:rPr>
          <w:sz w:val="20"/>
          <w:szCs w:val="20"/>
          <w:color w:val="auto"/>
        </w:rPr>
      </w:pPr>
      <w:r>
        <w:rPr>
          <w:rFonts w:ascii="Times New Roman" w:cs="Times New Roman" w:eastAsia="Times New Roman" w:hAnsi="Times New Roman"/>
          <w:sz w:val="18"/>
          <w:szCs w:val="18"/>
          <w:color w:val="auto"/>
        </w:rPr>
        <w:t>(the [Audit Committee Fee / Nominating and Governance Committee Fee / Compensation Committee Fee] together,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with the NED Fee and the Committee Fee to be paid bi-annually in arrears (subject to applicable deductions and/or withholdings required by applicable law in relation to any payments and benefits under this Agreement) (respectively, the “</w:t>
      </w:r>
      <w:r>
        <w:rPr>
          <w:rFonts w:ascii="Times New Roman" w:cs="Times New Roman" w:eastAsia="Times New Roman" w:hAnsi="Times New Roman"/>
          <w:sz w:val="18"/>
          <w:szCs w:val="18"/>
          <w:b w:val="1"/>
          <w:bCs w:val="1"/>
          <w:color w:val="auto"/>
        </w:rPr>
        <w:t>Net NED Fee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Net Committee Fee</w:t>
      </w:r>
      <w:r>
        <w:rPr>
          <w:rFonts w:ascii="Times New Roman" w:cs="Times New Roman" w:eastAsia="Times New Roman" w:hAnsi="Times New Roman"/>
          <w:sz w:val="18"/>
          <w:szCs w:val="18"/>
          <w:color w:val="auto"/>
        </w:rPr>
        <w:t>”) and shall accrue from the Commencement Date, provided that on the relevant payment date:</w:t>
      </w:r>
    </w:p>
    <w:p>
      <w:pPr>
        <w:spacing w:after="0" w:line="81" w:lineRule="exact"/>
        <w:rPr>
          <w:sz w:val="20"/>
          <w:szCs w:val="20"/>
          <w:color w:val="auto"/>
        </w:rPr>
      </w:pPr>
    </w:p>
    <w:p>
      <w:pPr>
        <w:ind w:left="960" w:hanging="532"/>
        <w:spacing w:after="0"/>
        <w:tabs>
          <w:tab w:leader="none" w:pos="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50% of the Net NED Fee; and</w:t>
      </w:r>
    </w:p>
    <w:p>
      <w:pPr>
        <w:spacing w:after="0" w:line="126" w:lineRule="exact"/>
        <w:rPr>
          <w:rFonts w:ascii="Times New Roman" w:cs="Times New Roman" w:eastAsia="Times New Roman" w:hAnsi="Times New Roman"/>
          <w:sz w:val="18"/>
          <w:szCs w:val="18"/>
          <w:color w:val="auto"/>
        </w:rPr>
      </w:pPr>
    </w:p>
    <w:p>
      <w:pPr>
        <w:ind w:left="960" w:hanging="532"/>
        <w:spacing w:after="0" w:line="255" w:lineRule="auto"/>
        <w:tabs>
          <w:tab w:leader="none" w:pos="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remaining 50% of the Net NED Fee (“</w:t>
      </w:r>
      <w:r>
        <w:rPr>
          <w:rFonts w:ascii="Times New Roman" w:cs="Times New Roman" w:eastAsia="Times New Roman" w:hAnsi="Times New Roman"/>
          <w:sz w:val="18"/>
          <w:szCs w:val="18"/>
          <w:b w:val="1"/>
          <w:bCs w:val="1"/>
          <w:color w:val="auto"/>
        </w:rPr>
        <w:t>Net NED Fee Balance</w:t>
      </w:r>
      <w:r>
        <w:rPr>
          <w:rFonts w:ascii="Times New Roman" w:cs="Times New Roman" w:eastAsia="Times New Roman" w:hAnsi="Times New Roman"/>
          <w:sz w:val="18"/>
          <w:szCs w:val="18"/>
          <w:color w:val="auto"/>
        </w:rPr>
        <w:t>”), you hereby direct the Company on your behalf, to purchase the maximum number of shares in the Company as may be purchased in the market at the prevailing rate by applying the Net NED Fee Balance (the “</w:t>
      </w:r>
      <w:r>
        <w:rPr>
          <w:rFonts w:ascii="Times New Roman" w:cs="Times New Roman" w:eastAsia="Times New Roman" w:hAnsi="Times New Roman"/>
          <w:sz w:val="18"/>
          <w:szCs w:val="18"/>
          <w:b w:val="1"/>
          <w:bCs w:val="1"/>
          <w:color w:val="auto"/>
        </w:rPr>
        <w:t>NED Fee Shares</w:t>
      </w:r>
      <w:r>
        <w:rPr>
          <w:rFonts w:ascii="Times New Roman" w:cs="Times New Roman" w:eastAsia="Times New Roman" w:hAnsi="Times New Roman"/>
          <w:sz w:val="18"/>
          <w:szCs w:val="18"/>
          <w:color w:val="auto"/>
        </w:rPr>
        <w:t>”). The NED Fee Shares shall be delivered by the Company in the form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representing the NED Fee Shares to the extent (i) an ADS program has been established and is operating for the Consideration Shares, and (ii) such delivery of ADSs is not in violation of applicable law or the terms of the applicable ADS deposit agreement. Such purchase shall take place as soon as reasonably practicable following the relevant payment date, subject to any securities or other laws or Company policies which may be applicable in respect of such purchase. To the extent that the aggregate purchase price of the NED Fee Shares is less than the Net NED Fee Balance, the Company shall pay you the difference in cash.</w:t>
      </w:r>
    </w:p>
    <w:p>
      <w:pPr>
        <w:spacing w:after="0" w:line="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You hereby acknowledge and agree that:</w:t>
      </w:r>
    </w:p>
    <w:p>
      <w:pPr>
        <w:spacing w:after="0" w:line="131" w:lineRule="exact"/>
        <w:rPr>
          <w:sz w:val="20"/>
          <w:szCs w:val="20"/>
          <w:color w:val="auto"/>
        </w:rPr>
      </w:pPr>
    </w:p>
    <w:p>
      <w:pPr>
        <w:ind w:left="960" w:hanging="532"/>
        <w:spacing w:after="0"/>
        <w:tabs>
          <w:tab w:leader="none" w:pos="9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that you shall hold the NED Fee Shares for the duration of your appointment as a non-executive director of the Board; and</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9" w:lineRule="auto"/>
        <w:tabs>
          <w:tab w:leader="none" w:pos="96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required to comply with the provisions of the Company’s Insider Trading Policy in relation to dealing in the Company’s publicly traded or quoted securities (including, for the avoidance of doubt, the NED Fee Shares), and any such other code or policy as the Board may adopt from time to time which sets out the terms for dealings by directors in the Company’s publicly traded or quoted securities.</w:t>
      </w:r>
    </w:p>
    <w:p>
      <w:pPr>
        <w:sectPr>
          <w:pgSz w:w="11900" w:h="16838" w:orient="portrait"/>
          <w:cols w:equalWidth="0" w:num="1">
            <w:col w:w="10920"/>
          </w:cols>
          <w:pgMar w:left="440" w:top="270" w:right="539" w:bottom="1440" w:gutter="0" w:footer="0" w:header="0"/>
        </w:sectPr>
      </w:pPr>
    </w:p>
    <w:bookmarkStart w:id="377" w:name="page378"/>
    <w:bookmarkEnd w:id="377"/>
    <w:p>
      <w:pPr>
        <w:ind w:left="424" w:right="3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w:t>
        <w:tab/>
        <w:t>The Company will procure that you are reimbursed for all reasonable and properly documented expenses you incur in performing the duties of your office.</w:t>
      </w:r>
    </w:p>
    <w:p>
      <w:pPr>
        <w:spacing w:after="0" w:line="67"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5.5</w:t>
        <w:tab/>
        <w:t>You will have no fixed place where to perform your services but will be expected to conduct your role from locations including any business office of the Company, advisors’ offices and your home. You shall be solely responsible for any costs, expenses, obligations and liabilities arising in relation to your working at home, and shall ensure that any relevant insurances are in place.</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5.6</w:t>
        <w:tab/>
        <w:t>Other than as set out in paragraph 6 below, you will not be eligible to receive any other benefits.</w:t>
      </w:r>
    </w:p>
    <w:p>
      <w:pPr>
        <w:spacing w:after="0" w:line="131"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5.7</w:t>
        <w:tab/>
        <w:t>On termination of your appointment, you shall only be entitled to such NED Fees as may have accrued to the date of termination, together with reimbursement of any expenses properly incurred before that date.</w:t>
      </w:r>
    </w:p>
    <w:p>
      <w:pPr>
        <w:spacing w:after="0" w:line="63" w:lineRule="exact"/>
        <w:rPr>
          <w:sz w:val="20"/>
          <w:szCs w:val="20"/>
          <w:color w:val="auto"/>
        </w:rPr>
      </w:pPr>
    </w:p>
    <w:p>
      <w:pPr>
        <w:ind w:left="424" w:hanging="424"/>
        <w:spacing w:after="0"/>
        <w:tabs>
          <w:tab w:leader="none" w:pos="424"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w:t>
      </w:r>
    </w:p>
    <w:p>
      <w:pPr>
        <w:spacing w:after="0" w:line="135"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6.1</w:t>
        <w:tab/>
        <w:t>Provided that you hold a current full driving licence, the Company will supply you with a Polestar car of such make, model and value as it determines for your business and private use (“</w:t>
      </w:r>
      <w:r>
        <w:rPr>
          <w:rFonts w:ascii="Times New Roman" w:cs="Times New Roman" w:eastAsia="Times New Roman" w:hAnsi="Times New Roman"/>
          <w:sz w:val="18"/>
          <w:szCs w:val="18"/>
          <w:b w:val="1"/>
          <w:bCs w:val="1"/>
          <w:color w:val="auto"/>
        </w:rPr>
        <w:t>Car</w:t>
      </w:r>
      <w:r>
        <w:rPr>
          <w:rFonts w:ascii="Times New Roman" w:cs="Times New Roman" w:eastAsia="Times New Roman" w:hAnsi="Times New Roman"/>
          <w:sz w:val="18"/>
          <w:szCs w:val="18"/>
          <w:color w:val="auto"/>
        </w:rPr>
        <w:t>”). The Company shall replace the Car at such times as decided by the Board from time to time. The Company may, at its discretion, permit the personal use of the car by your spouse or civil partner.</w:t>
      </w:r>
    </w:p>
    <w:p>
      <w:pPr>
        <w:spacing w:after="0" w:line="81" w:lineRule="exact"/>
        <w:rPr>
          <w:sz w:val="20"/>
          <w:szCs w:val="20"/>
          <w:color w:val="auto"/>
        </w:rPr>
      </w:pPr>
    </w:p>
    <w:p>
      <w:pPr>
        <w:ind w:left="424" w:right="2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6.2</w:t>
        <w:tab/>
        <w:t>The Company shall be responsible for payment of insurance, road tax, maintenance and repair in connection with the Car and you shall bear the cost of charging incurred during business and private mileage. You shall be responsible for any income, benefit, or social taxes relating to the provision of the Car.</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You shall:</w:t>
      </w:r>
    </w:p>
    <w:p>
      <w:pPr>
        <w:spacing w:after="0" w:line="131" w:lineRule="exact"/>
        <w:rPr>
          <w:sz w:val="20"/>
          <w:szCs w:val="20"/>
          <w:color w:val="auto"/>
        </w:rPr>
      </w:pPr>
    </w:p>
    <w:p>
      <w:pPr>
        <w:ind w:left="964" w:right="400" w:hanging="532"/>
        <w:spacing w:after="0" w:line="282" w:lineRule="auto"/>
        <w:tabs>
          <w:tab w:leader="none" w:pos="96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good care of the Car and ensure that the provisions of the Company’s Car policy as amended from time to time and any policy of insurance relating to the Car are observed;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expenses directly connected with your and your spouse’s or civil partner’s private use of the Car;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payment of all fines incurred for traffic offences and parking fines;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us immediately of any accidents involving the Car (whether or not these take place while you are on business);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inform us if you are convicted of a driving offence or disqualified from driving.</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The Company shall have the right to reclaim the Car if you are convicted of a driving offence or disqualified from driving.</w:t>
      </w:r>
    </w:p>
    <w:p>
      <w:pPr>
        <w:sectPr>
          <w:pgSz w:w="11900" w:h="16838" w:orient="portrait"/>
          <w:cols w:equalWidth="0" w:num="1">
            <w:col w:w="11004"/>
          </w:cols>
          <w:pgMar w:left="436" w:top="270" w:right="459" w:bottom="1440" w:gutter="0" w:footer="0" w:header="0"/>
        </w:sectPr>
      </w:pPr>
    </w:p>
    <w:bookmarkStart w:id="378" w:name="page379"/>
    <w:bookmarkEnd w:id="378"/>
    <w:p>
      <w:pPr>
        <w:ind w:left="424" w:right="3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6.5</w:t>
        <w:tab/>
        <w:t>In the event that you resign from or are removed from the Board, you will no longer be entitled to receive the Car and you will be required to return the Car to the Company as soon as possible and in good working order and repair.</w:t>
      </w:r>
    </w:p>
    <w:p>
      <w:pPr>
        <w:spacing w:after="0" w:line="63" w:lineRule="exact"/>
        <w:rPr>
          <w:sz w:val="20"/>
          <w:szCs w:val="20"/>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INDEPENDENCE AND OUTSIDE INTERESTS</w:t>
      </w:r>
    </w:p>
    <w:p>
      <w:pPr>
        <w:spacing w:after="0" w:line="134" w:lineRule="exact"/>
        <w:rPr>
          <w:rFonts w:ascii="Times New Roman" w:cs="Times New Roman" w:eastAsia="Times New Roman" w:hAnsi="Times New Roman"/>
          <w:sz w:val="18"/>
          <w:szCs w:val="18"/>
          <w:b w:val="1"/>
          <w:bCs w:val="1"/>
          <w:color w:val="auto"/>
        </w:rPr>
      </w:pPr>
    </w:p>
    <w:p>
      <w:pPr>
        <w:ind w:left="424" w:right="180" w:hanging="424"/>
        <w:spacing w:after="0" w:line="258" w:lineRule="auto"/>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that you do not have any current outside interests or connections that conflict with your appointment to the Company. In the event that you become aware of any potential or actual conflicts of interest, these should be disclosed to the rest of the Board as soon as they become apparent and the agreement of the Board may have to be sought. In addition, during the term of your appointment, you undertake not to become involved (in any capacity and whether directly or indirectly) in any business or enterprise which might reasonably be considered to compete with the Company, without the prior written approval of the Board.</w:t>
      </w:r>
    </w:p>
    <w:p>
      <w:pPr>
        <w:spacing w:after="0" w:line="8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424" w:right="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9.1</w:t>
        <w:tab/>
        <w:t>You acknowledge that all information acquired during your appointment is confidential to the Company (or applicable Group Company) and should not be released, communicated, nor disclosed either during your appointment or following termination (by whatever means), to third parties without prior clearance from the rest of the Board. You shall not use Confidential Information for your own purposes or for any purposes other than those of the Company or any Group Company, and you shall not through any failure to exercise due care and diligence, permit or cause any unauthorised disclosure of such confidential information.</w:t>
      </w:r>
    </w:p>
    <w:p>
      <w:pPr>
        <w:spacing w:after="0" w:line="89" w:lineRule="exact"/>
        <w:rPr>
          <w:sz w:val="20"/>
          <w:szCs w:val="20"/>
          <w:color w:val="auto"/>
        </w:rPr>
      </w:pPr>
    </w:p>
    <w:p>
      <w:pPr>
        <w:ind w:left="424" w:right="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9.2</w:t>
        <w:tab/>
        <w:t>This restriction shall cease to apply to: (a) any Confidential Information which may (other than by reason of your breach) become available to the public generally; and (b) any use or disclosure authorised by the Company.</w:t>
      </w:r>
    </w:p>
    <w:p>
      <w:pPr>
        <w:spacing w:after="0" w:line="63" w:lineRule="exact"/>
        <w:rPr>
          <w:sz w:val="20"/>
          <w:szCs w:val="20"/>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ind w:left="424" w:right="680" w:hanging="431"/>
        <w:spacing w:after="0" w:line="282" w:lineRule="auto"/>
        <w:rPr>
          <w:sz w:val="20"/>
          <w:szCs w:val="20"/>
          <w:color w:val="auto"/>
        </w:rPr>
      </w:pPr>
      <w:r>
        <w:rPr>
          <w:rFonts w:ascii="Times New Roman" w:cs="Times New Roman" w:eastAsia="Times New Roman" w:hAnsi="Times New Roman"/>
          <w:sz w:val="18"/>
          <w:szCs w:val="18"/>
          <w:color w:val="auto"/>
        </w:rPr>
        <w:t>10.1 Unless otherwise terminated earlier in accordance with the terms of this Agreement, the Articles or applicable law, you can terminate the appointment under this Agreement at any time by providing the Company with one month’s prior written notice.</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10.2  Notwithstanding the foregoing, the Company may, in its sole and absolute discretion, terminate your appointment with immediate effect if you:</w:t>
      </w:r>
    </w:p>
    <w:p>
      <w:pPr>
        <w:spacing w:after="0" w:line="131" w:lineRule="exact"/>
        <w:rPr>
          <w:sz w:val="20"/>
          <w:szCs w:val="20"/>
          <w:color w:val="auto"/>
        </w:rPr>
      </w:pPr>
    </w:p>
    <w:p>
      <w:pPr>
        <w:ind w:left="964" w:hanging="532"/>
        <w:spacing w:after="0"/>
        <w:tabs>
          <w:tab w:leader="none" w:pos="96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a breach of your material obligations under this Agreement; or</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any serious or repeated breach or non-observance of your material obligations to the Company (which include an obligation not to breach your duties to the Company, whether statutory, fiduciary or common-law); or</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found guilty of any fraud or dishonesty offence or act in a manner which, in the opinion of the Company acting reasonably, brings or is reasonably likely to bring you or the Company into material disrepute or is materially adverse to the interests of the Company; or</w:t>
      </w:r>
    </w:p>
    <w:p>
      <w:pPr>
        <w:sectPr>
          <w:pgSz w:w="11900" w:h="16838" w:orient="portrait"/>
          <w:cols w:equalWidth="0" w:num="1">
            <w:col w:w="10964"/>
          </w:cols>
          <w:pgMar w:left="436" w:top="270" w:right="499" w:bottom="1440" w:gutter="0" w:footer="0" w:header="0"/>
        </w:sectPr>
      </w:pPr>
    </w:p>
    <w:bookmarkStart w:id="379" w:name="page380"/>
    <w:bookmarkEnd w:id="379"/>
    <w:p>
      <w:pPr>
        <w:ind w:left="964" w:right="20" w:hanging="532"/>
        <w:spacing w:after="0" w:line="282" w:lineRule="auto"/>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been convicted of a criminal offence whether or not a custodial sentence is imposed (other than a road traffic offence for which a fine or non-custodial penalty is imposed);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declared bankrupt;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disqualified from acting as a director in any jurisdiction;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committed a knowing breach of the Relevant Requirements (as defined below).</w:t>
      </w:r>
    </w:p>
    <w:p>
      <w:pPr>
        <w:spacing w:after="0" w:line="131" w:lineRule="exact"/>
        <w:rPr>
          <w:sz w:val="20"/>
          <w:szCs w:val="20"/>
          <w:color w:val="auto"/>
        </w:rPr>
      </w:pPr>
    </w:p>
    <w:p>
      <w:pPr>
        <w:ind w:left="424" w:right="300" w:hanging="431"/>
        <w:spacing w:after="0" w:line="282" w:lineRule="auto"/>
        <w:rPr>
          <w:sz w:val="20"/>
          <w:szCs w:val="20"/>
          <w:color w:val="auto"/>
        </w:rPr>
      </w:pPr>
      <w:r>
        <w:rPr>
          <w:rFonts w:ascii="Times New Roman" w:cs="Times New Roman" w:eastAsia="Times New Roman" w:hAnsi="Times New Roman"/>
          <w:sz w:val="18"/>
          <w:szCs w:val="18"/>
          <w:color w:val="auto"/>
        </w:rPr>
        <w:t>10.3 Notwithstanding the above, this Agreement will terminate with immediate effect and without payment of any damages or otherwise, if you are removed as a member of the Board under the Articles or applicable law.</w:t>
      </w:r>
    </w:p>
    <w:p>
      <w:pPr>
        <w:spacing w:after="0" w:line="63" w:lineRule="exact"/>
        <w:rPr>
          <w:sz w:val="20"/>
          <w:szCs w:val="20"/>
          <w:color w:val="auto"/>
        </w:rPr>
      </w:pPr>
    </w:p>
    <w:p>
      <w:pPr>
        <w:ind w:left="424" w:hanging="424"/>
        <w:spacing w:after="0"/>
        <w:tabs>
          <w:tab w:leader="none" w:pos="424"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In carrying out your role, you shall:</w:t>
      </w:r>
    </w:p>
    <w:p>
      <w:pPr>
        <w:spacing w:after="0" w:line="131" w:lineRule="exact"/>
        <w:rPr>
          <w:sz w:val="20"/>
          <w:szCs w:val="20"/>
          <w:color w:val="auto"/>
        </w:rPr>
      </w:pPr>
    </w:p>
    <w:p>
      <w:pPr>
        <w:ind w:left="964" w:right="460" w:hanging="532"/>
        <w:spacing w:after="0" w:line="282" w:lineRule="auto"/>
        <w:tabs>
          <w:tab w:leader="none" w:pos="96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Company’s policies and procedures in effect, and as updated, from time to time and all applicable laws, regulations, sanctions and codes, in each case, relating to anti-bribery and corruption (“</w:t>
      </w:r>
      <w:r>
        <w:rPr>
          <w:rFonts w:ascii="Times New Roman" w:cs="Times New Roman" w:eastAsia="Times New Roman" w:hAnsi="Times New Roman"/>
          <w:sz w:val="18"/>
          <w:szCs w:val="18"/>
          <w:b w:val="1"/>
          <w:bCs w:val="1"/>
          <w:color w:val="auto"/>
        </w:rPr>
        <w:t>Relevant Requirements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not to:</w:t>
      </w:r>
    </w:p>
    <w:p>
      <w:pPr>
        <w:spacing w:after="0" w:line="130" w:lineRule="exact"/>
        <w:rPr>
          <w:rFonts w:ascii="Times New Roman" w:cs="Times New Roman" w:eastAsia="Times New Roman" w:hAnsi="Times New Roman"/>
          <w:sz w:val="18"/>
          <w:szCs w:val="18"/>
          <w:color w:val="auto"/>
        </w:rPr>
      </w:pPr>
    </w:p>
    <w:p>
      <w:pPr>
        <w:ind w:left="1424" w:right="320" w:hanging="439"/>
        <w:spacing w:after="0" w:line="266" w:lineRule="auto"/>
        <w:tabs>
          <w:tab w:leader="none" w:pos="142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promise or give any financial or other advantage or thing of value, to any person with the intention of influencing a person (who need not be the recipient of the advantage) to perform his or her function improperly, or where the acceptance of such advantage would itself be, or might be seen to be, improper;</w:t>
      </w:r>
    </w:p>
    <w:p>
      <w:pPr>
        <w:spacing w:after="0" w:line="81" w:lineRule="exact"/>
        <w:rPr>
          <w:rFonts w:ascii="Times New Roman" w:cs="Times New Roman" w:eastAsia="Times New Roman" w:hAnsi="Times New Roman"/>
          <w:sz w:val="18"/>
          <w:szCs w:val="18"/>
          <w:color w:val="auto"/>
        </w:rPr>
      </w:pPr>
    </w:p>
    <w:p>
      <w:pPr>
        <w:ind w:left="1424" w:right="360" w:hanging="439"/>
        <w:spacing w:after="0" w:line="282" w:lineRule="auto"/>
        <w:tabs>
          <w:tab w:leader="none" w:pos="142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agree to receive or accept any financial or other advantage or thing of value, where such would be improper or likely to influence the recipient in the performance of his or her role; or</w:t>
      </w:r>
    </w:p>
    <w:p>
      <w:pPr>
        <w:spacing w:after="0" w:line="67" w:lineRule="exact"/>
        <w:rPr>
          <w:rFonts w:ascii="Times New Roman" w:cs="Times New Roman" w:eastAsia="Times New Roman" w:hAnsi="Times New Roman"/>
          <w:sz w:val="18"/>
          <w:szCs w:val="18"/>
          <w:color w:val="auto"/>
        </w:rPr>
      </w:pPr>
    </w:p>
    <w:p>
      <w:pPr>
        <w:ind w:left="1424" w:hanging="439"/>
        <w:spacing w:after="0" w:line="258" w:lineRule="auto"/>
        <w:tabs>
          <w:tab w:leader="none" w:pos="142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promise or give, any financial or other advantage or thing of value, directly or indirectly, to a public official (including any officers, employees or other persons acting in an official capacity for or on behalf of any governmental agency or state-owned, or partially state owned, entity, or public organisations, in any jurisdiction), or to any other person at the request of, or with the acquiescence of, such a public official, with the intention of influencing that official in the performance of his or her public functions in violation of Relevant Requirements;</w:t>
      </w:r>
    </w:p>
    <w:p>
      <w:pPr>
        <w:spacing w:after="0" w:line="88"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not to accept payments, gifts or hospitality during any commercial negotiations, if this could be perceived as intended or likely to influence the outcome of the commercial negotiations;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UK, EU and non-EU laws, regulations and codes relating to economic sanctions;</w:t>
      </w:r>
    </w:p>
    <w:p>
      <w:pPr>
        <w:sectPr>
          <w:pgSz w:w="11900" w:h="16838" w:orient="portrait"/>
          <w:cols w:equalWidth="0" w:num="1">
            <w:col w:w="10984"/>
          </w:cols>
          <w:pgMar w:left="436" w:top="270" w:right="479" w:bottom="1440" w:gutter="0" w:footer="0" w:header="0"/>
        </w:sectPr>
      </w:pPr>
    </w:p>
    <w:bookmarkStart w:id="380" w:name="page381"/>
    <w:bookmarkEnd w:id="380"/>
    <w:p>
      <w:pPr>
        <w:ind w:left="964" w:hanging="532"/>
        <w:spacing w:after="0" w:line="266" w:lineRule="auto"/>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disclose any direct or indirect interest which you may have in any matter being considered at a Board meeting or committee meeting and, save as permitted under the Articles, you will not vote on any resolution of the Board, or of one of its committees, on any matter where you have any direct or indirect interest;</w:t>
      </w:r>
    </w:p>
    <w:p>
      <w:pPr>
        <w:spacing w:after="0" w:line="81"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report to the rest of the Board the wrongdoing or proposed wrongdoing of any employee or director of which you become aware; and</w:t>
      </w:r>
    </w:p>
    <w:p>
      <w:pPr>
        <w:spacing w:after="0" w:line="67" w:lineRule="exact"/>
        <w:rPr>
          <w:rFonts w:ascii="Times New Roman" w:cs="Times New Roman" w:eastAsia="Times New Roman" w:hAnsi="Times New Roman"/>
          <w:sz w:val="18"/>
          <w:szCs w:val="18"/>
          <w:color w:val="auto"/>
        </w:rPr>
      </w:pPr>
    </w:p>
    <w:p>
      <w:pPr>
        <w:ind w:left="964" w:right="380" w:hanging="532"/>
        <w:spacing w:after="0" w:line="282" w:lineRule="auto"/>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specifically authorised to do so by the Board, you will not enter into any legal or other commitment or contract on behalf of the Company (or the relevant Group Company).</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OF OFFICE</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your appointment or if notice to terminate your appointment has been given, at the request of the Company, you will resign forthwith (or you may be removed by the relevant company or company’s shareholder(s)) from your office as a director of the Company and from all offices held by you in any Group Company and from all other appointments or offices which you hold as nominee or representative for the Company or any Group Company.</w:t>
      </w:r>
    </w:p>
    <w:p>
      <w:pPr>
        <w:spacing w:after="0" w:line="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AND INDEMNITY</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shall arrange directors’ and officers’ liability insurance and shall maintain such cover for your benefit for the full term of your appointment. You shall be responsible for ensuring compliance with any conditions relating to your own conduct in order to maintain its validity.</w:t>
      </w:r>
    </w:p>
    <w:p>
      <w:pPr>
        <w:spacing w:after="0" w:line="4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PERSONAL DETAILS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advise the Company promptly of any change in address or other personal contact details.</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424" w:right="60" w:hanging="431"/>
        <w:spacing w:after="0" w:line="261" w:lineRule="auto"/>
        <w:rPr>
          <w:sz w:val="20"/>
          <w:szCs w:val="20"/>
          <w:color w:val="auto"/>
        </w:rPr>
      </w:pPr>
      <w:r>
        <w:rPr>
          <w:rFonts w:ascii="Times New Roman" w:cs="Times New Roman" w:eastAsia="Times New Roman" w:hAnsi="Times New Roman"/>
          <w:sz w:val="18"/>
          <w:szCs w:val="18"/>
          <w:color w:val="auto"/>
        </w:rPr>
        <w:t>15.1 During the term of your engagement with the Company and thereafter, you shall fully disclose in writing to the Company, promptly upon becoming aware of their creation, any and all existing and future right, title and interest in and to all Intellectual Property Rights in any jurisdiction, that you author, create, conceive, develop or invent (either individually or jointly with others) as a result of your engagement with the Company, whether or not created or developed during working hours or using any Company’s premises or resources (“</w:t>
      </w:r>
      <w:r>
        <w:rPr>
          <w:rFonts w:ascii="Times New Roman" w:cs="Times New Roman" w:eastAsia="Times New Roman" w:hAnsi="Times New Roman"/>
          <w:sz w:val="18"/>
          <w:szCs w:val="18"/>
          <w:b w:val="1"/>
          <w:bCs w:val="1"/>
          <w:color w:val="auto"/>
        </w:rPr>
        <w:t>Developed IP</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left="424" w:right="180" w:hanging="431"/>
        <w:spacing w:after="0" w:line="266" w:lineRule="auto"/>
        <w:rPr>
          <w:sz w:val="20"/>
          <w:szCs w:val="20"/>
          <w:color w:val="auto"/>
        </w:rPr>
      </w:pPr>
      <w:r>
        <w:rPr>
          <w:rFonts w:ascii="Times New Roman" w:cs="Times New Roman" w:eastAsia="Times New Roman" w:hAnsi="Times New Roman"/>
          <w:sz w:val="18"/>
          <w:szCs w:val="18"/>
          <w:color w:val="auto"/>
        </w:rPr>
        <w:t>15.2 You warrant to the Company that: (i) you have not given and will not give permission to any third party to use any of the Developed IP; (ii) you are unaware of any use by any third party of any of the Developed IP; and (iii) the use of the Developed IP by the Company will not infringe the rights of any third party.</w:t>
      </w:r>
    </w:p>
    <w:p>
      <w:pPr>
        <w:sectPr>
          <w:pgSz w:w="11900" w:h="16838" w:orient="portrait"/>
          <w:cols w:equalWidth="0" w:num="1">
            <w:col w:w="11004"/>
          </w:cols>
          <w:pgMar w:left="436" w:top="270" w:right="459" w:bottom="1440" w:gutter="0" w:footer="0" w:header="0"/>
        </w:sectPr>
      </w:pPr>
    </w:p>
    <w:bookmarkStart w:id="381" w:name="page382"/>
    <w:bookmarkEnd w:id="381"/>
    <w:p>
      <w:pPr>
        <w:ind w:left="424" w:right="80" w:hanging="43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15.3 You hereby: (i) irrevocably assign all of your existing and future right, title and interest in the Developed IP to the Company; (ii) to the fullest extent permissible by law, irrevocably waive any moral rights (or equivalent rights anywhere in the world) that you may have (or in the future have) in the Developed IP; and (iii) undertake not to register nor attempt to register any of the Developed IP, unless requested to do so by the Company. Notwithstanding the foregoing, in the event that any Developed IP does not vest in the Company pursuant this paragraph 14.3, until such assignment can take place, you shall hold legal title in the Developed IP on trust for the Company, and you shall, at the Company’s expense, do all such things and execute all such documents, as the Company requires, to vest the Developed IP in the Company and/or otherwise defend or maintain the Developed IP.</w:t>
      </w:r>
    </w:p>
    <w:p>
      <w:pPr>
        <w:spacing w:after="0" w:line="94" w:lineRule="exact"/>
        <w:rPr>
          <w:sz w:val="20"/>
          <w:szCs w:val="20"/>
          <w:color w:val="auto"/>
        </w:rPr>
      </w:pPr>
    </w:p>
    <w:p>
      <w:pPr>
        <w:ind w:left="424" w:right="140" w:hanging="431"/>
        <w:spacing w:after="0" w:line="282" w:lineRule="auto"/>
        <w:rPr>
          <w:sz w:val="20"/>
          <w:szCs w:val="20"/>
          <w:color w:val="auto"/>
        </w:rPr>
      </w:pPr>
      <w:r>
        <w:rPr>
          <w:rFonts w:ascii="Times New Roman" w:cs="Times New Roman" w:eastAsia="Times New Roman" w:hAnsi="Times New Roman"/>
          <w:sz w:val="18"/>
          <w:szCs w:val="18"/>
          <w:color w:val="auto"/>
        </w:rPr>
        <w:t>15.4 By signing this letter, you irrevocably appoint the Company to be your attorney in your name and on your behalf to execute documents, use your name and do all things which are necessary or desirable for the Company to obtain for itself or its nominee the full benefit of this paragraph 14.</w:t>
      </w:r>
    </w:p>
    <w:p>
      <w:pPr>
        <w:spacing w:after="0" w:line="67"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15.5 To the fullest extent permitted by law, you hereby waive any and all moral rights arising by virtue of Chapter IV of Part I of the Copyright Designs and Patents Act 1988 (or any equivalent laws anywhere in the world) in respect of any existing or future works created by you in the course of or in connection with performing your duties hereunder.</w:t>
      </w:r>
    </w:p>
    <w:p>
      <w:pPr>
        <w:spacing w:after="0" w:line="77" w:lineRule="exact"/>
        <w:rPr>
          <w:sz w:val="20"/>
          <w:szCs w:val="20"/>
          <w:color w:val="auto"/>
        </w:rPr>
      </w:pPr>
    </w:p>
    <w:p>
      <w:pPr>
        <w:ind w:left="424" w:hanging="424"/>
        <w:spacing w:after="0"/>
        <w:tabs>
          <w:tab w:leader="none" w:pos="424"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PROTECTION</w:t>
      </w:r>
    </w:p>
    <w:p>
      <w:pPr>
        <w:spacing w:after="0" w:line="135" w:lineRule="exact"/>
        <w:rPr>
          <w:sz w:val="20"/>
          <w:szCs w:val="20"/>
          <w:color w:val="auto"/>
        </w:rPr>
      </w:pPr>
    </w:p>
    <w:p>
      <w:pPr>
        <w:ind w:left="424" w:right="220" w:hanging="431"/>
        <w:spacing w:after="0" w:line="266" w:lineRule="auto"/>
        <w:rPr>
          <w:sz w:val="20"/>
          <w:szCs w:val="20"/>
          <w:color w:val="auto"/>
        </w:rPr>
      </w:pPr>
      <w:r>
        <w:rPr>
          <w:rFonts w:ascii="Times New Roman" w:cs="Times New Roman" w:eastAsia="Times New Roman" w:hAnsi="Times New Roman"/>
          <w:sz w:val="18"/>
          <w:szCs w:val="18"/>
          <w:color w:val="auto"/>
        </w:rPr>
        <w:t>16.1 You shall comply with the Company’s data protection and IT security policies (copies of which shall be made available to you), including when handling any personal data in the course of your appointment including personal data relating to any employee, worker, contractor, customer, client, supplier or agent of the Company.</w:t>
      </w:r>
    </w:p>
    <w:p>
      <w:pPr>
        <w:spacing w:after="0" w:line="81" w:lineRule="exact"/>
        <w:rPr>
          <w:sz w:val="20"/>
          <w:szCs w:val="20"/>
          <w:color w:val="auto"/>
        </w:rPr>
      </w:pPr>
    </w:p>
    <w:p>
      <w:pPr>
        <w:ind w:left="424" w:right="60" w:hanging="431"/>
        <w:spacing w:after="0" w:line="256" w:lineRule="auto"/>
        <w:rPr>
          <w:sz w:val="20"/>
          <w:szCs w:val="20"/>
          <w:color w:val="auto"/>
        </w:rPr>
      </w:pPr>
      <w:r>
        <w:rPr>
          <w:rFonts w:ascii="Times New Roman" w:cs="Times New Roman" w:eastAsia="Times New Roman" w:hAnsi="Times New Roman"/>
          <w:sz w:val="18"/>
          <w:szCs w:val="18"/>
          <w:color w:val="auto"/>
        </w:rPr>
        <w:t>16.2 You acknowledge that the Company will from time to time process data (including personal data) that relates to you for the purposes of the administration and management of the Company’s employees and/or directors (as applicable) and its business, for compliance with applicable procedures, laws and regulations, and for other legitimate purposes. The legal bases for the aforementioned processing are the performance of this Agreement and the Company’s legitimate interests. You consent to the transfer of such personal information to other offices the Company may have or to a Group Company or to other third parties, whether or not outside the European Economic Area, for administration purposes and other purposes in connection with your appointment, where it is necessary or desirable for the Company to do so.</w:t>
      </w:r>
    </w:p>
    <w:p>
      <w:pPr>
        <w:spacing w:after="0" w:line="89" w:lineRule="exact"/>
        <w:rPr>
          <w:sz w:val="20"/>
          <w:szCs w:val="20"/>
          <w:color w:val="auto"/>
        </w:rPr>
      </w:pPr>
    </w:p>
    <w:p>
      <w:pPr>
        <w:ind w:left="424" w:hanging="424"/>
        <w:spacing w:after="0"/>
        <w:tabs>
          <w:tab w:leader="none" w:pos="424"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THIRD PARTIES</w:t>
      </w:r>
    </w:p>
    <w:p>
      <w:pPr>
        <w:spacing w:after="0" w:line="135" w:lineRule="exact"/>
        <w:rPr>
          <w:sz w:val="20"/>
          <w:szCs w:val="20"/>
          <w:color w:val="auto"/>
        </w:rPr>
      </w:pPr>
    </w:p>
    <w:p>
      <w:pPr>
        <w:ind w:left="424" w:right="140" w:hanging="431"/>
        <w:spacing w:after="0" w:line="282" w:lineRule="auto"/>
        <w:rPr>
          <w:sz w:val="20"/>
          <w:szCs w:val="20"/>
          <w:color w:val="auto"/>
        </w:rPr>
      </w:pPr>
      <w:r>
        <w:rPr>
          <w:rFonts w:ascii="Times New Roman" w:cs="Times New Roman" w:eastAsia="Times New Roman" w:hAnsi="Times New Roman"/>
          <w:sz w:val="18"/>
          <w:szCs w:val="18"/>
          <w:color w:val="auto"/>
        </w:rPr>
        <w:t>17.1 A person who is not a party to this Agreement shall have no rights under the Contracts (Rights of Third Parties) Act 1999 to rely upon or enforce any term of this Agreement.</w:t>
      </w:r>
    </w:p>
    <w:p>
      <w:pPr>
        <w:spacing w:after="0" w:line="63" w:lineRule="exact"/>
        <w:rPr>
          <w:sz w:val="20"/>
          <w:szCs w:val="20"/>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35" w:lineRule="exact"/>
        <w:rPr>
          <w:sz w:val="20"/>
          <w:szCs w:val="20"/>
          <w:color w:val="auto"/>
        </w:rPr>
      </w:pPr>
    </w:p>
    <w:p>
      <w:pPr>
        <w:ind w:left="424" w:right="140" w:hanging="431"/>
        <w:spacing w:after="0" w:line="266" w:lineRule="auto"/>
        <w:rPr>
          <w:sz w:val="20"/>
          <w:szCs w:val="20"/>
          <w:color w:val="auto"/>
        </w:rPr>
      </w:pPr>
      <w:r>
        <w:rPr>
          <w:rFonts w:ascii="Times New Roman" w:cs="Times New Roman" w:eastAsia="Times New Roman" w:hAnsi="Times New Roman"/>
          <w:sz w:val="18"/>
          <w:szCs w:val="18"/>
          <w:color w:val="auto"/>
        </w:rPr>
        <w:t>18.1 This Agreement and any non-contractual obligations arising out of or in connection with it (including any non-contractual obligations arising out of the negotiation of the transaction contemplated by this Agreement) are governed by and shall be construed in accordance with the laws of England and Wales.</w:t>
      </w:r>
    </w:p>
    <w:p>
      <w:pPr>
        <w:sectPr>
          <w:pgSz w:w="11900" w:h="16838" w:orient="portrait"/>
          <w:cols w:equalWidth="0" w:num="1">
            <w:col w:w="11004"/>
          </w:cols>
          <w:pgMar w:left="436" w:top="270" w:right="459" w:bottom="1440" w:gutter="0" w:footer="0" w:header="0"/>
        </w:sectPr>
      </w:pPr>
    </w:p>
    <w:bookmarkStart w:id="382" w:name="page383"/>
    <w:bookmarkEnd w:id="382"/>
    <w:p>
      <w:pPr>
        <w:jc w:val="both"/>
        <w:ind w:left="424" w:right="40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18.2 The parties irrevocably agree that the courts of England shall have exclusive jurisdiction to settle any dispute or claim that arises out of or in connection with this Agreement (including a dispute relating to any non-contractual obligation arising out of or in connection with either this Agreement or the negotiation of the transaction contemplated by this Agreement).</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18.3  This Agreement constitutes the entire terms and conditions of your appointment.</w:t>
      </w:r>
    </w:p>
    <w:p>
      <w:pPr>
        <w:spacing w:after="0" w:line="127" w:lineRule="exact"/>
        <w:rPr>
          <w:sz w:val="20"/>
          <w:szCs w:val="20"/>
          <w:color w:val="auto"/>
        </w:rPr>
      </w:pPr>
    </w:p>
    <w:p>
      <w:pPr>
        <w:ind w:left="424" w:hanging="424"/>
        <w:spacing w:after="0"/>
        <w:tabs>
          <w:tab w:leader="none" w:pos="424"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19.1  No variation or modification of this Agreement shall be effective unless it is in writing and signed by you and the Company.</w:t>
      </w:r>
    </w:p>
    <w:p>
      <w:pPr>
        <w:spacing w:after="0" w:line="131" w:lineRule="exact"/>
        <w:rPr>
          <w:sz w:val="20"/>
          <w:szCs w:val="20"/>
          <w:color w:val="auto"/>
        </w:rPr>
      </w:pPr>
    </w:p>
    <w:p>
      <w:pPr>
        <w:ind w:left="424" w:right="40" w:hanging="431"/>
        <w:spacing w:after="0" w:line="266" w:lineRule="auto"/>
        <w:rPr>
          <w:sz w:val="20"/>
          <w:szCs w:val="20"/>
          <w:color w:val="auto"/>
        </w:rPr>
      </w:pPr>
      <w:r>
        <w:rPr>
          <w:rFonts w:ascii="Times New Roman" w:cs="Times New Roman" w:eastAsia="Times New Roman" w:hAnsi="Times New Roman"/>
          <w:sz w:val="18"/>
          <w:szCs w:val="18"/>
          <w:color w:val="auto"/>
        </w:rPr>
        <w:t>19.2 This Agreement may be executed in any number of counterparts and by the parties on different counterparts, but shall not be effective until each party has executed at least one counterpart. Each counterpart shall be deemed an original, but all the counterparts shall together constitute one and the same agreement.</w:t>
      </w:r>
    </w:p>
    <w:p>
      <w:pPr>
        <w:spacing w:after="0" w:line="77" w:lineRule="exact"/>
        <w:rPr>
          <w:sz w:val="20"/>
          <w:szCs w:val="20"/>
          <w:color w:val="auto"/>
        </w:rPr>
      </w:pPr>
    </w:p>
    <w:p>
      <w:pPr>
        <w:ind w:left="424" w:hanging="424"/>
        <w:spacing w:after="0"/>
        <w:tabs>
          <w:tab w:leader="none" w:pos="424"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Agreement:</w:t>
      </w:r>
    </w:p>
    <w:p>
      <w:pPr>
        <w:spacing w:after="0" w:line="22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information relating to the business, products, services, affairs and finances of the Company for the time being confidential to it or to them and trade secrets (including, without limitation, technical data and know-how) relating to the business of the Company or of any of its or their suppliers, clients or customers.</w:t>
      </w:r>
    </w:p>
    <w:p>
      <w:pPr>
        <w:spacing w:after="0" w:line="171" w:lineRule="exact"/>
        <w:rPr>
          <w:sz w:val="20"/>
          <w:szCs w:val="20"/>
          <w:color w:val="auto"/>
        </w:rPr>
      </w:pPr>
    </w:p>
    <w:p>
      <w:pPr>
        <w:ind w:left="4" w:right="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shall mean any undertaking which from time to time is a subsidiary or parent undertaking of the Company or a subsidiary undertaking of any such parent undertaking. The words “</w:t>
      </w:r>
      <w:r>
        <w:rPr>
          <w:rFonts w:ascii="Times New Roman" w:cs="Times New Roman" w:eastAsia="Times New Roman" w:hAnsi="Times New Roman"/>
          <w:sz w:val="18"/>
          <w:szCs w:val="18"/>
          <w:b w:val="1"/>
          <w:bCs w:val="1"/>
          <w:color w:val="auto"/>
        </w:rPr>
        <w:t>subsidiary undertaking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parent undertaking</w:t>
      </w:r>
      <w:r>
        <w:rPr>
          <w:rFonts w:ascii="Times New Roman" w:cs="Times New Roman" w:eastAsia="Times New Roman" w:hAnsi="Times New Roman"/>
          <w:sz w:val="18"/>
          <w:szCs w:val="18"/>
          <w:color w:val="auto"/>
        </w:rPr>
        <w:t>” will have the meanings attributed to them by the Companies Act 2006.</w:t>
      </w:r>
    </w:p>
    <w:p>
      <w:pPr>
        <w:spacing w:after="0" w:line="171"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trade marks, services marks, rights in trade names, business names and get-up, logos, rights in goodwill or to sue for passing off or unfair competition, patents, rights in inventions, design rights, copyrights and related rights, database rights, rights in domain names and URLs, rights in confidential information (including know-how and trade secrets), and all other intellectual property rights or similar rights in any part of the world, in each case, whether such rights are registered or unregistered and including rights to apply for such registrations, which may now or in the future subsist.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EXECUTION PAGE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Executed and delivered as a deed by the parties or their duly authorised representatives on the date of Agreement.</w:t>
      </w:r>
    </w:p>
    <w:p>
      <w:pPr>
        <w:sectPr>
          <w:pgSz w:w="11900" w:h="16838" w:orient="portrait"/>
          <w:cols w:equalWidth="0" w:num="1">
            <w:col w:w="10984"/>
          </w:cols>
          <w:pgMar w:left="436" w:top="270" w:right="479" w:bottom="1440" w:gutter="0" w:footer="0" w:header="0"/>
        </w:sect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POLESTAR AUTOMOTIVE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HOLDING UK PLC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signed on its behalf 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142875</wp:posOffset>
            </wp:positionV>
            <wp:extent cx="23056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2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2944" w:space="720"/>
            <w:col w:w="7320"/>
          </w:cols>
          <w:pgMar w:left="436" w:top="270" w:right="479" w:bottom="1440" w:gutter="0" w:footer="0" w:header="0"/>
          <w:type w:val="continuous"/>
        </w:sectPr>
      </w:pPr>
    </w:p>
    <w:p>
      <w:pPr>
        <w:ind w:left="3884"/>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1">
            <w:col w:w="10984"/>
          </w:cols>
          <w:pgMar w:left="436" w:top="270" w:right="479" w:bottom="1440" w:gutter="0" w:footer="0" w:header="0"/>
          <w:type w:val="continuous"/>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presence 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17145</wp:posOffset>
            </wp:positionV>
            <wp:extent cx="223710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2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17145</wp:posOffset>
            </wp:positionV>
            <wp:extent cx="22371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24765</wp:posOffset>
            </wp:positionV>
            <wp:extent cx="223710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3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 </w:t>
            </w:r>
            <w:r>
              <w:rPr>
                <w:rFonts w:ascii="Times New Roman" w:cs="Times New Roman" w:eastAsia="Times New Roman" w:hAnsi="Times New Roman"/>
                <w:sz w:val="18"/>
                <w:szCs w:val="18"/>
                <w:color w:val="auto"/>
              </w:rPr>
              <w:t>by</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9"/>
                <w:szCs w:val="19"/>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0"/>
                <w:szCs w:val="20"/>
                <w:color w:val="auto"/>
              </w:rPr>
            </w:pPr>
          </w:p>
        </w:tc>
      </w:tr>
      <w:tr>
        <w:trPr>
          <w:trHeight w:val="33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33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33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372"/>
        </w:trPr>
        <w:tc>
          <w:tcPr>
            <w:tcW w:w="2940" w:type="dxa"/>
            <w:vAlign w:val="bottom"/>
          </w:tcPr>
          <w:p>
            <w:pPr>
              <w:spacing w:after="0"/>
              <w:rPr>
                <w:sz w:val="24"/>
                <w:szCs w:val="24"/>
                <w:color w:val="auto"/>
              </w:rPr>
            </w:pPr>
          </w:p>
        </w:tc>
        <w:tc>
          <w:tcPr>
            <w:tcW w:w="45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the NED appointment letter</w:t>
            </w:r>
            <w:r>
              <w:rPr>
                <w:rFonts w:ascii="Times New Roman" w:cs="Times New Roman" w:eastAsia="Times New Roman" w:hAnsi="Times New Roman"/>
                <w:sz w:val="18"/>
                <w:szCs w:val="18"/>
                <w:color w:val="auto"/>
              </w:rPr>
              <w:t>]</w:t>
            </w:r>
          </w:p>
        </w:tc>
      </w:tr>
    </w:tbl>
    <w:p>
      <w:pPr>
        <w:ind w:left="84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5" w:name="page386"/>
    <w:bookmarkEnd w:id="385"/>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Subsidiaries of the Company</w:t>
            </w:r>
          </w:p>
        </w:tc>
        <w:tc>
          <w:tcPr>
            <w:tcW w:w="3860" w:type="dxa"/>
            <w:vAlign w:val="bottom"/>
            <w:gridSpan w:val="2"/>
          </w:tcPr>
          <w:p>
            <w:pPr>
              <w:spacing w:after="0"/>
              <w:rPr>
                <w:sz w:val="17"/>
                <w:szCs w:val="17"/>
                <w:color w:val="auto"/>
              </w:rPr>
            </w:pPr>
          </w:p>
        </w:tc>
        <w:tc>
          <w:tcPr>
            <w:tcW w:w="5080" w:type="dxa"/>
            <w:vAlign w:val="bottom"/>
          </w:tcPr>
          <w:p>
            <w:pPr>
              <w:spacing w:after="0"/>
              <w:rPr>
                <w:sz w:val="17"/>
                <w:szCs w:val="17"/>
                <w:color w:val="auto"/>
              </w:rPr>
            </w:pPr>
          </w:p>
        </w:tc>
      </w:tr>
      <w:tr>
        <w:trPr>
          <w:trHeight w:val="487"/>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32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1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Holding AB</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(Singapore) Pte. Ltd.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Performance AB</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Canada Inc.</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Alberta, Canada</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USA Inc.</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Gores Guggenheim, Inc.</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Belgium BV</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Germany GmbH</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Netherlands BV</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Sweden AB</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Austria GmbH</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Denmark ApS</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Finland Oy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Switzerland GmbH</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Norway A/S</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Korea Limited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Australia PTY Ltd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(Singapore) Distribution Pte. Ltd.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Ireland Limited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Republic of Ireland</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PLSTR Automotive Portugal Unipessoal Lda</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Poland sp. zo. o</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UK Limited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2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Polestar Automotive Spain S.L</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bl>
    <w:p>
      <w:pPr>
        <w:sectPr>
          <w:pgSz w:w="11900" w:h="16838" w:orient="portrait"/>
          <w:cols w:equalWidth="0" w:num="1">
            <w:col w:w="11020"/>
          </w:cols>
          <w:pgMar w:left="440" w:top="117" w:right="4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Luxembourg SARL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Czech Republic s.r.o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Shanghai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New Energy Vehicle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Consulting Service (Shanghai)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(Chongqing)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Jing’an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Shenzhen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Distribution (Taizhou)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Chaoyang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Shunyi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Polestar Automotive China Distribution Co., Ltd. Guangzhou Tianhe Branch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Chengdu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Hangzhou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Minhang Branch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Branch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 Republic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28" w:lineRule="exact"/>
        <w:rPr>
          <w:sz w:val="20"/>
          <w:szCs w:val="20"/>
          <w:color w:val="auto"/>
        </w:rPr>
      </w:pPr>
    </w:p>
    <w:p>
      <w:pPr>
        <w:sectPr>
          <w:pgSz w:w="11900" w:h="16838" w:orient="portrait"/>
          <w:cols w:equalWidth="0" w:num="2">
            <w:col w:w="5540" w:space="400"/>
            <w:col w:w="4079"/>
          </w:cols>
          <w:pgMar w:left="440" w:top="378" w:right="1440"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Polestar Automotive China Distribution Co., Ltd. Shanghai Pudong Jinqiao</w:t>
      </w:r>
    </w:p>
    <w:p>
      <w:pPr>
        <w:sectPr>
          <w:pgSz w:w="11900" w:h="16838" w:orient="portrait"/>
          <w:cols w:equalWidth="0" w:num="1">
            <w:col w:w="10019"/>
          </w:cols>
          <w:pgMar w:left="440" w:top="378" w:right="1440" w:bottom="1440" w:gutter="0" w:footer="0" w:header="0"/>
          <w:type w:val="continuous"/>
        </w:sectPr>
      </w:pP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Branch</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50" w:lineRule="exact"/>
        <w:rPr>
          <w:sz w:val="20"/>
          <w:szCs w:val="20"/>
          <w:color w:val="auto"/>
        </w:rPr>
      </w:pPr>
    </w:p>
    <w:p>
      <w:pPr>
        <w:sectPr>
          <w:pgSz w:w="11900" w:h="16838" w:orient="portrait"/>
          <w:cols w:equalWidth="0" w:num="2">
            <w:col w:w="5220" w:space="720"/>
            <w:col w:w="4079"/>
          </w:cols>
          <w:pgMar w:left="440" w:top="378" w:right="1440"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019"/>
          </w:cols>
          <w:pgMar w:left="440" w:top="378" w:right="1440" w:bottom="1440" w:gutter="0" w:footer="0" w:header="0"/>
          <w:type w:val="continuous"/>
        </w:sectPr>
      </w:pPr>
    </w:p>
    <w:bookmarkStart w:id="387" w:name="page388"/>
    <w:bookmarkEnd w:id="387"/>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 15.1</w:t>
            </w:r>
          </w:p>
        </w:tc>
      </w:tr>
      <w:tr>
        <w:trPr>
          <w:trHeight w:val="432"/>
        </w:trPr>
        <w:tc>
          <w:tcPr>
            <w:tcW w:w="1300" w:type="dxa"/>
            <w:vAlign w:val="bottom"/>
          </w:tcPr>
          <w:p>
            <w:pPr>
              <w:spacing w:after="0"/>
              <w:rPr>
                <w:sz w:val="24"/>
                <w:szCs w:val="24"/>
                <w:color w:val="auto"/>
              </w:rPr>
            </w:pPr>
          </w:p>
        </w:tc>
        <w:tc>
          <w:tcPr>
            <w:tcW w:w="876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8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5"/>
        </w:trPr>
        <w:tc>
          <w:tcPr>
            <w:tcW w:w="10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Reports of Independent Registered Public Accounting Firms</w:t>
            </w:r>
          </w:p>
        </w:tc>
        <w:tc>
          <w:tcPr>
            <w:tcW w:w="600" w:type="dxa"/>
            <w:vAlign w:val="bottom"/>
          </w:tcPr>
          <w:p>
            <w:pPr>
              <w:spacing w:after="0"/>
              <w:rPr>
                <w:sz w:val="16"/>
                <w:szCs w:val="16"/>
                <w:color w:val="auto"/>
              </w:rPr>
            </w:pPr>
          </w:p>
        </w:tc>
        <w:tc>
          <w:tcPr>
            <w:tcW w:w="3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Sheets as of December 31, 2020 and December 31, 2021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Operations For the Period from December 21, 2020 (inception) through December 31, 2020 and for the year ended</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Statements of Changes In Stockholders’ Deficit for the Period from December 21, 2020 (inception) through December 31, 2020 and for the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Cash Flows For the Period from December 21, 2020 (inception) through December 31, 2020 and for the year ended</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440" w:top="117" w:right="439" w:bottom="1440" w:gutter="0" w:footer="0" w:header="0"/>
        </w:sectPr>
      </w:pPr>
    </w:p>
    <w:bookmarkStart w:id="388" w:name="page389"/>
    <w:bookmarkEnd w:id="388"/>
    <w:p>
      <w:pPr>
        <w:ind w:left="3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Gores Guggenheim, Inc. (the “Company”) as of December 31, 2021, the related statements of operations, changes in stockholders’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for the year ended December 31, 2021,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#100</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89" w:name="page390"/>
    <w:bookmarkEnd w:id="3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Gores Guggenheim, Inc. (the Company) as of December 31, 2020, the related statements of operations, changes in stockholder’s equity, and cash flows for the period from December 21, 2020 (inception) through December 31, 2020 and the related notes (collectively, the financial statements). In our opinion, the financial statements present fairly, in all material respects, the financial position of the Company as of December 31, 2020, and the results of its operations and its cash flows for the period from December 21, 2020 (inception) through December 31, 2020,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90" w:name="page391"/>
    <w:bookmarkEnd w:id="3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302,504</w:t>
            </w:r>
          </w:p>
        </w:tc>
        <w:tc>
          <w:tcPr>
            <w:tcW w:w="5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1,477,280</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1,779,784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800,056,447</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801,836,231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formation and offering costs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6,729,383</w:t>
            </w:r>
          </w:p>
        </w:tc>
        <w:tc>
          <w:tcPr>
            <w:tcW w:w="5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160" w:type="dxa"/>
            <w:vAlign w:val="bottom"/>
          </w:tcPr>
          <w:p>
            <w:pPr>
              <w:spacing w:after="0"/>
              <w:rPr>
                <w:sz w:val="18"/>
                <w:szCs w:val="18"/>
                <w:color w:val="auto"/>
              </w:rPr>
            </w:pPr>
          </w:p>
        </w:tc>
        <w:tc>
          <w:tcPr>
            <w:tcW w:w="16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61,440,000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34,560,000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and advances payable - related party</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104,929,383</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160" w:type="dxa"/>
            <w:vAlign w:val="bottom"/>
          </w:tcPr>
          <w:p>
            <w:pPr>
              <w:spacing w:after="0"/>
              <w:rPr>
                <w:sz w:val="18"/>
                <w:szCs w:val="18"/>
                <w:color w:val="auto"/>
              </w:rPr>
            </w:pPr>
          </w:p>
        </w:tc>
        <w:tc>
          <w:tcPr>
            <w:tcW w:w="16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28,000,000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132,929,383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and -0- shares at December 31, 2021 and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2020, respectively (at redemption value of $10 per share)</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800,000,000</w:t>
            </w: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6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 -0-</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at December 31, 2021 and December 31, 2020, respectively</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6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(131,095,152)</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(131,093,152)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801,836,231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391" w:name="page392"/>
    <w:bookmarkEnd w:id="39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6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(8,214,978)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16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(72,750,000)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(832,496)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from operations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(81,997,474)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income</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56,447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F Common Stock - basic and 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(1.73)</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392" w:name="page393"/>
    <w:bookmarkEnd w:id="39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100" w:type="dxa"/>
            <w:vAlign w:val="bottom"/>
            <w:tcBorders>
              <w:bottom w:val="single" w:sz="8" w:color="auto"/>
            </w:tcBorders>
            <w:gridSpan w:val="16"/>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Period from December 21, 2020 (inception) through December 31, 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18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Common</w:t>
            </w:r>
          </w:p>
        </w:tc>
        <w:tc>
          <w:tcPr>
            <w:tcW w:w="240" w:type="dxa"/>
            <w:vAlign w:val="bottom"/>
          </w:tcPr>
          <w:p>
            <w:pPr>
              <w:spacing w:after="0"/>
              <w:rPr>
                <w:sz w:val="10"/>
                <w:szCs w:val="10"/>
                <w:color w:val="auto"/>
              </w:rPr>
            </w:pPr>
          </w:p>
        </w:tc>
        <w:tc>
          <w:tcPr>
            <w:tcW w:w="184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21, 2020 (inception)</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18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Common</w:t>
            </w:r>
          </w:p>
        </w:tc>
        <w:tc>
          <w:tcPr>
            <w:tcW w:w="240" w:type="dxa"/>
            <w:vAlign w:val="bottom"/>
          </w:tcPr>
          <w:p>
            <w:pPr>
              <w:spacing w:after="0"/>
              <w:rPr>
                <w:sz w:val="10"/>
                <w:szCs w:val="10"/>
                <w:color w:val="auto"/>
              </w:rPr>
            </w:pPr>
          </w:p>
        </w:tc>
        <w:tc>
          <w:tcPr>
            <w:tcW w:w="184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Class F Common Stock to Sponsor 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10, 2021 at $0.0001 par value</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21,562,500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2,156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Class F Common Stock by Sponsor</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Excess of fair value paid by founders for warrants</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9,630,000</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 additional</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(9,653,000)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(9,653,000)</w:t>
            </w: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subject to redemption against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(49,152,343)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(49,152,343)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(81,941,027)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(81,941,027)</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(131,095,152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(131,093,152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393" w:name="page394"/>
    <w:bookmarkEnd w:id="3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8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73"/>
        </w:trPr>
        <w:tc>
          <w:tcPr>
            <w:tcW w:w="716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(81,941,027)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related to warrant liability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832,496</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 warrants derivative liability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72,750,000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state franchise tax accrual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199,550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(1,477,280)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accrued expenses, formation and offering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6,728,051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(2,908,210)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98"/>
              </w:rPr>
              <w:t>(800,000,000)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reinvested in the Trust Account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(56,447)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(800,056,447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in initial public offering</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800,000,000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 to Sponsor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F Common Stock to Sponsor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and advances payable – related party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2,300,000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and advances payable – related party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underwriters’ discounts and commissions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(16,000,000)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Payment of accrued offering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(757,839)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803,267,161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income and franchise taxes paid: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and state franchise taxes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394" w:name="page395"/>
    <w:bookmarkEnd w:id="39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Organization and Business Operations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Organization and General</w:t>
      </w:r>
    </w:p>
    <w:p>
      <w:pPr>
        <w:spacing w:after="0" w:line="119"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neither engaged in any operations nor generated any revenue to date. The Company’s management has broad discretion with respect to the Business Combination. The Company’s Sponsor is Gores Guggenheim Sponsor, LLC, a Delaware limited liability company (the “Sponsor”). The Company has selected December 31st as its fiscal year-end.</w:t>
      </w:r>
    </w:p>
    <w:p>
      <w:pPr>
        <w:spacing w:after="0" w:line="183" w:lineRule="exact"/>
        <w:rPr>
          <w:sz w:val="20"/>
          <w:szCs w:val="20"/>
          <w:color w:val="auto"/>
        </w:rPr>
      </w:pPr>
    </w:p>
    <w:p>
      <w:pPr>
        <w:ind w:left="4" w:right="60" w:firstLine="991"/>
        <w:spacing w:after="0" w:line="274" w:lineRule="auto"/>
        <w:rPr>
          <w:sz w:val="20"/>
          <w:szCs w:val="20"/>
          <w:color w:val="auto"/>
        </w:rPr>
      </w:pPr>
      <w:r>
        <w:rPr>
          <w:rFonts w:ascii="Times New Roman" w:cs="Times New Roman" w:eastAsia="Times New Roman" w:hAnsi="Times New Roman"/>
          <w:sz w:val="17"/>
          <w:szCs w:val="17"/>
          <w:color w:val="auto"/>
        </w:rPr>
        <w:t>At December 31, 2021, the Company had not commenced any operations. All activity for the period from December 21, 2020 (inception) through December 31, 2021 relates to the Company’s formation and initial public offering (“Public Offering”) described below, and subsequent to the Initial Public Offering, identifying a target company for a Business Combination. The Company completed the Public Offering on March 25, 2021 (the “IPO Closing Date”). The Company will not generate any operating revenues until after the completion of its Business Combination, at the earliest. Subsequent to the Public Offering, the Company will generate non-operating income in the form of interest income from the proceeds derived from the Public Offering and the sale of the Private Placement Warrants (as defined below) held in the Trust Account (as defined below).</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19" w:lineRule="exact"/>
        <w:rPr>
          <w:sz w:val="20"/>
          <w:szCs w:val="20"/>
          <w:color w:val="auto"/>
        </w:rPr>
      </w:pPr>
    </w:p>
    <w:p>
      <w:pPr>
        <w:ind w:left="4" w:right="220" w:firstLine="991"/>
        <w:spacing w:after="0" w:line="256" w:lineRule="auto"/>
        <w:rPr>
          <w:sz w:val="20"/>
          <w:szCs w:val="20"/>
          <w:color w:val="auto"/>
        </w:rPr>
      </w:pPr>
      <w:r>
        <w:rPr>
          <w:rFonts w:ascii="Times New Roman" w:cs="Times New Roman" w:eastAsia="Times New Roman" w:hAnsi="Times New Roman"/>
          <w:sz w:val="18"/>
          <w:szCs w:val="18"/>
          <w:color w:val="auto"/>
        </w:rPr>
        <w:t>On September 27, 2021,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by and among the Company, Polestar Automotive Holding Limited, a Hong Kong incorporated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w:t>
      </w:r>
      <w:r>
        <w:rPr>
          <w:rFonts w:ascii="Times New Roman" w:cs="Times New Roman" w:eastAsia="Times New Roman" w:hAnsi="Times New Roman"/>
          <w:sz w:val="18"/>
          <w:szCs w:val="18"/>
          <w:u w:val="single" w:color="auto"/>
          <w:color w:val="auto"/>
        </w:rPr>
        <w:t>Polestar Singapore</w:t>
      </w:r>
      <w:r>
        <w:rPr>
          <w:rFonts w:ascii="Times New Roman" w:cs="Times New Roman" w:eastAsia="Times New Roman" w:hAnsi="Times New Roman"/>
          <w:sz w:val="18"/>
          <w:szCs w:val="18"/>
          <w:color w:val="auto"/>
        </w:rPr>
        <w:t>”), Polestar Holding AB, a private limited liability company incorporated under the laws of Sweden (“</w:t>
      </w:r>
      <w:r>
        <w:rPr>
          <w:rFonts w:ascii="Times New Roman" w:cs="Times New Roman" w:eastAsia="Times New Roman" w:hAnsi="Times New Roman"/>
          <w:sz w:val="18"/>
          <w:szCs w:val="18"/>
          <w:u w:val="single" w:color="auto"/>
          <w:color w:val="auto"/>
        </w:rPr>
        <w:t>Polestar Sweden</w:t>
      </w:r>
      <w:r>
        <w:rPr>
          <w:rFonts w:ascii="Times New Roman" w:cs="Times New Roman" w:eastAsia="Times New Roman" w:hAnsi="Times New Roman"/>
          <w:sz w:val="18"/>
          <w:szCs w:val="18"/>
          <w:color w:val="auto"/>
        </w:rPr>
        <w:t>”), Polestar Automotive Holding UK Limited, a limited company incorporated under the laws of England and Wales and a direct wholly owned subsidiary of Parent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and PAH UK Merger Sub Inc., a Delaware corporation and a direct wholly owned subsidiary of ListCo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80" w:firstLine="991"/>
        <w:spacing w:after="0" w:line="281" w:lineRule="auto"/>
        <w:rPr>
          <w:sz w:val="20"/>
          <w:szCs w:val="20"/>
          <w:color w:val="auto"/>
        </w:rPr>
      </w:pPr>
      <w:r>
        <w:rPr>
          <w:rFonts w:ascii="Times New Roman" w:cs="Times New Roman" w:eastAsia="Times New Roman" w:hAnsi="Times New Roman"/>
          <w:sz w:val="17"/>
          <w:szCs w:val="17"/>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Business Combination Agreement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Pre-Closing Reorganization</w:t>
      </w:r>
    </w:p>
    <w:p>
      <w:pPr>
        <w:spacing w:after="0" w:line="119" w:lineRule="exact"/>
        <w:rPr>
          <w:sz w:val="20"/>
          <w:szCs w:val="20"/>
          <w:color w:val="auto"/>
        </w:rPr>
      </w:pPr>
    </w:p>
    <w:p>
      <w:pPr>
        <w:ind w:left="4" w:right="120" w:firstLine="991"/>
        <w:spacing w:after="0" w:line="257" w:lineRule="auto"/>
        <w:rPr>
          <w:sz w:val="20"/>
          <w:szCs w:val="20"/>
          <w:color w:val="auto"/>
        </w:rPr>
      </w:pPr>
      <w:r>
        <w:rPr>
          <w:rFonts w:ascii="Times New Roman" w:cs="Times New Roman" w:eastAsia="Times New Roman" w:hAnsi="Times New Roman"/>
          <w:sz w:val="18"/>
          <w:szCs w:val="18"/>
          <w:color w:val="auto"/>
        </w:rPr>
        <w:t>In connection with the Merger, prior to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w:t>
      </w:r>
    </w:p>
    <w:p>
      <w:pPr>
        <w:spacing w:after="0" w:line="1" w:lineRule="exact"/>
        <w:rPr>
          <w:sz w:val="20"/>
          <w:szCs w:val="20"/>
          <w:color w:val="auto"/>
        </w:rPr>
      </w:pPr>
    </w:p>
    <w:p>
      <w:pPr>
        <w:ind w:left="4" w:right="2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Pre-Closing Reorganization</w:t>
      </w:r>
      <w:r>
        <w:rPr>
          <w:rFonts w:ascii="Times New Roman" w:cs="Times New Roman" w:eastAsia="Times New Roman" w:hAnsi="Times New Roman"/>
          <w:sz w:val="17"/>
          <w:szCs w:val="17"/>
          <w:color w:val="auto"/>
        </w:rPr>
        <w:t>”). As consideration for the Pre-Closing Reorganization, ListCo will issue to Parent a number of class A ordinary shares in the share capital of ListCo which class A ordinary shares shall entitle the holder to one vote per share (“</w:t>
      </w:r>
      <w:r>
        <w:rPr>
          <w:rFonts w:ascii="Times New Roman" w:cs="Times New Roman" w:eastAsia="Times New Roman" w:hAnsi="Times New Roman"/>
          <w:sz w:val="17"/>
          <w:szCs w:val="17"/>
          <w:u w:val="single" w:color="auto"/>
          <w:color w:val="auto"/>
        </w:rPr>
        <w:t>ListCo Class A Shares</w:t>
      </w:r>
      <w:r>
        <w:rPr>
          <w:rFonts w:ascii="Times New Roman" w:cs="Times New Roman" w:eastAsia="Times New Roman" w:hAnsi="Times New Roman"/>
          <w:sz w:val="17"/>
          <w:szCs w:val="17"/>
          <w:color w:val="auto"/>
        </w:rPr>
        <w:t>”) and class B ordinary shares in the share capital of ListCo, which class B ordinary shares shall entitle the holder to ten votes per share (“</w:t>
      </w:r>
      <w:r>
        <w:rPr>
          <w:rFonts w:ascii="Times New Roman" w:cs="Times New Roman" w:eastAsia="Times New Roman" w:hAnsi="Times New Roman"/>
          <w:sz w:val="17"/>
          <w:szCs w:val="17"/>
          <w:u w:val="single" w:color="auto"/>
          <w:color w:val="auto"/>
        </w:rPr>
        <w:t>ListCo Class B Shares</w:t>
      </w:r>
      <w:r>
        <w:rPr>
          <w:rFonts w:ascii="Times New Roman" w:cs="Times New Roman" w:eastAsia="Times New Roman" w:hAnsi="Times New Roman"/>
          <w:sz w:val="17"/>
          <w:szCs w:val="17"/>
          <w:color w:val="auto"/>
        </w:rPr>
        <w:t>,” and, together with the ListCo Class A Shares, the “</w:t>
      </w:r>
      <w:r>
        <w:rPr>
          <w:rFonts w:ascii="Times New Roman" w:cs="Times New Roman" w:eastAsia="Times New Roman" w:hAnsi="Times New Roman"/>
          <w:sz w:val="17"/>
          <w:szCs w:val="17"/>
          <w:u w:val="single" w:color="auto"/>
          <w:color w:val="auto"/>
        </w:rPr>
        <w:t>ListCo Shares</w:t>
      </w:r>
      <w:r>
        <w:rPr>
          <w:rFonts w:ascii="Times New Roman" w:cs="Times New Roman" w:eastAsia="Times New Roman" w:hAnsi="Times New Roman"/>
          <w:sz w:val="17"/>
          <w:szCs w:val="17"/>
          <w:color w:val="auto"/>
        </w:rPr>
        <w:t>”), such that, following the Pre-Closing Reorganization, Parent will hold an aggregate number</w:t>
      </w:r>
    </w:p>
    <w:p>
      <w:pPr>
        <w:spacing w:after="0" w:line="1" w:lineRule="exact"/>
        <w:rPr>
          <w:sz w:val="20"/>
          <w:szCs w:val="20"/>
          <w:color w:val="auto"/>
        </w:rPr>
      </w:pPr>
    </w:p>
    <w:p>
      <w:pPr>
        <w:ind w:left="4" w:right="320"/>
        <w:spacing w:after="0" w:line="265" w:lineRule="auto"/>
        <w:rPr>
          <w:sz w:val="20"/>
          <w:szCs w:val="20"/>
          <w:color w:val="auto"/>
        </w:rPr>
      </w:pPr>
      <w:r>
        <w:rPr>
          <w:rFonts w:ascii="Times New Roman" w:cs="Times New Roman" w:eastAsia="Times New Roman" w:hAnsi="Times New Roman"/>
          <w:sz w:val="17"/>
          <w:szCs w:val="17"/>
          <w:color w:val="auto"/>
        </w:rPr>
        <w:t>of ListCo Shares equal to approximately (a) $20,003,000,000 divided by $10.00, less (b) (i) the aggregate principal amount due in respect of certain convertible notes of Parent outstanding as of immediately prior to the Closing, divided by (ii) the applicable conversion price of such notes, less</w:t>
      </w:r>
    </w:p>
    <w:p>
      <w:pPr>
        <w:ind w:left="4" w:right="280" w:hanging="4"/>
        <w:spacing w:after="0" w:line="260" w:lineRule="auto"/>
        <w:tabs>
          <w:tab w:leader="none" w:pos="24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49,803,900, which represents the aggregate number of ListCo Preference Shares (as defined below) issued pursuant to the Volvo Cars Preference Subscription Agreement (as defined below).</w:t>
      </w:r>
    </w:p>
    <w:p>
      <w:pPr>
        <w:spacing w:after="0" w:line="35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66" w:right="499" w:bottom="1440" w:gutter="0" w:footer="0" w:header="0"/>
        </w:sectPr>
      </w:pPr>
    </w:p>
    <w:bookmarkStart w:id="395" w:name="page396"/>
    <w:bookmarkEnd w:id="395"/>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9"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Following the Pre-Closing Reorganization and pursuant to the Business Combination Agreement, at the Closing,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which the separate corporate existence of Merger Sub will cease, with the Company being the surviving corporation and becoming a wholly owned subsidiary of ListCo.</w:t>
      </w:r>
    </w:p>
    <w:p>
      <w:pPr>
        <w:spacing w:after="0" w:line="176"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of the Company, par value $0.0001 per share (“</w:t>
      </w:r>
      <w:r>
        <w:rPr>
          <w:rFonts w:ascii="Times New Roman" w:cs="Times New Roman" w:eastAsia="Times New Roman" w:hAnsi="Times New Roman"/>
          <w:sz w:val="18"/>
          <w:szCs w:val="18"/>
          <w:u w:val="single" w:color="auto"/>
          <w:color w:val="auto"/>
        </w:rPr>
        <w:t>GG Class A Shares</w:t>
      </w:r>
      <w:r>
        <w:rPr>
          <w:rFonts w:ascii="Times New Roman" w:cs="Times New Roman" w:eastAsia="Times New Roman" w:hAnsi="Times New Roman"/>
          <w:sz w:val="18"/>
          <w:szCs w:val="18"/>
          <w:color w:val="auto"/>
        </w:rPr>
        <w:t>”) issued and outstanding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those held in treasury, will be exchanged for one newly issued American depository share of ListCo (“</w:t>
      </w:r>
      <w:r>
        <w:rPr>
          <w:rFonts w:ascii="Times New Roman" w:cs="Times New Roman" w:eastAsia="Times New Roman" w:hAnsi="Times New Roman"/>
          <w:sz w:val="18"/>
          <w:szCs w:val="18"/>
          <w:u w:val="single" w:color="auto"/>
          <w:color w:val="auto"/>
        </w:rPr>
        <w:t>ListCo Class A ADS</w:t>
      </w:r>
      <w:r>
        <w:rPr>
          <w:rFonts w:ascii="Times New Roman" w:cs="Times New Roman" w:eastAsia="Times New Roman" w:hAnsi="Times New Roman"/>
          <w:sz w:val="18"/>
          <w:szCs w:val="18"/>
          <w:color w:val="auto"/>
        </w:rPr>
        <w:t>”) duly and validly issued against the deposit of an underlying ListCo Class A Share deposited with a bank (“</w:t>
      </w:r>
      <w:r>
        <w:rPr>
          <w:rFonts w:ascii="Times New Roman" w:cs="Times New Roman" w:eastAsia="Times New Roman" w:hAnsi="Times New Roman"/>
          <w:sz w:val="18"/>
          <w:szCs w:val="18"/>
          <w:u w:val="single" w:color="auto"/>
          <w:color w:val="auto"/>
        </w:rPr>
        <w:t>Depositary Bank</w:t>
      </w:r>
      <w:r>
        <w:rPr>
          <w:rFonts w:ascii="Times New Roman" w:cs="Times New Roman" w:eastAsia="Times New Roman" w:hAnsi="Times New Roman"/>
          <w:sz w:val="18"/>
          <w:szCs w:val="18"/>
          <w:color w:val="auto"/>
        </w:rPr>
        <w:t>”) in which ListCo has established and sponsored American depository receipt facilities (each, an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Each share of Class F Common Stock of the Company, par value $0.0001 per share (“</w:t>
      </w:r>
      <w:r>
        <w:rPr>
          <w:rFonts w:ascii="Times New Roman" w:cs="Times New Roman" w:eastAsia="Times New Roman" w:hAnsi="Times New Roman"/>
          <w:sz w:val="18"/>
          <w:szCs w:val="18"/>
          <w:u w:val="single" w:color="auto"/>
          <w:color w:val="auto"/>
        </w:rPr>
        <w:t>GG Class F Shares</w:t>
      </w:r>
      <w:r>
        <w:rPr>
          <w:rFonts w:ascii="Times New Roman" w:cs="Times New Roman" w:eastAsia="Times New Roman" w:hAnsi="Times New Roman"/>
          <w:sz w:val="18"/>
          <w:szCs w:val="18"/>
          <w:color w:val="auto"/>
        </w:rPr>
        <w:t>,” and together with the GG Class A Shares, the “</w:t>
      </w:r>
      <w:r>
        <w:rPr>
          <w:rFonts w:ascii="Times New Roman" w:cs="Times New Roman" w:eastAsia="Times New Roman" w:hAnsi="Times New Roman"/>
          <w:sz w:val="18"/>
          <w:szCs w:val="18"/>
          <w:u w:val="single" w:color="auto"/>
          <w:color w:val="auto"/>
        </w:rPr>
        <w:t>GG Shares</w:t>
      </w:r>
      <w:r>
        <w:rPr>
          <w:rFonts w:ascii="Times New Roman" w:cs="Times New Roman" w:eastAsia="Times New Roman" w:hAnsi="Times New Roman"/>
          <w:sz w:val="18"/>
          <w:szCs w:val="18"/>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89"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Times New Roman" w:cs="Times New Roman" w:eastAsia="Times New Roman" w:hAnsi="Times New Roman"/>
          <w:sz w:val="18"/>
          <w:szCs w:val="18"/>
          <w:u w:val="single" w:color="auto"/>
          <w:color w:val="auto"/>
        </w:rPr>
        <w:t>Public Warrant</w:t>
      </w:r>
      <w:r>
        <w:rPr>
          <w:rFonts w:ascii="Times New Roman" w:cs="Times New Roman" w:eastAsia="Times New Roman" w:hAnsi="Times New Roman"/>
          <w:sz w:val="18"/>
          <w:szCs w:val="18"/>
          <w:color w:val="auto"/>
        </w:rPr>
        <w:t>”), which underlying securities will be converted as described below.</w:t>
      </w:r>
    </w:p>
    <w:p>
      <w:pPr>
        <w:spacing w:after="0" w:line="176" w:lineRule="exact"/>
        <w:rPr>
          <w:sz w:val="20"/>
          <w:szCs w:val="20"/>
          <w:color w:val="auto"/>
        </w:rPr>
      </w:pPr>
    </w:p>
    <w:p>
      <w:pPr>
        <w:ind w:right="340" w:firstLine="991"/>
        <w:spacing w:after="0" w:line="272" w:lineRule="auto"/>
        <w:rPr>
          <w:sz w:val="20"/>
          <w:szCs w:val="20"/>
          <w:color w:val="auto"/>
        </w:rPr>
      </w:pPr>
      <w:r>
        <w:rPr>
          <w:rFonts w:ascii="Times New Roman" w:cs="Times New Roman" w:eastAsia="Times New Roman" w:hAnsi="Times New Roman"/>
          <w:sz w:val="17"/>
          <w:szCs w:val="17"/>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Times New Roman" w:cs="Times New Roman" w:eastAsia="Times New Roman" w:hAnsi="Times New Roman"/>
          <w:sz w:val="17"/>
          <w:szCs w:val="17"/>
          <w:u w:val="single" w:color="auto"/>
          <w:color w:val="auto"/>
        </w:rPr>
        <w:t>ListCo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Class C-1 ADS</w:t>
      </w:r>
      <w:r>
        <w:rPr>
          <w:rFonts w:ascii="Times New Roman" w:cs="Times New Roman" w:eastAsia="Times New Roman" w:hAnsi="Times New Roman"/>
          <w:sz w:val="17"/>
          <w:szCs w:val="17"/>
          <w:color w:val="auto"/>
        </w:rPr>
        <w:t>”) duly and validly issued against the deposit of an underlying class C-1 preferred share in the share capital of ListCo (“</w:t>
      </w:r>
      <w:r>
        <w:rPr>
          <w:rFonts w:ascii="Times New Roman" w:cs="Times New Roman" w:eastAsia="Times New Roman" w:hAnsi="Times New Roman"/>
          <w:sz w:val="17"/>
          <w:szCs w:val="17"/>
          <w:u w:val="single" w:color="auto"/>
          <w:color w:val="auto"/>
        </w:rPr>
        <w:t>ListCo</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Class C-1 Share</w:t>
      </w:r>
      <w:r>
        <w:rPr>
          <w:rFonts w:ascii="Times New Roman" w:cs="Times New Roman" w:eastAsia="Times New Roman" w:hAnsi="Times New Roman"/>
          <w:sz w:val="18"/>
          <w:szCs w:val="18"/>
          <w:color w:val="auto"/>
        </w:rPr>
        <w:t>”) deposited with the Depositary Bank. Each ListCo Class C-1 Share will be exercisable to acquire a ListCo Class A Share at an exercise price of $11.50 per share. In addition, each private placement warrant of the Company (“</w:t>
      </w:r>
      <w:r>
        <w:rPr>
          <w:rFonts w:ascii="Times New Roman" w:cs="Times New Roman" w:eastAsia="Times New Roman" w:hAnsi="Times New Roman"/>
          <w:sz w:val="18"/>
          <w:szCs w:val="18"/>
          <w:u w:val="single" w:color="auto"/>
          <w:color w:val="auto"/>
        </w:rPr>
        <w:t>Private Placement Warrant</w:t>
      </w:r>
      <w:r>
        <w:rPr>
          <w:rFonts w:ascii="Times New Roman" w:cs="Times New Roman" w:eastAsia="Times New Roman" w:hAnsi="Times New Roman"/>
          <w:sz w:val="18"/>
          <w:szCs w:val="18"/>
          <w:color w:val="auto"/>
        </w:rPr>
        <w:t>”) will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C-2 ADS</w:t>
      </w:r>
      <w:r>
        <w:rPr>
          <w:rFonts w:ascii="Times New Roman" w:cs="Times New Roman" w:eastAsia="Times New Roman" w:hAnsi="Times New Roman"/>
          <w:sz w:val="18"/>
          <w:szCs w:val="18"/>
          <w:color w:val="auto"/>
        </w:rPr>
        <w:t>”) duly and validly issued against the deposit of an underlying class C-2 preferred share in the share capital of ListCo (“</w:t>
      </w:r>
      <w:r>
        <w:rPr>
          <w:rFonts w:ascii="Times New Roman" w:cs="Times New Roman" w:eastAsia="Times New Roman" w:hAnsi="Times New Roman"/>
          <w:sz w:val="18"/>
          <w:szCs w:val="18"/>
          <w:u w:val="single" w:color="auto"/>
          <w:color w:val="auto"/>
        </w:rPr>
        <w:t>ListCo Class C-2 Share</w:t>
      </w:r>
      <w:r>
        <w:rPr>
          <w:rFonts w:ascii="Times New Roman" w:cs="Times New Roman" w:eastAsia="Times New Roman" w:hAnsi="Times New Roman"/>
          <w:sz w:val="18"/>
          <w:szCs w:val="18"/>
          <w:color w:val="auto"/>
        </w:rPr>
        <w:t>”) deposited with the Depositary Bank. Each ListCo Class C-2 Share will be exercisable to acquire a ListCo Class A Share at an exercise price of $11.50 per share.</w:t>
      </w:r>
    </w:p>
    <w:p>
      <w:pPr>
        <w:spacing w:after="0" w:line="18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each Public Warrant shall be automatically cancelled and extinguished and converted into the right to receive one American depository warrant of ListCo (“</w:t>
      </w:r>
      <w:r>
        <w:rPr>
          <w:rFonts w:ascii="Times New Roman" w:cs="Times New Roman" w:eastAsia="Times New Roman" w:hAnsi="Times New Roman"/>
          <w:sz w:val="18"/>
          <w:szCs w:val="18"/>
          <w:u w:val="single" w:color="auto"/>
          <w:color w:val="auto"/>
        </w:rPr>
        <w:t>ListCo AD Warrant</w:t>
      </w:r>
      <w:r>
        <w:rPr>
          <w:rFonts w:ascii="Times New Roman" w:cs="Times New Roman" w:eastAsia="Times New Roman" w:hAnsi="Times New Roman"/>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Statement/Proxy Statement; Warrantholder Solicitation</w:t>
      </w:r>
    </w:p>
    <w:p>
      <w:pPr>
        <w:spacing w:after="0" w:line="11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the Company, ListCo, Polestar Singapore, Polestar Sweden and Parent will prepare, and ListCo will file with the SEC, a registration statement on Form F-4 (the “</w:t>
      </w:r>
      <w:r>
        <w:rPr>
          <w:rFonts w:ascii="Times New Roman" w:cs="Times New Roman" w:eastAsia="Times New Roman" w:hAnsi="Times New Roman"/>
          <w:sz w:val="18"/>
          <w:szCs w:val="18"/>
          <w:u w:val="single" w:color="auto"/>
          <w:color w:val="auto"/>
        </w:rPr>
        <w:t>Registration Statement/Proxy Statement</w:t>
      </w:r>
      <w:r>
        <w:rPr>
          <w:rFonts w:ascii="Times New Roman" w:cs="Times New Roman" w:eastAsia="Times New Roman" w:hAnsi="Times New Roman"/>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96" w:name="page397"/>
    <w:bookmarkEnd w:id="396"/>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Times New Roman" w:cs="Times New Roman" w:eastAsia="Times New Roman" w:hAnsi="Times New Roman"/>
          <w:sz w:val="18"/>
          <w:szCs w:val="18"/>
          <w:u w:val="single" w:color="auto"/>
          <w:color w:val="auto"/>
        </w:rPr>
        <w:t>Requisite GG Warantholder Approval</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9" w:lineRule="exact"/>
        <w:rPr>
          <w:sz w:val="20"/>
          <w:szCs w:val="20"/>
          <w:color w:val="auto"/>
        </w:rPr>
      </w:pPr>
    </w:p>
    <w:p>
      <w:pPr>
        <w:ind w:left="4" w:firstLine="991"/>
        <w:spacing w:after="0" w:line="276" w:lineRule="auto"/>
        <w:rPr>
          <w:sz w:val="20"/>
          <w:szCs w:val="20"/>
          <w:color w:val="auto"/>
        </w:rPr>
      </w:pPr>
      <w:r>
        <w:rPr>
          <w:rFonts w:ascii="Times New Roman" w:cs="Times New Roman" w:eastAsia="Times New Roman" w:hAnsi="Times New Roman"/>
          <w:sz w:val="17"/>
          <w:szCs w:val="17"/>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w:t>
      </w:r>
    </w:p>
    <w:p>
      <w:pPr>
        <w:spacing w:after="0" w:line="1" w:lineRule="exact"/>
        <w:rPr>
          <w:sz w:val="20"/>
          <w:szCs w:val="20"/>
          <w:color w:val="auto"/>
        </w:rPr>
      </w:pPr>
    </w:p>
    <w:p>
      <w:pPr>
        <w:ind w:left="4" w:hanging="4"/>
        <w:spacing w:after="0" w:line="251" w:lineRule="auto"/>
        <w:tabs>
          <w:tab w:leader="none" w:pos="25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Times New Roman" w:cs="Times New Roman" w:eastAsia="Times New Roman" w:hAnsi="Times New Roman"/>
          <w:sz w:val="18"/>
          <w:szCs w:val="18"/>
          <w:u w:val="single" w:color="auto"/>
          <w:color w:val="auto"/>
        </w:rPr>
        <w:t>Stockholder Redemptions</w:t>
      </w:r>
      <w:r>
        <w:rPr>
          <w:rFonts w:ascii="Times New Roman" w:cs="Times New Roman" w:eastAsia="Times New Roman" w:hAnsi="Times New Roman"/>
          <w:sz w:val="18"/>
          <w:szCs w:val="18"/>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91"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83"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jc w:val="both"/>
        <w:ind w:left="4" w:right="60" w:firstLine="991"/>
        <w:spacing w:after="0" w:line="289" w:lineRule="auto"/>
        <w:rPr>
          <w:sz w:val="20"/>
          <w:szCs w:val="20"/>
          <w:color w:val="auto"/>
        </w:rPr>
      </w:pPr>
      <w:r>
        <w:rPr>
          <w:rFonts w:ascii="Times New Roman" w:cs="Times New Roman" w:eastAsia="Times New Roman" w:hAnsi="Times New Roman"/>
          <w:sz w:val="17"/>
          <w:szCs w:val="17"/>
          <w:color w:val="auto"/>
        </w:rPr>
        <w:t>The Business Combination Agreement may be terminated at any time prior to the Closing by mutual written consent of the Company and Parent and in certain other circumstances, including if the Closing has not occurred on or prior to May 27, 2022 and the primary cause of the failure for the Closing to have occurred on or prior to such date is not due to a breach of the Business Combination Agreement by the party seeking to terminate.</w:t>
      </w:r>
    </w:p>
    <w:p>
      <w:pPr>
        <w:spacing w:after="0" w:line="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Subscription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subscription agreements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have agreed to purchase, substantially concurrently with the Closing, an aggregate of 7.43 million ListCo Class A ADSs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for a purchase price of $9.09 per share in a private placement, for an aggregate amount of $67,500,000 (the “</w:t>
      </w:r>
      <w:r>
        <w:rPr>
          <w:rFonts w:ascii="Times New Roman" w:cs="Times New Roman" w:eastAsia="Times New Roman" w:hAnsi="Times New Roman"/>
          <w:sz w:val="18"/>
          <w:szCs w:val="18"/>
          <w:u w:val="single" w:color="auto"/>
          <w:color w:val="auto"/>
        </w:rPr>
        <w:t>PIPE Investment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PIPE Subscription Agreements</w:t>
      </w:r>
    </w:p>
    <w:p>
      <w:pPr>
        <w:spacing w:after="0" w:line="11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connection with the PIPE Assignment, on December 17, 2021, the Company and ListCo entered into subscription agreements (the “New PIPE Subscription Agreements”) with the New PIPE Investors, which include certain affiliates and employees of Sponsor. Pursuant to the New PIPE Subscription Agreements, the New PIPE Investors have agreed to collectively subscribe for approximately 14.3 million ListCo Class A ADSs (the “New PIPE Shares”) for an average price of approximately $9.54 per ListCo Class A ADS, reflecting an aggregate investment amount of approximately $136.0 million. The New PIPE Subscription Agreements are substantially similar to the PIPE Subscription Agreements. The aggregate amount of the PIPE investment and number of ListCo Class A ADSs to be purchased pursuant thereto remains unchanged.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Sponsor Subscription Agreement</w:t>
      </w:r>
      <w:r>
        <w:rPr>
          <w:rFonts w:ascii="Times New Roman" w:cs="Times New Roman" w:eastAsia="Times New Roman" w:hAnsi="Times New Roman"/>
          <w:sz w:val="18"/>
          <w:szCs w:val="18"/>
          <w:color w:val="auto"/>
        </w:rPr>
        <w:t>”) with Gores Guggenheim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the Sponsor Subscription Agreement, the Sponsor agreed to subscribe for an additional 9.08 million ListCo Class A ADSs for a purchase price of $9.09 per share on the date of Closing, for an aggregate investment of $82,500,000 (the “</w:t>
      </w:r>
      <w:r>
        <w:rPr>
          <w:rFonts w:ascii="Times New Roman" w:cs="Times New Roman" w:eastAsia="Times New Roman" w:hAnsi="Times New Roman"/>
          <w:sz w:val="18"/>
          <w:szCs w:val="18"/>
          <w:u w:val="single" w:color="auto"/>
          <w:color w:val="auto"/>
        </w:rPr>
        <w:t>Sponsor Investment Amount</w:t>
      </w:r>
      <w:r>
        <w:rPr>
          <w:rFonts w:ascii="Times New Roman" w:cs="Times New Roman" w:eastAsia="Times New Roman" w:hAnsi="Times New Roman"/>
          <w:sz w:val="18"/>
          <w:szCs w:val="18"/>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Sponsor Subscription Agreement</w:t>
      </w:r>
    </w:p>
    <w:p>
      <w:pPr>
        <w:spacing w:after="0" w:line="119" w:lineRule="exact"/>
        <w:rPr>
          <w:sz w:val="20"/>
          <w:szCs w:val="20"/>
          <w:color w:val="auto"/>
        </w:rPr>
      </w:pPr>
    </w:p>
    <w:p>
      <w:pPr>
        <w:ind w:right="80" w:firstLine="991"/>
        <w:spacing w:after="0" w:line="273" w:lineRule="auto"/>
        <w:rPr>
          <w:sz w:val="20"/>
          <w:szCs w:val="20"/>
          <w:color w:val="auto"/>
        </w:rPr>
      </w:pPr>
      <w:r>
        <w:rPr>
          <w:rFonts w:ascii="Times New Roman" w:cs="Times New Roman" w:eastAsia="Times New Roman" w:hAnsi="Times New Roman"/>
          <w:sz w:val="17"/>
          <w:szCs w:val="17"/>
          <w:color w:val="auto"/>
        </w:rPr>
        <w:t>On December 17, 2021, (i) the Sponsor assigned a portion of its commitment to purchase ListCo Class A ADSs, in an aggregate investment amount equaling approximately $63.0 million (the “</w:t>
      </w:r>
      <w:r>
        <w:rPr>
          <w:rFonts w:ascii="Times New Roman" w:cs="Times New Roman" w:eastAsia="Times New Roman" w:hAnsi="Times New Roman"/>
          <w:sz w:val="17"/>
          <w:szCs w:val="17"/>
          <w:u w:val="single" w:color="auto"/>
          <w:color w:val="auto"/>
        </w:rPr>
        <w:t>Sponsor Assignment</w:t>
      </w:r>
      <w:r>
        <w:rPr>
          <w:rFonts w:ascii="Times New Roman" w:cs="Times New Roman" w:eastAsia="Times New Roman" w:hAnsi="Times New Roman"/>
          <w:sz w:val="17"/>
          <w:szCs w:val="17"/>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Volvo Cars Subscription Agreement</w:t>
      </w:r>
    </w:p>
    <w:p>
      <w:pPr>
        <w:spacing w:after="0" w:line="11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Volvo Cars Subscription Agreement</w:t>
      </w:r>
      <w:r>
        <w:rPr>
          <w:rFonts w:ascii="Times New Roman" w:cs="Times New Roman" w:eastAsia="Times New Roman" w:hAnsi="Times New Roman"/>
          <w:sz w:val="18"/>
          <w:szCs w:val="18"/>
          <w:color w:val="auto"/>
        </w:rPr>
        <w:t>,” and, together with the PIPE Subscription Agreements and the Sponsor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Snita Holding B.V., a corporation organized under the laws of Netherlands (“</w:t>
      </w:r>
      <w:r>
        <w:rPr>
          <w:rFonts w:ascii="Times New Roman" w:cs="Times New Roman" w:eastAsia="Times New Roman" w:hAnsi="Times New Roman"/>
          <w:sz w:val="18"/>
          <w:szCs w:val="18"/>
          <w:u w:val="single" w:color="auto"/>
          <w:color w:val="auto"/>
        </w:rPr>
        <w:t>Snita</w:t>
      </w:r>
      <w:r>
        <w:rPr>
          <w:rFonts w:ascii="Times New Roman" w:cs="Times New Roman" w:eastAsia="Times New Roman" w:hAnsi="Times New Roman"/>
          <w:sz w:val="18"/>
          <w:szCs w:val="18"/>
          <w:color w:val="auto"/>
        </w:rPr>
        <w:t>”) and a wholly owned indirect subsidiary of Volvo Car AB (publ) (“</w:t>
      </w:r>
      <w:r>
        <w:rPr>
          <w:rFonts w:ascii="Times New Roman" w:cs="Times New Roman" w:eastAsia="Times New Roman" w:hAnsi="Times New Roman"/>
          <w:sz w:val="18"/>
          <w:szCs w:val="18"/>
          <w:u w:val="single" w:color="auto"/>
          <w:color w:val="auto"/>
        </w:rPr>
        <w:t>Volvo Cars</w:t>
      </w:r>
      <w:r>
        <w:rPr>
          <w:rFonts w:ascii="Times New Roman" w:cs="Times New Roman" w:eastAsia="Times New Roman" w:hAnsi="Times New Roman"/>
          <w:sz w:val="18"/>
          <w:szCs w:val="18"/>
          <w:color w:val="auto"/>
        </w:rPr>
        <w:t>”). Pursuant to the Volvo Cars Subscription Agreement, Snita agreed to subscribe for an 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 the Volvo Cars Subscription Agreement, syndicate its commitment to acquire the ListCo Class A ADSs to be purchased under the Volvo Cars Subscription Agreement in advance of the closing of the Business Combination.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Volvo Cars Preference Subscription Agreement</w:t>
      </w:r>
    </w:p>
    <w:p>
      <w:pPr>
        <w:spacing w:after="0" w:line="11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has agreed to subscribe for approximately 2.70 million ListCo Class A ADSs for a purchase price of $10.00 per ListCo Class A ADS on the date of Closing, for an aggregate investment of approximately $27.0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 of the Business Combination.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entered into a subscription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Volvo Cars Preference Subscription Agreement</w:t>
      </w:r>
      <w:r>
        <w:rPr>
          <w:rFonts w:ascii="Times New Roman" w:cs="Times New Roman" w:eastAsia="Times New Roman" w:hAnsi="Times New Roman"/>
          <w:sz w:val="18"/>
          <w:szCs w:val="18"/>
          <w:color w:val="auto"/>
        </w:rPr>
        <w:t>”) with Snita (the “</w:t>
      </w:r>
      <w:r>
        <w:rPr>
          <w:rFonts w:ascii="Times New Roman" w:cs="Times New Roman" w:eastAsia="Times New Roman" w:hAnsi="Times New Roman"/>
          <w:sz w:val="18"/>
          <w:szCs w:val="18"/>
          <w:u w:val="single" w:color="auto"/>
          <w:color w:val="auto"/>
        </w:rPr>
        <w:t>Volvo Cars Preference Subscriber</w:t>
      </w:r>
      <w:r>
        <w:rPr>
          <w:rFonts w:ascii="Times New Roman" w:cs="Times New Roman" w:eastAsia="Times New Roman" w:hAnsi="Times New Roman"/>
          <w:sz w:val="18"/>
          <w:szCs w:val="18"/>
          <w:color w:val="auto"/>
        </w:rPr>
        <w:t>”). Pursuant to the Volvo Cars Preference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 the Volvo Cars Preference Subscriber agreed to subscribe for mandatory convertible preference shares of ListCo (the “</w:t>
      </w:r>
      <w:r>
        <w:rPr>
          <w:rFonts w:ascii="Times New Roman" w:cs="Times New Roman" w:eastAsia="Times New Roman" w:hAnsi="Times New Roman"/>
          <w:sz w:val="18"/>
          <w:szCs w:val="18"/>
          <w:u w:val="single" w:color="auto"/>
          <w:color w:val="auto"/>
        </w:rPr>
        <w:t>ListCo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Preference Shares</w:t>
      </w:r>
      <w:r>
        <w:rPr>
          <w:rFonts w:ascii="Times New Roman" w:cs="Times New Roman" w:eastAsia="Times New Roman" w:hAnsi="Times New Roman"/>
          <w:sz w:val="18"/>
          <w:szCs w:val="18"/>
          <w:color w:val="auto"/>
        </w:rPr>
        <w:t>”) for an aggregate subscription price of $10.00 per share, for an aggregate investment amount equal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 (the “</w:t>
      </w:r>
      <w:r>
        <w:rPr>
          <w:rFonts w:ascii="Times New Roman" w:cs="Times New Roman" w:eastAsia="Times New Roman" w:hAnsi="Times New Roman"/>
          <w:sz w:val="18"/>
          <w:szCs w:val="18"/>
          <w:u w:val="single" w:color="auto"/>
          <w:color w:val="auto"/>
        </w:rPr>
        <w:t>Volvo Cars PIPE Investment Amount</w:t>
      </w:r>
      <w:r>
        <w:rPr>
          <w:rFonts w:ascii="Times New Roman" w:cs="Times New Roman" w:eastAsia="Times New Roman" w:hAnsi="Times New Roman"/>
          <w:sz w:val="18"/>
          <w:szCs w:val="18"/>
          <w:color w:val="auto"/>
        </w:rPr>
        <w:t>”). The proceeds of such subscription will be used to satisfy certain accounts payable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will be due and payable by certain subsidiaries of Parent to Volvo Cars. As of the date hereof, it is currently anticipated that all of the ListCo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 Shares will convert into ListCo Class A Shares at Closing, in accordance with, and subject to, the terms of the ListCo Preference Shares.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Parent Lock-Up Agreement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Parent, ListCo and the other Parent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thereto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have entered into that Parent Lock-Up Agreement (the “</w:t>
      </w:r>
      <w:r>
        <w:rPr>
          <w:rFonts w:ascii="Times New Roman" w:cs="Times New Roman" w:eastAsia="Times New Roman" w:hAnsi="Times New Roman"/>
          <w:sz w:val="18"/>
          <w:szCs w:val="18"/>
          <w:u w:val="single" w:color="auto"/>
          <w:color w:val="auto"/>
        </w:rPr>
        <w:t>Parent Lock-Up Agreement</w:t>
      </w:r>
      <w:r>
        <w:rPr>
          <w:rFonts w:ascii="Times New Roman" w:cs="Times New Roman" w:eastAsia="Times New Roman" w:hAnsi="Times New Roman"/>
          <w:sz w:val="18"/>
          <w:szCs w:val="18"/>
          <w:color w:val="auto"/>
        </w:rPr>
        <w:t>”).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Lock-Up Agreement, each Parent Shareholder has, subject to certain exceptions, among other things, agreed to not transfer any equity security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ListCo issued to them pursuant to the Business Combination Agreement or other transaction documents contemplated by the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during the period commencing the date of Closing and ending 180 days following the date of the Closing, in each case subject to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set forth therein.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Sponsor and Supporting Sponsor Stockholders Lock-Up Agreement</w:t>
      </w:r>
    </w:p>
    <w:p>
      <w:pPr>
        <w:spacing w:after="0" w:line="117"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Sponsor, the Company, Parent, ListCo and certain of the Company’s directors, executive officers and affiliates (such individuals, the “</w:t>
      </w:r>
      <w:r>
        <w:rPr>
          <w:rFonts w:ascii="Times New Roman" w:cs="Times New Roman" w:eastAsia="Times New Roman" w:hAnsi="Times New Roman"/>
          <w:sz w:val="18"/>
          <w:szCs w:val="18"/>
          <w:u w:val="single" w:color="auto"/>
          <w:color w:val="auto"/>
        </w:rPr>
        <w:t>Supporting Sponsor Stockholders</w:t>
      </w:r>
      <w:r>
        <w:rPr>
          <w:rFonts w:ascii="Times New Roman" w:cs="Times New Roman" w:eastAsia="Times New Roman" w:hAnsi="Times New Roman"/>
          <w:sz w:val="18"/>
          <w:szCs w:val="18"/>
          <w:color w:val="auto"/>
        </w:rPr>
        <w:t>”) have entered into a Sponsor and Supporting Sponsor Stockholders Lock-Up Agreement (the “</w:t>
      </w:r>
      <w:r>
        <w:rPr>
          <w:rFonts w:ascii="Times New Roman" w:cs="Times New Roman" w:eastAsia="Times New Roman" w:hAnsi="Times New Roman"/>
          <w:sz w:val="18"/>
          <w:szCs w:val="18"/>
          <w:u w:val="single" w:color="auto"/>
          <w:color w:val="auto"/>
        </w:rPr>
        <w:t>Sponsor and Supporting Sponsor Stockholders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 ending 180 days following the date of the Closing, in each case subject to the terms and conditions set forth therein. In addition, the Sponsor has agreed to the forfeiture of up to 1,501,651 GG Class F Shares.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the Sponsor and Supporting Stockholders Lock-Up Agreement</w:t>
      </w:r>
    </w:p>
    <w:p>
      <w:pPr>
        <w:spacing w:after="0" w:line="117"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Sponsor and Supporting Sponsor Stockholders Lock-Up Agreement entered into Amendment No. 1 to the Sponsor and Supporting Sponsor Stockholders Lock-Up Agreement (the “Lock-Up Agreement Amendment”). The Lock-Up Agreement Amendment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83"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Lock-Up Agreement Amendment does not purport to be complete and is qualified in its entirety by the terms and conditions of the Lock-Up Agreement Amendment, a copy of which is attached hereto as Exhibit 10.3 and is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Parent, the Parent Shareholders, Sponsor and the independent directors of the Company (such persons, together with Sponsor and the Parent Holders,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have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the Registration Rights Agreement</w:t>
      </w:r>
    </w:p>
    <w:p>
      <w:pPr>
        <w:spacing w:after="0" w:line="11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Registration Rights Agreement entered into Amendment No. 1 to the Registration Rights Agreement (the “Registration Rights Agreement Amendment”), to provide for certain administrative changes to reflect the BCA Amendment and the New PIPE Subscription Agreements. The foregoing description of the Registration Rights Agreement Amendment does not purport to be complete and is qualified in its entirety by the terms and conditions of the Registration Rights Agreement Amendment, a copy of which is attached hereto as Exhibit 10.2 and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Assumption Agreement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the Company, ListCo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will enter into a Warrant Assignment, Assumption and Amendment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Assumption Agreement</w:t>
      </w:r>
      <w:r>
        <w:rPr>
          <w:rFonts w:ascii="Times New Roman" w:cs="Times New Roman" w:eastAsia="Times New Roman" w:hAnsi="Times New Roman"/>
          <w:sz w:val="18"/>
          <w:szCs w:val="18"/>
          <w:color w:val="auto"/>
        </w:rPr>
        <w:t>”) prior to the Closing. The Warrant Assumption Agreement will amend the Warrant Agreement, dated March 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by and among the Company and the Warrant Agent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provide that at the Effective Time, each Public Warrant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Placement Warrant will be assumed by ListCo and be converted into the right to receive a ListCo AD Warrant, subject to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therein. In addition, under the Warrant Assumption Agreement, the Company will assign to ListCo all of its rights, interests,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in and under the Warrant Agreement as of the effective time of the Merger, subject to the terms and conditions set forth therein.</w:t>
      </w:r>
    </w:p>
    <w:p>
      <w:pPr>
        <w:spacing w:after="0" w:line="3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Upon close of the Public Offering and the sale of the Private Placement Warrants, an aggregate of $800,000,000 was placed in a Trust Account with Computershare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acting as Trustee.</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The Company intends to finance a Business Combination with the net proceeds from its $800,000,000 Public Offering and its sale of $18,000,000 of Private Placement Warrants.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00" w:name="page401"/>
    <w:bookmarkEnd w:id="400"/>
    <w:p>
      <w:pPr>
        <w:ind w:left="22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 Account</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Funds held in the Trust Account can be invested only in U.S. government treasury bills with a maturity of one hundred and eighty-five</w:t>
      </w:r>
    </w:p>
    <w:p>
      <w:pPr>
        <w:spacing w:after="0" w:line="27" w:lineRule="exact"/>
        <w:rPr>
          <w:sz w:val="20"/>
          <w:szCs w:val="20"/>
          <w:color w:val="auto"/>
        </w:rPr>
      </w:pPr>
    </w:p>
    <w:p>
      <w:pPr>
        <w:ind w:left="4" w:right="260" w:hanging="4"/>
        <w:spacing w:after="0" w:line="260" w:lineRule="auto"/>
        <w:tabs>
          <w:tab w:leader="none" w:pos="43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less or in money market funds meeting certain conditions under Rule 2a-7 under the Investment Company Act that invest only in direct U.S. government obligations. As of December 31, 2021, the Trust Account consisted of money market funds.</w:t>
      </w:r>
    </w:p>
    <w:p>
      <w:pPr>
        <w:spacing w:after="0" w:line="181"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other than the withdrawal of interest to fund regulatory compliance requirements and other costs related thereto (a “</w:t>
      </w:r>
      <w:r>
        <w:rPr>
          <w:rFonts w:ascii="Times New Roman" w:cs="Times New Roman" w:eastAsia="Times New Roman" w:hAnsi="Times New Roman"/>
          <w:sz w:val="18"/>
          <w:szCs w:val="18"/>
          <w:u w:val="single" w:color="auto"/>
          <w:color w:val="auto"/>
        </w:rPr>
        <w:t>Regulatory Withdrawal</w:t>
      </w:r>
      <w:r>
        <w:rPr>
          <w:rFonts w:ascii="Times New Roman" w:cs="Times New Roman" w:eastAsia="Times New Roman" w:hAnsi="Times New Roman"/>
          <w:sz w:val="18"/>
          <w:szCs w:val="18"/>
          <w:color w:val="auto"/>
        </w:rPr>
        <w:t>”)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 substance or timing of the Company’s obligation to redeem 100% of such public shares of common stock if the Company does not complete the Business Combination by March 25, 2023; or (iii) the redemption of 100% of the public shares of common stock if the Company is unable to complete a Business Combination by March 25, 2023, subject to the requirements of law and stock exchange rules.</w:t>
      </w:r>
    </w:p>
    <w:p>
      <w:pPr>
        <w:spacing w:after="0" w:line="29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Public Offering, although substantially all of the net proceeds of the Public Offering are intended to be generally applied toward consummating a Business Combination. The Business Combination must be with one or more target businesses that together have an aggregate fair market value of at least 80% of the assets held in the Trust Account (less any deferred underwriting commissions and taxes payable on interest income earned) at the time of the Company signing a definitive agreement in connection with the Business Combination. Furthermore, there is no assurance that the Company will be able to successfully effect a Business Combination.</w:t>
      </w:r>
    </w:p>
    <w:p>
      <w:pPr>
        <w:spacing w:after="0" w:line="187" w:lineRule="exact"/>
        <w:rPr>
          <w:sz w:val="20"/>
          <w:szCs w:val="20"/>
          <w:color w:val="auto"/>
        </w:rPr>
      </w:pPr>
    </w:p>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income but less taxes payable, or (ii) 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the consummation of the Business Combination, including interest income but less taxes payable.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If the Company seeks stockholder approval, it will complete its Business Combination only if a majority of the outstanding shares of common stock voted are voted in favor of the Business Combination. Currently, the Company will not redeem its public shares of common stock in an amount that would cause its net tangible assets to be less than $5,000,001. In such case, the Company would not proceed with the redemption of its public shares of common stock and the related Business Combination, and instead may search for an alternate Business Combination.</w:t>
      </w:r>
    </w:p>
    <w:p>
      <w:pPr>
        <w:spacing w:after="0" w:line="197"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As a result of the foregoing redemption provisions, the public shares of common stock will be recorded at redemption amount and classified as temporary equity, in accordance with Financial Accounting Standards Board (“</w:t>
      </w:r>
      <w:r>
        <w:rPr>
          <w:rFonts w:ascii="Times New Roman" w:cs="Times New Roman" w:eastAsia="Times New Roman" w:hAnsi="Times New Roman"/>
          <w:sz w:val="18"/>
          <w:szCs w:val="18"/>
          <w:u w:val="single" w:color="auto"/>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 480</w:t>
      </w:r>
      <w:r>
        <w:rPr>
          <w:rFonts w:ascii="Times New Roman" w:cs="Times New Roman" w:eastAsia="Times New Roman" w:hAnsi="Times New Roman"/>
          <w:sz w:val="18"/>
          <w:szCs w:val="18"/>
          <w:color w:val="auto"/>
        </w:rPr>
        <w:t>”) in subsequent periods.</w:t>
      </w:r>
    </w:p>
    <w:p>
      <w:pPr>
        <w:spacing w:after="0" w:line="176"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3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8" w:right="459" w:bottom="1440" w:gutter="0" w:footer="0" w:header="0"/>
        </w:sectPr>
      </w:pPr>
    </w:p>
    <w:bookmarkStart w:id="401" w:name="page402"/>
    <w:bookmarkEnd w:id="401"/>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2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296" w:lineRule="exact"/>
        <w:rPr>
          <w:sz w:val="20"/>
          <w:szCs w:val="20"/>
          <w:color w:val="auto"/>
        </w:rPr>
      </w:pPr>
    </w:p>
    <w:p>
      <w:pPr>
        <w:jc w:val="right"/>
        <w:ind w:left="984" w:right="8340" w:hanging="984"/>
        <w:spacing w:after="0" w:line="377" w:lineRule="auto"/>
        <w:tabs>
          <w:tab w:leader="none" w:pos="173"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Basis of Presentation</w:t>
      </w:r>
    </w:p>
    <w:p>
      <w:pPr>
        <w:spacing w:after="0" w:line="2" w:lineRule="exact"/>
        <w:rPr>
          <w:sz w:val="20"/>
          <w:szCs w:val="20"/>
          <w:color w:val="auto"/>
        </w:rPr>
      </w:pPr>
    </w:p>
    <w:p>
      <w:pPr>
        <w:ind w:left="4" w:right="260" w:firstLine="991"/>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and pursuant to the accounting and disclosure rules and regulations of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reflect all adjustments, consisting only of normal recurring adjustments, which are, in the opinion of management, necessary for a fair presentation of the financial position as of December 31, 2021 and December 31, 2020 and the results of operations and cash flows for the periods presented.</w:t>
      </w:r>
    </w:p>
    <w:p>
      <w:pPr>
        <w:spacing w:after="0" w:line="2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119"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F Common Stock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Earnings and losses are shared pro rata between the two classes of shares. Private and Public warrants to purchase 25,000,000 shares of Common Stock at $11.50 per share were issued on March 25, 2021. At December 31, 2021, no warrants have been exercised. The 25,000,000 potential common shares for outstanding warrants to purchase the Company’s stock were excluded from diluted earnings per share for the three months and year ended December 31, 2021 because the warrants are contingently exercisable, and the contingencies have not yet been met. As a result, diluted net loss per common share is the same as basic net loss per common share for the period. The table below presents a reconciliation of the numerator and denominator used to compute basic and diluted net loss per share for each class of common stock:</w:t>
      </w:r>
    </w:p>
    <w:p>
      <w:pPr>
        <w:spacing w:after="0" w:line="19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2"/>
                <w:szCs w:val="12"/>
                <w:color w:val="auto"/>
              </w:rPr>
            </w:pPr>
          </w:p>
        </w:tc>
        <w:tc>
          <w:tcPr>
            <w:tcW w:w="17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2020</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380" w:type="dxa"/>
            <w:vAlign w:val="bottom"/>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Allocation of net loss including accretion of temporary</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equity</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(106,532,707)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(34,213,663)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61,424,658</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19,726,923</w:t>
            </w: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21,562,500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65"/>
        </w:trPr>
        <w:tc>
          <w:tcPr>
            <w:tcW w:w="4820" w:type="dxa"/>
            <w:vAlign w:val="bottom"/>
          </w:tcPr>
          <w:p>
            <w:pPr>
              <w:spacing w:after="0"/>
              <w:rPr>
                <w:sz w:val="24"/>
                <w:szCs w:val="24"/>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4"/>
          </w:cols>
          <w:pgMar w:left="436" w:top="270" w:right="55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Concentration of Credit Risk</w:t>
      </w:r>
    </w:p>
    <w:p>
      <w:pPr>
        <w:spacing w:after="0" w:line="227"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7"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approximates the carrying amounts represented in the balance sheet.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Level III—Pricing inputs are unobservable and include situations where there is little, if any, market activity for the investment. The inputs used in determination of fair value require significant judgment and estimation.</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1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Company evaluated the Warrants (as defined below in Note 3 – Public Offering) and Private Placement Warrants (as defined below in Note 4 – Related Party Transactions) (collectively, “</w:t>
      </w:r>
      <w:r>
        <w:rPr>
          <w:rFonts w:ascii="Times New Roman" w:cs="Times New Roman" w:eastAsia="Times New Roman" w:hAnsi="Times New Roman"/>
          <w:sz w:val="18"/>
          <w:szCs w:val="18"/>
          <w:u w:val="single" w:color="auto"/>
          <w:color w:val="auto"/>
        </w:rPr>
        <w:t>Warrant Securities</w:t>
      </w:r>
      <w:r>
        <w:rPr>
          <w:rFonts w:ascii="Times New Roman" w:cs="Times New Roman" w:eastAsia="Times New Roman" w:hAnsi="Times New Roman"/>
          <w:sz w:val="18"/>
          <w:szCs w:val="18"/>
          <w:color w:val="auto"/>
        </w:rPr>
        <w:t>”), and the all forward purchase agreements in accordance with ASC</w:t>
      </w:r>
    </w:p>
    <w:p>
      <w:pPr>
        <w:ind w:right="220"/>
        <w:spacing w:after="0" w:line="253" w:lineRule="auto"/>
        <w:rPr>
          <w:sz w:val="20"/>
          <w:szCs w:val="20"/>
          <w:color w:val="auto"/>
        </w:rPr>
      </w:pPr>
      <w:r>
        <w:rPr>
          <w:rFonts w:ascii="Times New Roman" w:cs="Times New Roman" w:eastAsia="Times New Roman" w:hAnsi="Times New Roman"/>
          <w:sz w:val="18"/>
          <w:szCs w:val="18"/>
          <w:color w:val="auto"/>
        </w:rPr>
        <w:t xml:space="preserve">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and concluded that the Warrant Securities and forward purchase agreements could not be accounted for as components of equity. As the Warrant Securities and forward purchase agreements meet the definition of a derivative in accordance with ASC 815, the Warrant Securities and forward purchase agreements are recorded as derivative liabilities on the Balance Sheet and measured at fair value at inception (the Close Date) and remeasured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changes in fair value recognized in the Statement of Operations in the period of change.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403" w:name="page404"/>
    <w:bookmarkEnd w:id="403"/>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 Costs</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FASB ASC Topic 340-10-S99-1, “</w:t>
      </w:r>
      <w:r>
        <w:rPr>
          <w:rFonts w:ascii="Times New Roman" w:cs="Times New Roman" w:eastAsia="Times New Roman" w:hAnsi="Times New Roman"/>
          <w:sz w:val="18"/>
          <w:szCs w:val="18"/>
          <w:i w:val="1"/>
          <w:iCs w:val="1"/>
          <w:color w:val="auto"/>
        </w:rPr>
        <w:t>Other Assets and Deferred Costs – SEC Materials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 340-10-S99</w:t>
      </w:r>
      <w:r>
        <w:rPr>
          <w:rFonts w:ascii="Times New Roman" w:cs="Times New Roman" w:eastAsia="Times New Roman" w:hAnsi="Times New Roman"/>
          <w:sz w:val="18"/>
          <w:szCs w:val="18"/>
          <w:color w:val="auto"/>
        </w:rPr>
        <w:t>”) and SEC Staff Accounting Bulletin Topic 5A,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were $44,757,840 (including $44,000,000 in underwriters’ fees) consisting principally of professional and registration fees incurred through the balance sheet date that are related to the Public Offering and are charged to stockholders’ temporary equity upon the completion of the Public Offering. Since the Company is required to classify the warrants as derivative liabilities, offering costs totaling $832,496 are reflected as an expense in the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Common Stock</w:t>
      </w:r>
    </w:p>
    <w:p>
      <w:pPr>
        <w:spacing w:after="0" w:line="11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As discussed in Note 3, 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8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404" w:name="page405"/>
    <w:bookmarkEnd w:id="404"/>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December 31, 2021 and December 31, 2020.</w:t>
      </w:r>
    </w:p>
    <w:p>
      <w:pPr>
        <w:spacing w:after="0" w:line="176"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incorporated in the State of Delaware and is required to pay franchise taxes to the State of Delaware on an annual basis.</w:t>
      </w:r>
    </w:p>
    <w:p>
      <w:pPr>
        <w:spacing w:after="0" w:line="3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1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Company’s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December 31, 2021, the Company had $800,056,447 in the Trust Account which may be utilized for Business Combinations. At December 31, 2021, the Trust Account consisted of money market funds.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classifications,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Going Concern Consideration</w:t>
      </w:r>
    </w:p>
    <w:p>
      <w:pPr>
        <w:spacing w:after="0" w:line="11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the Company does not complete its Business Combination by March 25, 2023, the Company will (i) cease all operations except for the purpose of winding up, (ii) as promptly as reasonably possible but not more than ten 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05" w:name="page406"/>
    <w:bookmarkEnd w:id="40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addition, at December 31, 2021 and December 31, 2020, the Company had current liabilities of $104,929,383 and $1,782 and working capital of ($103,149,599) and ($1,782),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December 31, 2021 and amounts are continuing to accrue. Additionally, the warrant liability will not impact the Company’s liquidity until a Business Combination has been consummated, as they do not require cash settlement until such event has occurred.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Public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Units</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 March 25, 2021, the Company sold 75,000,000 units at a price of $10.00 per unit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generating gross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 Subsequently, the underwriters partially exercised their over-allotment option to purchase 5,000,000 newly issued units, and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sale of the additional Units pursuant to such exercise occurred on April 22, 2021. The issuance by the Company of 5,000,000 Over-Allotment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Units at a price of $10.00 per unit resulted in gross proceeds of $50,000,000. The remainder of the over-allotment option expired on May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Each Unit consists of one share of the Company’s Class A Common Stock (the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and one-fifth of one redeemable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warrant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Each whole Warrant entitles the holder to purchase one share of Class A Common Stock. Each Warrant will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on the later of 30 days after the completion of the Company’s Business Combination or 12 months from the closing of the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will expire five years after the completion of the Company’s Business Combination or earlier upon redemption or liquidation. However,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does not complete its Business Combination on or prior to the 24-month period allotted to complete the Business Combination, the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expire at the end of such period.</w:t>
      </w:r>
    </w:p>
    <w:p>
      <w:pPr>
        <w:spacing w:after="0" w:line="207" w:lineRule="exact"/>
        <w:rPr>
          <w:sz w:val="20"/>
          <w:szCs w:val="20"/>
          <w:color w:val="auto"/>
        </w:rPr>
      </w:pPr>
    </w:p>
    <w:p>
      <w:pPr>
        <w:ind w:right="240" w:firstLine="1432"/>
        <w:spacing w:after="0" w:line="254"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 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 April 22, 2021. The issuance by the Company of 5,000,000 Over-Allotment Option Units at a price of $10.00 per unit resulted in gross proceeds of $50,000,000. The remainder of the over-allotment option expired on May 9, 2021.</w:t>
      </w:r>
    </w:p>
    <w:p>
      <w:pPr>
        <w:spacing w:after="0" w:line="192"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The Company paid an upfront underwriting discount of 2.00% ($15,000,000) of the per Unit offering price to the underwriters at the closing of the Public Offering, with an additional fee (the “</w:t>
      </w:r>
      <w:r>
        <w:rPr>
          <w:rFonts w:ascii="Times New Roman" w:cs="Times New Roman" w:eastAsia="Times New Roman" w:hAnsi="Times New Roman"/>
          <w:sz w:val="18"/>
          <w:szCs w:val="18"/>
          <w:u w:val="single" w:color="auto"/>
          <w:color w:val="auto"/>
        </w:rPr>
        <w:t>Deferred Discount</w:t>
      </w:r>
      <w:r>
        <w:rPr>
          <w:rFonts w:ascii="Times New Roman" w:cs="Times New Roman" w:eastAsia="Times New Roman" w:hAnsi="Times New Roman"/>
          <w:sz w:val="18"/>
          <w:szCs w:val="18"/>
          <w:color w:val="auto"/>
        </w:rPr>
        <w: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406" w:name="page407"/>
    <w:bookmarkEnd w:id="406"/>
    <w:p>
      <w:pPr>
        <w:ind w:right="24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public warrants issued as part of the Units are accounted for as liabilities as there are terms and features do not qualify for equity classification in FASB ASC Topic 815-40 “</w:t>
      </w:r>
      <w:r>
        <w:rPr>
          <w:rFonts w:ascii="Times New Roman" w:cs="Times New Roman" w:eastAsia="Times New Roman" w:hAnsi="Times New Roman"/>
          <w:sz w:val="17"/>
          <w:szCs w:val="17"/>
          <w:i w:val="1"/>
          <w:iCs w:val="1"/>
          <w:color w:val="auto"/>
        </w:rPr>
        <w:t>Derivatives and Hedging – Contracts in Entity’s Own Equity</w:t>
      </w:r>
      <w:r>
        <w:rPr>
          <w:rFonts w:ascii="Times New Roman" w:cs="Times New Roman" w:eastAsia="Times New Roman" w:hAnsi="Times New Roman"/>
          <w:sz w:val="17"/>
          <w:szCs w:val="17"/>
          <w:color w:val="auto"/>
        </w:rPr>
        <w:t>.” The fair value of the public warrants at March 23, 2021 was a liability of $13,950,000. At December 31, 2021, the fair value has increased to $61,440,000. After consideration of the warrant value included in the Over-Allotment Option Units, the change in fair value of $46,560,000 is reflected as an expense in the statements of operations.</w:t>
      </w:r>
    </w:p>
    <w:p>
      <w:pPr>
        <w:spacing w:after="0" w:line="164"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Times New Roman" w:cs="Times New Roman" w:eastAsia="Times New Roman" w:hAnsi="Times New Roman"/>
          <w:sz w:val="18"/>
          <w:szCs w:val="18"/>
          <w:i w:val="1"/>
          <w:iCs w:val="1"/>
          <w:color w:val="auto"/>
        </w:rPr>
        <w:t>Debt – Debt with Conversion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8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As of December 31, 2021, the Class A Common Stock reflected on the balance sheet are reconciled in the following table. The accretion of carrying value to redemption value was fully recognized by June 30, 2021. There has been no additional accretion since:</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09"/>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(14,880,000)</w:t>
            </w: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shares issuance costs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(43,925,343)</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0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58,805,343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Contingently redeemable Class A Common Stock</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800,000,000</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sale of the Founders Shares is in the scope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ASC 718</w:t>
      </w:r>
      <w:r>
        <w:rPr>
          <w:rFonts w:ascii="Times New Roman" w:cs="Times New Roman" w:eastAsia="Times New Roman" w:hAnsi="Times New Roman"/>
          <w:sz w:val="18"/>
          <w:szCs w:val="18"/>
          <w:color w:val="auto"/>
        </w:rPr>
        <w:t>”).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December 31, 2021, the Company determined that a Business Combination is not considered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407" w:name="page408"/>
    <w:bookmarkEnd w:id="407"/>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On April 22, 2021, substantially concurrently with the sale of the Over-allotment Option Units, the Company completed a private placement with the Sponsor for an additional 500,000 warrants at a price of $2.00 per warrant (the “</w:t>
      </w:r>
      <w:r>
        <w:rPr>
          <w:rFonts w:ascii="Times New Roman" w:cs="Times New Roman" w:eastAsia="Times New Roman" w:hAnsi="Times New Roman"/>
          <w:sz w:val="18"/>
          <w:szCs w:val="18"/>
          <w:u w:val="single" w:color="auto"/>
          <w:color w:val="auto"/>
        </w:rPr>
        <w:t>Additional Private Placement Warrants</w:t>
      </w:r>
      <w:r>
        <w:rPr>
          <w:rFonts w:ascii="Times New Roman" w:cs="Times New Roman" w:eastAsia="Times New Roman" w:hAnsi="Times New Roman"/>
          <w:sz w:val="18"/>
          <w:szCs w:val="18"/>
          <w:color w:val="auto"/>
        </w:rPr>
        <w:t>”), generating gross proceeds of $1,000,000. Each Private Placement Warrant entitles the holder to purchase one share of Class A Common Stock at $11.50 per share. A portion of the purchase price of the Private Placement Warrants was added to the proceeds from the Public Offering to be held in the Trust Account pending completion of the Business Combination.</w:t>
      </w:r>
    </w:p>
    <w:p>
      <w:pPr>
        <w:spacing w:after="0" w:line="18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The holders of Founder Shares, Private Placement Warrants and warrants issued upon conversion of working capital loans, if any, have registration rights (in the case of the Founder Shares, only after conversion of such shares to common shares) pursuant to a registration rights agreement entered into by the Company, the Sponsor and the other security holders named therein on March 25, 2021. These holders will also have certain demand and “piggy back” registration rights. The Company will bear the expenses incurred in connection with the filing of any such registration statements.</w:t>
      </w: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Sponsor Loan</w:t>
      </w:r>
    </w:p>
    <w:p>
      <w:pPr>
        <w:spacing w:after="0" w:line="11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Prior to the completion of the Public Offering, the Sponsor loaned the Company an aggregate of $300,000 by the issuance of an unsecured promissory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w:t>
      </w:r>
    </w:p>
    <w:p>
      <w:pPr>
        <w:spacing w:after="0" w:line="18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December 31, 2021, the net amount advanced by Sponsor to the Company was $2,000,000.</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The Company entered into an administrative services agreement pursuant to which it agreed to pay to an affiliate of the Sponsor $20,000 a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08" w:name="page409"/>
    <w:bookmarkEnd w:id="4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period commencing March 25, 2021 through December 31, 2021 the Company has accrued and paid the affiliate $185,806.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Underwriting Compensation</w:t>
      </w:r>
    </w:p>
    <w:p>
      <w:pPr>
        <w:spacing w:after="0" w:line="121"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reconciliation of the statutory federal income tax expense to the income tax expense from continuing operations provided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 at the federal statutory rate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(17,207,616)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Transaction Expenses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15,452,324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 net of federal income tax benefits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(73,692)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Current/Deferred Taxes</w:t>
            </w: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income tax expense/(benefit)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current income tax expense/(benefit)</w:t>
            </w:r>
          </w:p>
        </w:tc>
        <w:tc>
          <w:tcPr>
            <w:tcW w:w="16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deferred income tax expense/(benefit)</w:t>
            </w:r>
          </w:p>
        </w:tc>
        <w:tc>
          <w:tcPr>
            <w:tcW w:w="16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(492,808)</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40" w:top="270" w:right="67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 Fair Value Measurement</w:t>
      </w:r>
    </w:p>
    <w:p>
      <w:pPr>
        <w:spacing w:after="0" w:line="119" w:lineRule="exact"/>
        <w:rPr>
          <w:sz w:val="20"/>
          <w:szCs w:val="20"/>
          <w:color w:val="auto"/>
        </w:rPr>
      </w:pPr>
    </w:p>
    <w:p>
      <w:pPr>
        <w:jc w:val="both"/>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Company complies with 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was derived from observable public warrant pricing on comparable ‘blank-check’ companies that recently went public in 2020 and 2021. Transfers to/from Levels 1, 2, and 3 are recognized at the beginning of the reporting period. The estimated fair value of Public Warrants was transferred from a Level 3 measurement to a Level 1 measurement, when the Public Warrants were separately listed and traded in an active market in Month 2021. The estimated fair value of the Private Warrants was transferred from a Level 3 measurement to a Level 2 fair value measurement as of Month 2021, as the transfer of Private Placement Warrants to anyone who is not a permitted transferee would result in the Private Placement Warrants having substantially the same terms as the Public Warrants, the Company determined that the fair value of each Private Placement Warrant is equivalent to that of each Public Warrant. No assets or liabilities are measured at fair value as of December 31, 2020. At December 31, 2021, there were observable transactions in the Company’s public warrants. At December 31, 2021, the Public Warrants had adequate trading volume to provide a reliable indication of value. The Public Warrants were valued at $3.84 at December 31, 2021.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9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The Warrants are measured at fair value on a recurring basis. The subsequent measurement of the Public and Private Warrants as of December 31, 2021, is classified as Level 1 and Level 2, respectively, due to the use of both observable inputs in an active market as well as quoted prices in active markets for similar assets and liabilities.</w:t>
      </w:r>
    </w:p>
    <w:p>
      <w:pPr>
        <w:spacing w:after="0" w:line="176"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As of December 31, 2021, the aggregate values of the Private Placement Warrants and Public Warrants were $34.6 million and $61.4 million, respectively, based on the closing price of GGPIW on that date of $3.84.</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66" w:right="499" w:bottom="1440" w:gutter="0" w:footer="0" w:header="0"/>
        </w:sectPr>
      </w:pPr>
    </w:p>
    <w:bookmarkStart w:id="410" w:name="page411"/>
    <w:bookmarkEnd w:id="410"/>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March 23, 2021, the aggregate values of the Private Placement Warrants and Public Warrants were $8.4 million and $14.9 million, respectively, based on the closing price of GGPIU on that date of $10.00.</w:t>
      </w:r>
    </w:p>
    <w:p>
      <w:pPr>
        <w:spacing w:after="0" w:line="162" w:lineRule="exact"/>
        <w:rPr>
          <w:sz w:val="20"/>
          <w:szCs w:val="20"/>
          <w:color w:val="auto"/>
        </w:rPr>
      </w:pPr>
    </w:p>
    <w:p>
      <w:pPr>
        <w:jc w:val="both"/>
        <w:ind w:right="60" w:firstLine="991"/>
        <w:spacing w:after="0" w:line="277"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are measured at fair value on a recurring basis as of December 31, 2021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5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6"/>
                <w:szCs w:val="16"/>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07"/>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960" w:type="dxa"/>
            <w:vAlign w:val="bottom"/>
            <w:vMerge w:val="restart"/>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9"/>
                <w:szCs w:val="9"/>
                <w:color w:val="auto"/>
              </w:rPr>
            </w:pPr>
          </w:p>
        </w:tc>
        <w:tc>
          <w:tcPr>
            <w:tcW w:w="13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000" w:type="dxa"/>
            <w:vAlign w:val="bottom"/>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Cash, Cash Equivalents and Other Investments Held in</w:t>
            </w:r>
          </w:p>
        </w:tc>
        <w:tc>
          <w:tcPr>
            <w:tcW w:w="10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Account</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8"/>
              </w:rPr>
              <w:t>$800,056,447</w:t>
            </w:r>
          </w:p>
        </w:tc>
        <w:tc>
          <w:tcPr>
            <w:tcW w:w="1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$ 800,056,447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(61,440,000)</w:t>
            </w: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(61,440,000)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(34,560,000)</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(34,560,000)</w:t>
            </w:r>
          </w:p>
        </w:tc>
        <w:tc>
          <w:tcPr>
            <w:tcW w:w="10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Deficit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right="120" w:firstLine="991"/>
        <w:spacing w:after="0" w:line="281" w:lineRule="auto"/>
        <w:rPr>
          <w:sz w:val="20"/>
          <w:szCs w:val="20"/>
          <w:color w:val="auto"/>
        </w:rPr>
      </w:pPr>
      <w:r>
        <w:rPr>
          <w:rFonts w:ascii="Times New Roman" w:cs="Times New Roman" w:eastAsia="Times New Roman" w:hAnsi="Times New Roman"/>
          <w:sz w:val="17"/>
          <w:szCs w:val="17"/>
          <w:color w:val="auto"/>
        </w:rPr>
        <w:t>The Company is authorized to issue 440,000,000 shares of common stock, consisting of 400,000,000 shares of Class A Common Stock, par value $0.0001 per share and 40,000,000 shares of Class F Common Stock, par value $0.0001 per share. Holders of the Company’s common stock are entitled to one vote for each share of common stock and vote together as a single class. At December 31, 2021 and December 31, 2020, there were 80,000,000 and -0- shares of Class A Common Stock and 20,000,000 and -0- shares of Class F Common Stock issued and outstanding,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par value $0.0001 per share, with such designations, voting and other rights and preferences as may be determined from time to time by the Board of Directors. At December 31, 2021 and December 31, 2020,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Risk and Uncertainties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 Subsequent Events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 February 18, 2022, the Sponsor extended the maturity date of promissory note issued by the Company to the Sponsor. The note remains unsecured, non-interest bearing and matures on the earlier of: (i) March 11, 2023 or (ii) the date on which the Company consummates a Business Combination. There are no other items which require adjustment or disclosure other than those set forth in the preceding notes to the financial statements.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440" w:top="266" w:right="559" w:bottom="1440" w:gutter="0" w:footer="0" w:header="0"/>
        </w:sectPr>
      </w:pPr>
    </w:p>
    <w:bookmarkStart w:id="412" w:name="page413"/>
    <w:bookmarkEnd w:id="412"/>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4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w w:val="98"/>
              </w:rPr>
              <w:t>Exhibit 15.2</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4"/>
                <w:szCs w:val="24"/>
                <w:color w:val="auto"/>
              </w:rPr>
            </w:pPr>
          </w:p>
        </w:tc>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Unaudited, Condensed Interim Financial Statements</w:t>
            </w:r>
          </w:p>
        </w:tc>
        <w:tc>
          <w:tcPr>
            <w:tcW w:w="5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Condensed Balance Sheets as of March 31, 2022 and December 31, 2021</w:t>
            </w:r>
          </w:p>
        </w:tc>
        <w:tc>
          <w:tcPr>
            <w:tcW w:w="104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962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Statements of Operations for the Three Months Ended March 31, 2022 and 2021 (Unaudited)</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Statements of Changes in Stockholders’ Deficit for the Three Months Ended March 31, 2022 and 2021 (Unaudited)</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Statements of Cash Flows for the Three Months Ended March 31, 2022 and 2021 (Unaudited)</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Unaudited, Interim, Condensed Financial Statements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08"/>
        </w:trPr>
        <w:tc>
          <w:tcPr>
            <w:tcW w:w="962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413" w:name="page414"/>
    <w:bookmarkEnd w:id="4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380" w:type="dxa"/>
            <w:vAlign w:val="bottom"/>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3"/>
        </w:trPr>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350,209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302,504</w:t>
            </w: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1,237,592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1,477,280</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1,587,801</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1,779,784</w:t>
            </w:r>
          </w:p>
        </w:tc>
        <w:tc>
          <w:tcPr>
            <w:tcW w:w="12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800,136,676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800,056,447</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801,724,477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801,836,231</w:t>
            </w:r>
          </w:p>
        </w:tc>
        <w:tc>
          <w:tcPr>
            <w:tcW w:w="12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7,849,812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6,729,383</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franchise tax accrual</w:t>
            </w:r>
          </w:p>
        </w:tc>
        <w:tc>
          <w:tcPr>
            <w:tcW w:w="10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 derivative liability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50,720,000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61,440,000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 derivative liability</w:t>
            </w:r>
          </w:p>
        </w:tc>
        <w:tc>
          <w:tcPr>
            <w:tcW w:w="10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28,530,000</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34,560,000</w:t>
            </w: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and advances payable - related party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2,000,000</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89,649,812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104,929,383</w:t>
            </w:r>
          </w:p>
        </w:tc>
        <w:tc>
          <w:tcPr>
            <w:tcW w:w="12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28,000,000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28,000,000</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117,649,812</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132,929,383</w:t>
            </w:r>
          </w:p>
        </w:tc>
        <w:tc>
          <w:tcPr>
            <w:tcW w:w="12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subject to possible redemption, 80,000,000 shares at March 31, 2022 and December 31, 2021 (at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 of $10 per share)</w:t>
            </w:r>
          </w:p>
        </w:tc>
        <w:tc>
          <w:tcPr>
            <w:tcW w:w="100" w:type="dxa"/>
            <w:vAlign w:val="bottom"/>
          </w:tcPr>
          <w:p>
            <w:pPr>
              <w:spacing w:after="0"/>
              <w:rPr>
                <w:sz w:val="20"/>
                <w:szCs w:val="20"/>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800,000,000</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800,000,000</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 March 31, 2022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00" w:type="dxa"/>
            <w:vAlign w:val="bottom"/>
          </w:tcPr>
          <w:p>
            <w:pPr>
              <w:spacing w:after="0"/>
              <w:rPr>
                <w:sz w:val="20"/>
                <w:szCs w:val="20"/>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$0.0001 par value; 400,000,000 shares authorized</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F Common Stock, $0.0001 par value; 40,000,000 shares authorized, 20,000,000 and 20,000,000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at March 31, 2022 and December 31, 2021, respectively</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8"/>
              </w:rPr>
              <w:t>(115,927,335)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(131,095,152)</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(115,925,335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(131,093,152)</w:t>
            </w:r>
          </w:p>
        </w:tc>
        <w:tc>
          <w:tcPr>
            <w:tcW w:w="12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801,724,477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801,836,231</w:t>
            </w: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414" w:name="page415"/>
    <w:bookmarkEnd w:id="4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48"/>
        </w:trPr>
        <w:tc>
          <w:tcPr>
            <w:tcW w:w="866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0" w:type="dxa"/>
            <w:vAlign w:val="bottom"/>
          </w:tcPr>
          <w:p>
            <w:pPr>
              <w:spacing w:after="0"/>
              <w:rPr>
                <w:sz w:val="12"/>
                <w:szCs w:val="12"/>
                <w:color w:val="auto"/>
              </w:rPr>
            </w:pPr>
          </w:p>
        </w:tc>
        <w:tc>
          <w:tcPr>
            <w:tcW w:w="1080" w:type="dxa"/>
            <w:vAlign w:val="bottom"/>
            <w:gridSpan w:val="3"/>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86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9"/>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(1,612,413)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(68,999)</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franchise taxes, other than income tax</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Gain/(loss) from change in fair value of warrant liability</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 for warrant issuance cost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(780,685)</w:t>
            </w:r>
          </w:p>
        </w:tc>
      </w:tr>
      <w:tr>
        <w:trPr>
          <w:trHeight w:val="22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from operations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15,087,587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(1,369,684)</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before income taxes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income/(loss) attributable to common shares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common share: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A common stock</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Class F common stock</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415" w:name="page416"/>
    <w:bookmarkEnd w:id="4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11"/>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1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240" w:type="dxa"/>
            <w:vAlign w:val="bottom"/>
          </w:tcPr>
          <w:p>
            <w:pPr>
              <w:spacing w:after="0"/>
              <w:rPr>
                <w:sz w:val="11"/>
                <w:szCs w:val="11"/>
                <w:color w:val="auto"/>
              </w:rPr>
            </w:pPr>
          </w:p>
        </w:tc>
        <w:tc>
          <w:tcPr>
            <w:tcW w:w="17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86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(131,095,152)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(131,093,152)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15,167,817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(115,927,335)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(115,925,335)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1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240" w:type="dxa"/>
            <w:vAlign w:val="bottom"/>
          </w:tcPr>
          <w:p>
            <w:pPr>
              <w:spacing w:after="0"/>
              <w:rPr>
                <w:sz w:val="11"/>
                <w:szCs w:val="11"/>
                <w:color w:val="auto"/>
              </w:rPr>
            </w:pPr>
          </w:p>
        </w:tc>
        <w:tc>
          <w:tcPr>
            <w:tcW w:w="17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F 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86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at January 1, 2021</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Class F Common Stock to Sponsor 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10, 2021 at $0.0001 par value</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21,562,500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of fair value paid by founders for warrants</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9,095,000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9,095,000</w:t>
            </w: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 Stock</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redemption against additional paid-in</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(9,117,844)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(9,117,844)</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measurement of Class A Common Stock</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redemption against accumulated deficit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(46,023,770)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(46,023,770)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(1,368,136)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21,562,500</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(47,393,688)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(47,391,532)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16" w:name="page417"/>
    <w:bookmarkEnd w:id="4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49"/>
        </w:trPr>
        <w:tc>
          <w:tcPr>
            <w:tcW w:w="7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40" w:type="dxa"/>
            <w:vAlign w:val="bottom"/>
          </w:tcPr>
          <w:p>
            <w:pPr>
              <w:spacing w:after="0"/>
              <w:rPr>
                <w:sz w:val="12"/>
                <w:szCs w:val="12"/>
                <w:color w:val="auto"/>
              </w:rPr>
            </w:pPr>
          </w:p>
        </w:tc>
        <w:tc>
          <w:tcPr>
            <w:tcW w:w="118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7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5"/>
                <w:szCs w:val="15"/>
                <w:color w:val="auto"/>
              </w:rPr>
            </w:pPr>
          </w:p>
        </w:tc>
        <w:tc>
          <w:tcPr>
            <w:tcW w:w="11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6"/>
        </w:trPr>
        <w:tc>
          <w:tcPr>
            <w:tcW w:w="7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15,167,817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(1,368,136)</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income/(loss) to net cash provided by/(used in) operating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 related to warrant liability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780,685</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from change in fair value of warrant liability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(16,750,000)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470,000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state franchise tax accrual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49,550</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239,688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(11,459)</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accrued expenses, formation and offering costs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1,120,429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509,372</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provided/(used) in operating activities</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430,012</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(750,000,000)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reinvested in the Trust Account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(750,001,548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in initial public offering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 to Sponsor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17,000,000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F Common Stock to Sponsor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and advances payable – related party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and advances payable – related party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underwriters’ discounts and commissions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Payment of accrued offering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(722,299)</w:t>
            </w:r>
          </w:p>
        </w:tc>
      </w:tr>
      <w:tr>
        <w:trPr>
          <w:trHeight w:val="27"/>
        </w:trPr>
        <w:tc>
          <w:tcPr>
            <w:tcW w:w="7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751,302,701</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1,731,165</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302,504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1,731,165</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compensation</w:t>
            </w:r>
          </w:p>
        </w:tc>
        <w:tc>
          <w:tcPr>
            <w:tcW w:w="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26,250,000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income and franchise taxes paid: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and state franchise taxes</w:t>
            </w:r>
          </w:p>
        </w:tc>
        <w:tc>
          <w:tcPr>
            <w:tcW w:w="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interim condensed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417" w:name="page418"/>
    <w:bookmarkEnd w:id="41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GORES GUGGENHEIM,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THE UNAUDITED, INTERIM, CONDENSED FINANCIAL STATEMENTS</w:t>
      </w:r>
    </w:p>
    <w:p>
      <w:pPr>
        <w:spacing w:after="0" w:line="252" w:lineRule="exact"/>
        <w:rPr>
          <w:sz w:val="20"/>
          <w:szCs w:val="20"/>
          <w:color w:val="auto"/>
        </w:rPr>
      </w:pPr>
    </w:p>
    <w:p>
      <w:pPr>
        <w:ind w:left="424" w:hanging="424"/>
        <w:spacing w:after="0"/>
        <w:tabs>
          <w:tab w:leader="none" w:pos="424"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Operations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Organization and General</w:t>
      </w:r>
    </w:p>
    <w:p>
      <w:pPr>
        <w:spacing w:after="0" w:line="119" w:lineRule="exact"/>
        <w:rPr>
          <w:sz w:val="20"/>
          <w:szCs w:val="20"/>
          <w:color w:val="auto"/>
        </w:rPr>
      </w:pPr>
    </w:p>
    <w:p>
      <w:pPr>
        <w:ind w:left="4" w:right="200" w:firstLine="991"/>
        <w:spacing w:after="0" w:line="262" w:lineRule="auto"/>
        <w:rPr>
          <w:sz w:val="20"/>
          <w:szCs w:val="20"/>
          <w:color w:val="auto"/>
        </w:rPr>
      </w:pPr>
      <w:r>
        <w:rPr>
          <w:rFonts w:ascii="Times New Roman" w:cs="Times New Roman" w:eastAsia="Times New Roman" w:hAnsi="Times New Roman"/>
          <w:sz w:val="18"/>
          <w:szCs w:val="18"/>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not engaged in any operations, other than to identify and consummate a Business Combination, and has not generated any operating revenue to date. The Company’s management has broad discretion with respect to the Business Combination. The Company’s sponsor is Gores Guggenheim Sponsor, LLC, a Delaware limited liability company (the “Sponsor”). The Company has selected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fiscal year-end.</w:t>
      </w:r>
    </w:p>
    <w:p>
      <w:pPr>
        <w:spacing w:after="0" w:line="56"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The Company completed the Public Offering on March 25, 2021 (the “IPO Closing Date”). As of March 31, 2022, the Company had not commenced any operations. All activity during the three months ended March 31, 2022 relates to the Company’s search for a prospective initial Business Combination. The Company will not generate any operating revenues until after the completion of its Business Combination, at the earliest. Subsequent to the Public Offering, the Company generates non-operating income in the form of interest income from the proceeds derived from the Public Offering and the sale of the Private Placement Warrants (as defined below) held in the Trust Account (as defined below).</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 September 27, 2021,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Business Combination Agreement (as amended,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the Company, Polestar Automotive Holding Limited, a Hong Kong incorporated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w:t>
      </w:r>
      <w:r>
        <w:rPr>
          <w:rFonts w:ascii="Times New Roman" w:cs="Times New Roman" w:eastAsia="Times New Roman" w:hAnsi="Times New Roman"/>
          <w:sz w:val="18"/>
          <w:szCs w:val="18"/>
          <w:u w:val="single" w:color="auto"/>
          <w:color w:val="auto"/>
        </w:rPr>
        <w:t>Polestar Singapore</w:t>
      </w:r>
      <w:r>
        <w:rPr>
          <w:rFonts w:ascii="Times New Roman" w:cs="Times New Roman" w:eastAsia="Times New Roman" w:hAnsi="Times New Roman"/>
          <w:sz w:val="18"/>
          <w:szCs w:val="18"/>
          <w:color w:val="auto"/>
        </w:rPr>
        <w:t>”), Polestar Holding AB,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private limited liability company incorporated under the laws of Sweden (“</w:t>
      </w:r>
      <w:r>
        <w:rPr>
          <w:rFonts w:ascii="Times New Roman" w:cs="Times New Roman" w:eastAsia="Times New Roman" w:hAnsi="Times New Roman"/>
          <w:sz w:val="18"/>
          <w:szCs w:val="18"/>
          <w:u w:val="single" w:color="auto"/>
          <w:color w:val="auto"/>
        </w:rPr>
        <w:t>Polestar Sweden</w:t>
      </w:r>
      <w:r>
        <w:rPr>
          <w:rFonts w:ascii="Times New Roman" w:cs="Times New Roman" w:eastAsia="Times New Roman" w:hAnsi="Times New Roman"/>
          <w:sz w:val="18"/>
          <w:szCs w:val="18"/>
          <w:color w:val="auto"/>
        </w:rPr>
        <w:t>”), Polestar Automotive Holding UK Limited, a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company incorporated under the laws of England and Wales and a direct wholly owned subsidiary of Parent (“</w:t>
      </w:r>
      <w:r>
        <w:rPr>
          <w:rFonts w:ascii="Times New Roman" w:cs="Times New Roman" w:eastAsia="Times New Roman" w:hAnsi="Times New Roman"/>
          <w:sz w:val="17"/>
          <w:szCs w:val="17"/>
          <w:u w:val="single" w:color="auto"/>
          <w:color w:val="auto"/>
        </w:rPr>
        <w:t>ListCo</w:t>
      </w:r>
      <w:r>
        <w:rPr>
          <w:rFonts w:ascii="Times New Roman" w:cs="Times New Roman" w:eastAsia="Times New Roman" w:hAnsi="Times New Roman"/>
          <w:sz w:val="17"/>
          <w:szCs w:val="17"/>
          <w:color w:val="auto"/>
        </w:rPr>
        <w:t>”), and PAH UK Merger Sub Inc., a</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Delaware corporation and a direct wholly owned subsidiary of ListCo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120" w:firstLine="991"/>
        <w:spacing w:after="0" w:line="281" w:lineRule="auto"/>
        <w:rPr>
          <w:sz w:val="20"/>
          <w:szCs w:val="20"/>
          <w:color w:val="auto"/>
        </w:rPr>
      </w:pPr>
      <w:r>
        <w:rPr>
          <w:rFonts w:ascii="Times New Roman" w:cs="Times New Roman" w:eastAsia="Times New Roman" w:hAnsi="Times New Roman"/>
          <w:sz w:val="17"/>
          <w:szCs w:val="17"/>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Business Combination Agreement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Pre-Closing Reorganization</w:t>
      </w:r>
    </w:p>
    <w:p>
      <w:pPr>
        <w:spacing w:after="0" w:line="119"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color w:val="auto"/>
        </w:rPr>
        <w:t>In connection with the Merger, prior to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Times New Roman" w:cs="Times New Roman" w:eastAsia="Times New Roman" w:hAnsi="Times New Roman"/>
          <w:sz w:val="18"/>
          <w:szCs w:val="18"/>
          <w:u w:val="single" w:color="auto"/>
          <w:color w:val="auto"/>
        </w:rPr>
        <w:t>Pre-</w:t>
      </w:r>
    </w:p>
    <w:p>
      <w:pPr>
        <w:spacing w:after="0" w:line="1"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Closing Reorganization</w:t>
      </w:r>
      <w:r>
        <w:rPr>
          <w:rFonts w:ascii="Times New Roman" w:cs="Times New Roman" w:eastAsia="Times New Roman" w:hAnsi="Times New Roman"/>
          <w:sz w:val="18"/>
          <w:szCs w:val="18"/>
          <w:color w:val="auto"/>
        </w:rPr>
        <w:t>”). As consideration for the Pre-Closing Reorganization, ListCo will issue to Parent a number of class A ordinary shares in the share capital of ListCo which class A ordinary shares shall entitle the holder to one vote per share (“</w:t>
      </w:r>
      <w:r>
        <w:rPr>
          <w:rFonts w:ascii="Times New Roman" w:cs="Times New Roman" w:eastAsia="Times New Roman" w:hAnsi="Times New Roman"/>
          <w:sz w:val="18"/>
          <w:szCs w:val="18"/>
          <w:u w:val="single" w:color="auto"/>
          <w:color w:val="auto"/>
        </w:rPr>
        <w:t>ListCo Class A Shares</w:t>
      </w:r>
      <w:r>
        <w:rPr>
          <w:rFonts w:ascii="Times New Roman" w:cs="Times New Roman" w:eastAsia="Times New Roman" w:hAnsi="Times New Roman"/>
          <w:sz w:val="18"/>
          <w:szCs w:val="18"/>
          <w:color w:val="auto"/>
        </w:rPr>
        <w:t>”) and class B ordinary shares in the share capital of ListCo, which class B ordinary shares shall entitle the holder to ten votes per share (“</w:t>
      </w:r>
      <w:r>
        <w:rPr>
          <w:rFonts w:ascii="Times New Roman" w:cs="Times New Roman" w:eastAsia="Times New Roman" w:hAnsi="Times New Roman"/>
          <w:sz w:val="18"/>
          <w:szCs w:val="18"/>
          <w:u w:val="single" w:color="auto"/>
          <w:color w:val="auto"/>
        </w:rPr>
        <w:t>ListCo Class B Shares</w:t>
      </w:r>
      <w:r>
        <w:rPr>
          <w:rFonts w:ascii="Times New Roman" w:cs="Times New Roman" w:eastAsia="Times New Roman" w:hAnsi="Times New Roman"/>
          <w:sz w:val="18"/>
          <w:szCs w:val="18"/>
          <w:color w:val="auto"/>
        </w:rPr>
        <w:t>,” and, together with the ListCo Class A Shares, the “</w:t>
      </w:r>
      <w:r>
        <w:rPr>
          <w:rFonts w:ascii="Times New Roman" w:cs="Times New Roman" w:eastAsia="Times New Roman" w:hAnsi="Times New Roman"/>
          <w:sz w:val="18"/>
          <w:szCs w:val="18"/>
          <w:u w:val="single" w:color="auto"/>
          <w:color w:val="auto"/>
        </w:rPr>
        <w:t>ListCo Shares</w:t>
      </w:r>
      <w:r>
        <w:rPr>
          <w:rFonts w:ascii="Times New Roman" w:cs="Times New Roman" w:eastAsia="Times New Roman" w:hAnsi="Times New Roman"/>
          <w:sz w:val="18"/>
          <w:szCs w:val="18"/>
          <w:color w:val="auto"/>
        </w:rPr>
        <w:t>”), such that, following the Pre-Closing Reorganization, Parent will hold an aggregate number</w:t>
      </w:r>
    </w:p>
    <w:p>
      <w:pPr>
        <w:spacing w:after="0" w:line="2" w:lineRule="exact"/>
        <w:rPr>
          <w:sz w:val="20"/>
          <w:szCs w:val="20"/>
          <w:color w:val="auto"/>
        </w:rPr>
      </w:pPr>
    </w:p>
    <w:p>
      <w:pPr>
        <w:ind w:left="4" w:right="360"/>
        <w:spacing w:after="0" w:line="265" w:lineRule="auto"/>
        <w:rPr>
          <w:sz w:val="20"/>
          <w:szCs w:val="20"/>
          <w:color w:val="auto"/>
        </w:rPr>
      </w:pPr>
      <w:r>
        <w:rPr>
          <w:rFonts w:ascii="Times New Roman" w:cs="Times New Roman" w:eastAsia="Times New Roman" w:hAnsi="Times New Roman"/>
          <w:sz w:val="17"/>
          <w:szCs w:val="17"/>
          <w:color w:val="auto"/>
        </w:rPr>
        <w:t>of ListCo Shares equal to approximately (a) $20,003,000,000 divided by $10.00, less (b) (i) the aggregate principal amount due in respect of certain convertible notes of Parent outstanding as of immediately prior to the Closing, divided by (ii) the applicable conversion price of such notes, less</w:t>
      </w:r>
    </w:p>
    <w:p>
      <w:pPr>
        <w:ind w:left="4" w:right="320" w:hanging="4"/>
        <w:spacing w:after="0" w:line="260" w:lineRule="auto"/>
        <w:tabs>
          <w:tab w:leader="none" w:pos="24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49,803,900, which represents the aggregate number of ListCo Preference Shares (as defined below) issued pursuant to the Volvo Cars Preference Subscription Agreement (as defined below).</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418" w:name="page419"/>
    <w:bookmarkEnd w:id="418"/>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9"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Following the Pre-Closing Reorganization and pursuant to the Business Combination Agreement, at the Closing,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which the separate corporate existence of Merger Sub will cease, with the Company being the surviving corporation and becoming a wholly owned subsidiary of ListCo.</w:t>
      </w:r>
    </w:p>
    <w:p>
      <w:pPr>
        <w:spacing w:after="0" w:line="176"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of the Company, par value $0.0001 per share (“</w:t>
      </w:r>
      <w:r>
        <w:rPr>
          <w:rFonts w:ascii="Times New Roman" w:cs="Times New Roman" w:eastAsia="Times New Roman" w:hAnsi="Times New Roman"/>
          <w:sz w:val="18"/>
          <w:szCs w:val="18"/>
          <w:u w:val="single" w:color="auto"/>
          <w:color w:val="auto"/>
        </w:rPr>
        <w:t>GG Class A Shares</w:t>
      </w:r>
      <w:r>
        <w:rPr>
          <w:rFonts w:ascii="Times New Roman" w:cs="Times New Roman" w:eastAsia="Times New Roman" w:hAnsi="Times New Roman"/>
          <w:sz w:val="18"/>
          <w:szCs w:val="18"/>
          <w:color w:val="auto"/>
        </w:rPr>
        <w:t>”) issued and outstanding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those held in treasury, will be exchanged for one newly issued American depository share of ListCo (“</w:t>
      </w:r>
      <w:r>
        <w:rPr>
          <w:rFonts w:ascii="Times New Roman" w:cs="Times New Roman" w:eastAsia="Times New Roman" w:hAnsi="Times New Roman"/>
          <w:sz w:val="18"/>
          <w:szCs w:val="18"/>
          <w:u w:val="single" w:color="auto"/>
          <w:color w:val="auto"/>
        </w:rPr>
        <w:t>ListCo Class A ADS</w:t>
      </w:r>
      <w:r>
        <w:rPr>
          <w:rFonts w:ascii="Times New Roman" w:cs="Times New Roman" w:eastAsia="Times New Roman" w:hAnsi="Times New Roman"/>
          <w:sz w:val="18"/>
          <w:szCs w:val="18"/>
          <w:color w:val="auto"/>
        </w:rPr>
        <w:t>”) duly and validly issued against the deposit of an underlying ListCo Class A Share deposited with a bank (“</w:t>
      </w:r>
      <w:r>
        <w:rPr>
          <w:rFonts w:ascii="Times New Roman" w:cs="Times New Roman" w:eastAsia="Times New Roman" w:hAnsi="Times New Roman"/>
          <w:sz w:val="18"/>
          <w:szCs w:val="18"/>
          <w:u w:val="single" w:color="auto"/>
          <w:color w:val="auto"/>
        </w:rPr>
        <w:t>Depositary Bank</w:t>
      </w:r>
      <w:r>
        <w:rPr>
          <w:rFonts w:ascii="Times New Roman" w:cs="Times New Roman" w:eastAsia="Times New Roman" w:hAnsi="Times New Roman"/>
          <w:sz w:val="18"/>
          <w:szCs w:val="18"/>
          <w:color w:val="auto"/>
        </w:rPr>
        <w:t>”) in which ListCo has established and sponsored American depository receipt facilities (each, an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Each share of Class F Common Stock of the Company, par value $0.0001 per share (“</w:t>
      </w:r>
      <w:r>
        <w:rPr>
          <w:rFonts w:ascii="Times New Roman" w:cs="Times New Roman" w:eastAsia="Times New Roman" w:hAnsi="Times New Roman"/>
          <w:sz w:val="18"/>
          <w:szCs w:val="18"/>
          <w:u w:val="single" w:color="auto"/>
          <w:color w:val="auto"/>
        </w:rPr>
        <w:t>GG Class F Shares</w:t>
      </w:r>
      <w:r>
        <w:rPr>
          <w:rFonts w:ascii="Times New Roman" w:cs="Times New Roman" w:eastAsia="Times New Roman" w:hAnsi="Times New Roman"/>
          <w:sz w:val="18"/>
          <w:szCs w:val="18"/>
          <w:color w:val="auto"/>
        </w:rPr>
        <w:t>,” and together with the GG Class A Shares, the “</w:t>
      </w:r>
      <w:r>
        <w:rPr>
          <w:rFonts w:ascii="Times New Roman" w:cs="Times New Roman" w:eastAsia="Times New Roman" w:hAnsi="Times New Roman"/>
          <w:sz w:val="18"/>
          <w:szCs w:val="18"/>
          <w:u w:val="single" w:color="auto"/>
          <w:color w:val="auto"/>
        </w:rPr>
        <w:t>GG Shares</w:t>
      </w:r>
      <w:r>
        <w:rPr>
          <w:rFonts w:ascii="Times New Roman" w:cs="Times New Roman" w:eastAsia="Times New Roman" w:hAnsi="Times New Roman"/>
          <w:sz w:val="18"/>
          <w:szCs w:val="18"/>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89"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Times New Roman" w:cs="Times New Roman" w:eastAsia="Times New Roman" w:hAnsi="Times New Roman"/>
          <w:sz w:val="18"/>
          <w:szCs w:val="18"/>
          <w:u w:val="single" w:color="auto"/>
          <w:color w:val="auto"/>
        </w:rPr>
        <w:t>Public Warrant</w:t>
      </w:r>
      <w:r>
        <w:rPr>
          <w:rFonts w:ascii="Times New Roman" w:cs="Times New Roman" w:eastAsia="Times New Roman" w:hAnsi="Times New Roman"/>
          <w:sz w:val="18"/>
          <w:szCs w:val="18"/>
          <w:color w:val="auto"/>
        </w:rPr>
        <w:t>”), which underlying securities will be converted as described below.</w:t>
      </w:r>
    </w:p>
    <w:p>
      <w:pPr>
        <w:spacing w:after="0" w:line="176" w:lineRule="exact"/>
        <w:rPr>
          <w:sz w:val="20"/>
          <w:szCs w:val="20"/>
          <w:color w:val="auto"/>
        </w:rPr>
      </w:pPr>
    </w:p>
    <w:p>
      <w:pPr>
        <w:ind w:right="340" w:firstLine="991"/>
        <w:spacing w:after="0" w:line="272" w:lineRule="auto"/>
        <w:rPr>
          <w:sz w:val="20"/>
          <w:szCs w:val="20"/>
          <w:color w:val="auto"/>
        </w:rPr>
      </w:pPr>
      <w:r>
        <w:rPr>
          <w:rFonts w:ascii="Times New Roman" w:cs="Times New Roman" w:eastAsia="Times New Roman" w:hAnsi="Times New Roman"/>
          <w:sz w:val="17"/>
          <w:szCs w:val="17"/>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Times New Roman" w:cs="Times New Roman" w:eastAsia="Times New Roman" w:hAnsi="Times New Roman"/>
          <w:sz w:val="17"/>
          <w:szCs w:val="17"/>
          <w:u w:val="single" w:color="auto"/>
          <w:color w:val="auto"/>
        </w:rPr>
        <w:t>ListCo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Class C-1 ADS</w:t>
      </w:r>
      <w:r>
        <w:rPr>
          <w:rFonts w:ascii="Times New Roman" w:cs="Times New Roman" w:eastAsia="Times New Roman" w:hAnsi="Times New Roman"/>
          <w:sz w:val="17"/>
          <w:szCs w:val="17"/>
          <w:color w:val="auto"/>
        </w:rPr>
        <w:t>”) duly and validly issued against the deposit of an underlying class C-1 preferred share in the share capital of ListCo (“</w:t>
      </w:r>
      <w:r>
        <w:rPr>
          <w:rFonts w:ascii="Times New Roman" w:cs="Times New Roman" w:eastAsia="Times New Roman" w:hAnsi="Times New Roman"/>
          <w:sz w:val="17"/>
          <w:szCs w:val="17"/>
          <w:u w:val="single" w:color="auto"/>
          <w:color w:val="auto"/>
        </w:rPr>
        <w:t>ListCo</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Class C-1 Share</w:t>
      </w:r>
      <w:r>
        <w:rPr>
          <w:rFonts w:ascii="Times New Roman" w:cs="Times New Roman" w:eastAsia="Times New Roman" w:hAnsi="Times New Roman"/>
          <w:sz w:val="18"/>
          <w:szCs w:val="18"/>
          <w:color w:val="auto"/>
        </w:rPr>
        <w:t>”) deposited with the Depositary Bank. Each ListCo Class C-1 Share will be exercisable to acquire a ListCo Class A Share at an exercise price of $11.50 per share. In addition, each private placement warrant of the Company (“</w:t>
      </w:r>
      <w:r>
        <w:rPr>
          <w:rFonts w:ascii="Times New Roman" w:cs="Times New Roman" w:eastAsia="Times New Roman" w:hAnsi="Times New Roman"/>
          <w:sz w:val="18"/>
          <w:szCs w:val="18"/>
          <w:u w:val="single" w:color="auto"/>
          <w:color w:val="auto"/>
        </w:rPr>
        <w:t>Private Placement Warrant</w:t>
      </w:r>
      <w:r>
        <w:rPr>
          <w:rFonts w:ascii="Times New Roman" w:cs="Times New Roman" w:eastAsia="Times New Roman" w:hAnsi="Times New Roman"/>
          <w:sz w:val="18"/>
          <w:szCs w:val="18"/>
          <w:color w:val="auto"/>
        </w:rPr>
        <w:t>”) will be automatically cancelled and extinguished and converted into the right to receive one American depository share of ListCo (“</w:t>
      </w:r>
      <w:r>
        <w:rPr>
          <w:rFonts w:ascii="Times New Roman" w:cs="Times New Roman" w:eastAsia="Times New Roman" w:hAnsi="Times New Roman"/>
          <w:sz w:val="18"/>
          <w:szCs w:val="18"/>
          <w:u w:val="single" w:color="auto"/>
          <w:color w:val="auto"/>
        </w:rPr>
        <w:t>ListCo Class C-2 ADS</w:t>
      </w:r>
      <w:r>
        <w:rPr>
          <w:rFonts w:ascii="Times New Roman" w:cs="Times New Roman" w:eastAsia="Times New Roman" w:hAnsi="Times New Roman"/>
          <w:sz w:val="18"/>
          <w:szCs w:val="18"/>
          <w:color w:val="auto"/>
        </w:rPr>
        <w:t>”) duly and validly issued against the deposit of an underlying class C-2 preferred share in the share capital of ListCo (“</w:t>
      </w:r>
      <w:r>
        <w:rPr>
          <w:rFonts w:ascii="Times New Roman" w:cs="Times New Roman" w:eastAsia="Times New Roman" w:hAnsi="Times New Roman"/>
          <w:sz w:val="18"/>
          <w:szCs w:val="18"/>
          <w:u w:val="single" w:color="auto"/>
          <w:color w:val="auto"/>
        </w:rPr>
        <w:t>ListCo Class C-2 Share</w:t>
      </w:r>
      <w:r>
        <w:rPr>
          <w:rFonts w:ascii="Times New Roman" w:cs="Times New Roman" w:eastAsia="Times New Roman" w:hAnsi="Times New Roman"/>
          <w:sz w:val="18"/>
          <w:szCs w:val="18"/>
          <w:color w:val="auto"/>
        </w:rPr>
        <w:t>”) deposited with the Depositary Bank. Each ListCo Class C-2 Share will be exercisable to acquire a ListCo Class A Share at an exercise price of $11.50 per share.</w:t>
      </w:r>
    </w:p>
    <w:p>
      <w:pPr>
        <w:spacing w:after="0" w:line="18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each Public Warrant shall be automatically cancelled and extinguished and converted into the right to receive one American depository warrant of ListCo (“</w:t>
      </w:r>
      <w:r>
        <w:rPr>
          <w:rFonts w:ascii="Times New Roman" w:cs="Times New Roman" w:eastAsia="Times New Roman" w:hAnsi="Times New Roman"/>
          <w:sz w:val="18"/>
          <w:szCs w:val="18"/>
          <w:u w:val="single" w:color="auto"/>
          <w:color w:val="auto"/>
        </w:rPr>
        <w:t>ListCo AD Warrant</w:t>
      </w:r>
      <w:r>
        <w:rPr>
          <w:rFonts w:ascii="Times New Roman" w:cs="Times New Roman" w:eastAsia="Times New Roman" w:hAnsi="Times New Roman"/>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19" w:name="page420"/>
    <w:bookmarkEnd w:id="419"/>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Statement/Proxy Statement; Warrantholder Solicitation</w:t>
      </w:r>
    </w:p>
    <w:p>
      <w:pPr>
        <w:spacing w:after="0" w:line="119"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the Company, ListCo, Polestar Singapore, Polestar Sweden and Parent will prepare, and ListCo will file with the SEC, a registration statement on Form F-4 (the “</w:t>
      </w:r>
      <w:r>
        <w:rPr>
          <w:rFonts w:ascii="Times New Roman" w:cs="Times New Roman" w:eastAsia="Times New Roman" w:hAnsi="Times New Roman"/>
          <w:sz w:val="18"/>
          <w:szCs w:val="18"/>
          <w:u w:val="single" w:color="auto"/>
          <w:color w:val="auto"/>
        </w:rPr>
        <w:t>Registration Statement/Proxy Statement</w:t>
      </w:r>
      <w:r>
        <w:rPr>
          <w:rFonts w:ascii="Times New Roman" w:cs="Times New Roman" w:eastAsia="Times New Roman" w:hAnsi="Times New Roman"/>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80"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Times New Roman" w:cs="Times New Roman" w:eastAsia="Times New Roman" w:hAnsi="Times New Roman"/>
          <w:sz w:val="18"/>
          <w:szCs w:val="18"/>
          <w:u w:val="single" w:color="auto"/>
          <w:color w:val="auto"/>
        </w:rPr>
        <w:t>Requisite GG Warantholder Approval</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9" w:lineRule="exact"/>
        <w:rPr>
          <w:sz w:val="20"/>
          <w:szCs w:val="20"/>
          <w:color w:val="auto"/>
        </w:rPr>
      </w:pPr>
    </w:p>
    <w:p>
      <w:pPr>
        <w:ind w:left="4" w:firstLine="991"/>
        <w:spacing w:after="0" w:line="276" w:lineRule="auto"/>
        <w:rPr>
          <w:sz w:val="20"/>
          <w:szCs w:val="20"/>
          <w:color w:val="auto"/>
        </w:rPr>
      </w:pPr>
      <w:r>
        <w:rPr>
          <w:rFonts w:ascii="Times New Roman" w:cs="Times New Roman" w:eastAsia="Times New Roman" w:hAnsi="Times New Roman"/>
          <w:sz w:val="17"/>
          <w:szCs w:val="17"/>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w:t>
      </w:r>
    </w:p>
    <w:p>
      <w:pPr>
        <w:spacing w:after="0" w:line="1" w:lineRule="exact"/>
        <w:rPr>
          <w:sz w:val="20"/>
          <w:szCs w:val="20"/>
          <w:color w:val="auto"/>
        </w:rPr>
      </w:pPr>
    </w:p>
    <w:p>
      <w:pPr>
        <w:ind w:left="4" w:hanging="4"/>
        <w:spacing w:after="0" w:line="251" w:lineRule="auto"/>
        <w:tabs>
          <w:tab w:leader="none" w:pos="25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Times New Roman" w:cs="Times New Roman" w:eastAsia="Times New Roman" w:hAnsi="Times New Roman"/>
          <w:sz w:val="18"/>
          <w:szCs w:val="18"/>
          <w:u w:val="single" w:color="auto"/>
          <w:color w:val="auto"/>
        </w:rPr>
        <w:t>Stockholder Redemptions</w:t>
      </w:r>
      <w:r>
        <w:rPr>
          <w:rFonts w:ascii="Times New Roman" w:cs="Times New Roman" w:eastAsia="Times New Roman" w:hAnsi="Times New Roman"/>
          <w:sz w:val="18"/>
          <w:szCs w:val="18"/>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91"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83"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68" w:right="49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p>
    <w:p>
      <w:pPr>
        <w:spacing w:after="0" w:line="119" w:lineRule="exact"/>
        <w:rPr>
          <w:sz w:val="20"/>
          <w:szCs w:val="20"/>
          <w:color w:val="auto"/>
        </w:rPr>
      </w:pPr>
    </w:p>
    <w:p>
      <w:pPr>
        <w:ind w:right="20" w:firstLine="991"/>
        <w:spacing w:after="0" w:line="277" w:lineRule="auto"/>
        <w:rPr>
          <w:sz w:val="20"/>
          <w:szCs w:val="20"/>
          <w:color w:val="auto"/>
        </w:rPr>
      </w:pPr>
      <w:r>
        <w:rPr>
          <w:rFonts w:ascii="Times New Roman" w:cs="Times New Roman" w:eastAsia="Times New Roman" w:hAnsi="Times New Roman"/>
          <w:sz w:val="17"/>
          <w:szCs w:val="17"/>
          <w:color w:val="auto"/>
        </w:rPr>
        <w:t>On April 21, 2022, the parties to the Business Combination Agreement entered into Amendment No. 3 to the Business Combination Agreement (“BCA Amendment No. 3”) to extend the Termination Date (as defined in the Business Combination Agreement) from May 27, 2022 to June 24, 2022. The Business Combination Agreement may be terminated at any time prior to the Closing by mutual written consent of the Company and Parent and in certain other circumstances, including if the Closing has not occurred on or prior to June 24, 2022 and the primary cause of the failure for the Closing to have occurred on or prior to such date is not due to a breach of the Business Combination Agreement by the party seeking to terminate.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subscription agreements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have agreed to purchase, substantially concurrently with the Closing, an aggregate of 7.43 million ListCo Class A ADSs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for a purchase price of $9.09 per share in a private placement, for an aggregate amount of $67,500,000 (the “</w:t>
      </w:r>
      <w:r>
        <w:rPr>
          <w:rFonts w:ascii="Times New Roman" w:cs="Times New Roman" w:eastAsia="Times New Roman" w:hAnsi="Times New Roman"/>
          <w:sz w:val="18"/>
          <w:szCs w:val="18"/>
          <w:u w:val="single" w:color="auto"/>
          <w:color w:val="auto"/>
        </w:rPr>
        <w:t>PIPE Investment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PIPE Subscription Agreements</w:t>
      </w:r>
    </w:p>
    <w:p>
      <w:pPr>
        <w:spacing w:after="0" w:line="11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PIPE Assignment, on December 17, 2021, the Company and ListCo entered into subscription agreements (the “New PIPE Subscription Agreements”) with the New PIPE Investors, which include certain affiliates and employees of Sponsor. Pursuant to the New PIPE Subscription Agreements, the New PIPE Investors have agreed to collectively subscribe for approximately 14.3 million ListCo Class A ADSs (the “New PIPE Shares”) for an average price of approximately $9.54 per ListCo Class A ADS, reflecting an aggregate investment amount of approximately $136.0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PIPE Subscription Agreements</w:t>
      </w:r>
    </w:p>
    <w:p>
      <w:pPr>
        <w:spacing w:after="0" w:line="11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connection with the March PIPE Assignment (as defined below), on March 24, 2022, the Company and ListCo entered into subscription agreements (including, as applicable, amended and restated PIPE Subscription Agreements, the “March PIPE Subscription Agreements”) with the March PIPE Investors, which include certain affiliates and employees of Sponsor. Pursuant to the March PIPE Subscription Agreements, the March PIPE Investors have agreed to subscribe for approximately 2.8 million ListCo Class A ADSs (the “March PIPE Shares”) for an average price of approximately $9.57 per ListCo Class A ADS, reflecting an aggregate investment amount of approximately $27.2 million. The March PIPE Subscription Agreements are substantially similar to the PIPE Subscription Agreements.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Sponsor Subscription Agreement</w:t>
      </w:r>
      <w:r>
        <w:rPr>
          <w:rFonts w:ascii="Times New Roman" w:cs="Times New Roman" w:eastAsia="Times New Roman" w:hAnsi="Times New Roman"/>
          <w:sz w:val="18"/>
          <w:szCs w:val="18"/>
          <w:color w:val="auto"/>
        </w:rPr>
        <w:t>”) with Gores Guggenheim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the Sponsor Subscription Agreement, the Sponsor agreed to subscribe for an additional 9.08 million ListCo Class A ADSs for a purchase price of $9.09 per share on the date of Closing, for an aggregate investment of $82,500,000 (the “</w:t>
      </w:r>
      <w:r>
        <w:rPr>
          <w:rFonts w:ascii="Times New Roman" w:cs="Times New Roman" w:eastAsia="Times New Roman" w:hAnsi="Times New Roman"/>
          <w:sz w:val="18"/>
          <w:szCs w:val="18"/>
          <w:u w:val="single" w:color="auto"/>
          <w:color w:val="auto"/>
        </w:rPr>
        <w:t>Sponsor Investment Amount</w:t>
      </w:r>
      <w:r>
        <w:rPr>
          <w:rFonts w:ascii="Times New Roman" w:cs="Times New Roman" w:eastAsia="Times New Roman" w:hAnsi="Times New Roman"/>
          <w:sz w:val="18"/>
          <w:szCs w:val="18"/>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of Sponsor Subscription Agreement</w:t>
      </w:r>
    </w:p>
    <w:p>
      <w:pPr>
        <w:spacing w:after="0" w:line="119" w:lineRule="exact"/>
        <w:rPr>
          <w:sz w:val="20"/>
          <w:szCs w:val="20"/>
          <w:color w:val="auto"/>
        </w:rPr>
      </w:pPr>
    </w:p>
    <w:p>
      <w:pPr>
        <w:ind w:right="100" w:firstLine="991"/>
        <w:spacing w:after="0" w:line="273" w:lineRule="auto"/>
        <w:rPr>
          <w:sz w:val="20"/>
          <w:szCs w:val="20"/>
          <w:color w:val="auto"/>
        </w:rPr>
      </w:pPr>
      <w:r>
        <w:rPr>
          <w:rFonts w:ascii="Times New Roman" w:cs="Times New Roman" w:eastAsia="Times New Roman" w:hAnsi="Times New Roman"/>
          <w:sz w:val="17"/>
          <w:szCs w:val="17"/>
          <w:color w:val="auto"/>
        </w:rPr>
        <w:t>On December 17, 2021, (i) the Sponsor assigned a portion of its commitment to purchase ListCo Class A ADSs, in an aggregate investment amount equaling approximately $63.0 million (the “</w:t>
      </w:r>
      <w:r>
        <w:rPr>
          <w:rFonts w:ascii="Times New Roman" w:cs="Times New Roman" w:eastAsia="Times New Roman" w:hAnsi="Times New Roman"/>
          <w:sz w:val="17"/>
          <w:szCs w:val="17"/>
          <w:u w:val="single" w:color="auto"/>
          <w:color w:val="auto"/>
        </w:rPr>
        <w:t>Sponsor Assignment</w:t>
      </w:r>
      <w:r>
        <w:rPr>
          <w:rFonts w:ascii="Times New Roman" w:cs="Times New Roman" w:eastAsia="Times New Roman" w:hAnsi="Times New Roman"/>
          <w:sz w:val="17"/>
          <w:szCs w:val="17"/>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17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On March 24, 2022, (i) Sponsor assigned a portion of its commitment to purchase ListCo Class A ADSs, in an aggregate investment amount equaling approximately $11.4 million (the “March Sponsor Assignment”), to certain investors and (ii) the Company, ListCo and Sponsor amended the Sponsor Subscription Agreement to reflect the March Sponsor Assignment. As a result, pursuant to the Sponsor Subscription Agreement, as amended, Sponsor has agreed to subscribe for approximately 891,000 ListCo Class A ADSs for a purchase price of $9.09 per ListCo Class A ADS on the date of Closing, for an aggregate investment of approximately $8.1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Volvo Cars Subscription Agreement</w:t>
      </w:r>
    </w:p>
    <w:p>
      <w:pPr>
        <w:spacing w:after="0" w:line="11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ListCo entered into a subscription agreement (the “</w:t>
      </w:r>
      <w:r>
        <w:rPr>
          <w:rFonts w:ascii="Times New Roman" w:cs="Times New Roman" w:eastAsia="Times New Roman" w:hAnsi="Times New Roman"/>
          <w:sz w:val="18"/>
          <w:szCs w:val="18"/>
          <w:u w:val="single" w:color="auto"/>
          <w:color w:val="auto"/>
        </w:rPr>
        <w:t>Volvo Cars Subscription Agreement</w:t>
      </w:r>
      <w:r>
        <w:rPr>
          <w:rFonts w:ascii="Times New Roman" w:cs="Times New Roman" w:eastAsia="Times New Roman" w:hAnsi="Times New Roman"/>
          <w:sz w:val="18"/>
          <w:szCs w:val="18"/>
          <w:color w:val="auto"/>
        </w:rPr>
        <w:t>,” and, together with the PIPE Subscription Agreements and the Sponsor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Snita Holding B.V., a corporation organized under the laws of Netherlands (“</w:t>
      </w:r>
      <w:r>
        <w:rPr>
          <w:rFonts w:ascii="Times New Roman" w:cs="Times New Roman" w:eastAsia="Times New Roman" w:hAnsi="Times New Roman"/>
          <w:sz w:val="18"/>
          <w:szCs w:val="18"/>
          <w:u w:val="single" w:color="auto"/>
          <w:color w:val="auto"/>
        </w:rPr>
        <w:t>Snita</w:t>
      </w:r>
      <w:r>
        <w:rPr>
          <w:rFonts w:ascii="Times New Roman" w:cs="Times New Roman" w:eastAsia="Times New Roman" w:hAnsi="Times New Roman"/>
          <w:sz w:val="18"/>
          <w:szCs w:val="18"/>
          <w:color w:val="auto"/>
        </w:rPr>
        <w:t>”) and a wholly owned indirect subsidiary of Volvo Car AB (publ) (“</w:t>
      </w:r>
      <w:r>
        <w:rPr>
          <w:rFonts w:ascii="Times New Roman" w:cs="Times New Roman" w:eastAsia="Times New Roman" w:hAnsi="Times New Roman"/>
          <w:sz w:val="18"/>
          <w:szCs w:val="18"/>
          <w:u w:val="single" w:color="auto"/>
          <w:color w:val="auto"/>
        </w:rPr>
        <w:t>Volvo Cars</w:t>
      </w:r>
      <w:r>
        <w:rPr>
          <w:rFonts w:ascii="Times New Roman" w:cs="Times New Roman" w:eastAsia="Times New Roman" w:hAnsi="Times New Roman"/>
          <w:sz w:val="18"/>
          <w:szCs w:val="18"/>
          <w:color w:val="auto"/>
        </w:rPr>
        <w:t>”). Pursuant to the Volvo Cars Subscription Agreement, Snita agreed to subscribe for an 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 the Volvo Cars Subscription Agreement, syndicate its commitment to acquire the ListCo Class A ADSs to be purchased under the Volvo Cars Subscription Agreement in advance of the closing of the Business Combination.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Volvo Cars Subscription Agreement</w:t>
      </w:r>
    </w:p>
    <w:p>
      <w:pPr>
        <w:spacing w:after="0" w:line="11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agreed to subscribe for approximately 2.70 million ListCo Class A ADSs for a purchase price of $10.00 per ListCo Class A ADS on the date of Closing, for an aggregate investment of approximately $27.0 million. Pursuant to the Volvo Cars Subscription Agreement, Snita had the right to assign its commitment to purchase the ListCo Class A ADSs under the Volvo Cars Subscription Agreement in advance of the Closing.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8" w:right="479" w:bottom="1440" w:gutter="0" w:footer="0" w:header="0"/>
        </w:sectPr>
      </w:pPr>
    </w:p>
    <w:bookmarkStart w:id="422" w:name="page423"/>
    <w:bookmarkEnd w:id="422"/>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March 24, 2022 (i) Snita assigned to certain investors a portion of its commitment to purchase ListCo Class A ADSs, in an aggregate investment amount equaling approximately $15.8 million (the “March Volvo Assignment,” and together with the March Sponsor Assignment, the “March PIPE Assignment”) (the investors who collectively were assigned commitments in the March PIPE Assignment, the “March PIPE Investors”) and (ii) the Company, ListCo and Snita amended the Volvo Car Subscription Agreement to reflect the March Volvo Assignment. As a result, pursuant to the Volvo Cars Subscription Agreement, as amended, Snita has agreed to subscribe for approximately 1.1 million ListCo Class A ADSs for a purchase price of $10.00 per ListCo Class A ADS on the date of Closing for an aggregate investment of approximately $11.2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entered into a subscription agreement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Volvo Cars Preference Subscription Agreement</w:t>
      </w:r>
      <w:r>
        <w:rPr>
          <w:rFonts w:ascii="Times New Roman" w:cs="Times New Roman" w:eastAsia="Times New Roman" w:hAnsi="Times New Roman"/>
          <w:sz w:val="18"/>
          <w:szCs w:val="18"/>
          <w:color w:val="auto"/>
        </w:rPr>
        <w:t>”) with Snita (the “</w:t>
      </w:r>
      <w:r>
        <w:rPr>
          <w:rFonts w:ascii="Times New Roman" w:cs="Times New Roman" w:eastAsia="Times New Roman" w:hAnsi="Times New Roman"/>
          <w:sz w:val="18"/>
          <w:szCs w:val="18"/>
          <w:u w:val="single" w:color="auto"/>
          <w:color w:val="auto"/>
        </w:rPr>
        <w:t>Volvo Cars Preference Subscriber</w:t>
      </w:r>
      <w:r>
        <w:rPr>
          <w:rFonts w:ascii="Times New Roman" w:cs="Times New Roman" w:eastAsia="Times New Roman" w:hAnsi="Times New Roman"/>
          <w:sz w:val="18"/>
          <w:szCs w:val="18"/>
          <w:color w:val="auto"/>
        </w:rPr>
        <w:t>”). Pursuant to the Volvo Cars Preference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Agreement, the Volvo Cars Preference Subscriber agreed to subscribe for mandatory convertible preference shares of ListCo (the “</w:t>
      </w:r>
      <w:r>
        <w:rPr>
          <w:rFonts w:ascii="Times New Roman" w:cs="Times New Roman" w:eastAsia="Times New Roman" w:hAnsi="Times New Roman"/>
          <w:sz w:val="18"/>
          <w:szCs w:val="18"/>
          <w:u w:val="single" w:color="auto"/>
          <w:color w:val="auto"/>
        </w:rPr>
        <w:t>ListCo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Preference Shares</w:t>
      </w:r>
      <w:r>
        <w:rPr>
          <w:rFonts w:ascii="Times New Roman" w:cs="Times New Roman" w:eastAsia="Times New Roman" w:hAnsi="Times New Roman"/>
          <w:sz w:val="18"/>
          <w:szCs w:val="18"/>
          <w:color w:val="auto"/>
        </w:rPr>
        <w:t>”) for an aggregate subscription price of $10.00 per share, for an aggregate investment amount equal to approximately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$498,000,000 (the “</w:t>
      </w:r>
      <w:r>
        <w:rPr>
          <w:rFonts w:ascii="Times New Roman" w:cs="Times New Roman" w:eastAsia="Times New Roman" w:hAnsi="Times New Roman"/>
          <w:sz w:val="18"/>
          <w:szCs w:val="18"/>
          <w:u w:val="single" w:color="auto"/>
          <w:color w:val="auto"/>
        </w:rPr>
        <w:t>Volvo Cars PIPE Investment Amount</w:t>
      </w:r>
      <w:r>
        <w:rPr>
          <w:rFonts w:ascii="Times New Roman" w:cs="Times New Roman" w:eastAsia="Times New Roman" w:hAnsi="Times New Roman"/>
          <w:sz w:val="18"/>
          <w:szCs w:val="18"/>
          <w:color w:val="auto"/>
        </w:rPr>
        <w:t>”). On March 24, 2022, ListCo and Snita entered into an amendment to the Volvo Cars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Preference Subscription Agreement to increase the aggregate Volvo Cars Preference Investment Amount to $588,826,100. The proceeds of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subscription will be used to satisfy certain accounts payable that are or will be due and payable by certain subsidiaries of Parent to Volvo Cars. As of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hereof, it is currently anticipated that all of the ListCo Preference Shares will convert into ListCo Class A Shares at Closing, in accordance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subject to, the terms of the ListCo Preference Shares.</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Parent Lock-Up Agreement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Parent, ListCo and the other Parent shareholders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thereto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have entered into that Parent Lock-Up Agreement (the “</w:t>
      </w:r>
      <w:r>
        <w:rPr>
          <w:rFonts w:ascii="Times New Roman" w:cs="Times New Roman" w:eastAsia="Times New Roman" w:hAnsi="Times New Roman"/>
          <w:sz w:val="18"/>
          <w:szCs w:val="18"/>
          <w:u w:val="single" w:color="auto"/>
          <w:color w:val="auto"/>
        </w:rPr>
        <w:t>Parent Lock-Up Agreement</w:t>
      </w:r>
      <w:r>
        <w:rPr>
          <w:rFonts w:ascii="Times New Roman" w:cs="Times New Roman" w:eastAsia="Times New Roman" w:hAnsi="Times New Roman"/>
          <w:sz w:val="18"/>
          <w:szCs w:val="18"/>
          <w:color w:val="auto"/>
        </w:rPr>
        <w:t>”). Pursuant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Parent Lock-Up Agreement, each Parent Shareholder has, subject to certain exceptions, among other things, agreed to not transfer any equity security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ListCo issued to them pursuant to the Business Combination Agreement or other transaction documents contemplated by the Business Combination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during the period commencing the date of Closing and ending 180 days following the date of the Closing, in each case subject to the terms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conditions set forth therein.</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Sponsor and Supporting Sponsor Stockholders Lock-Up Agreement</w:t>
      </w:r>
    </w:p>
    <w:p>
      <w:pPr>
        <w:spacing w:after="0" w:line="117"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Sponsor, the Company, Parent, ListCo and certain of the Company’s directors, executive officers and affiliates (such individuals, the “</w:t>
      </w:r>
      <w:r>
        <w:rPr>
          <w:rFonts w:ascii="Times New Roman" w:cs="Times New Roman" w:eastAsia="Times New Roman" w:hAnsi="Times New Roman"/>
          <w:sz w:val="18"/>
          <w:szCs w:val="18"/>
          <w:u w:val="single" w:color="auto"/>
          <w:color w:val="auto"/>
        </w:rPr>
        <w:t>Supporting Sponsor Stockholders</w:t>
      </w:r>
      <w:r>
        <w:rPr>
          <w:rFonts w:ascii="Times New Roman" w:cs="Times New Roman" w:eastAsia="Times New Roman" w:hAnsi="Times New Roman"/>
          <w:sz w:val="18"/>
          <w:szCs w:val="18"/>
          <w:color w:val="auto"/>
        </w:rPr>
        <w:t>”) have entered into a Sponsor and Supporting Sponsor Stockholders Lock-Up Agreement (the “</w:t>
      </w:r>
      <w:r>
        <w:rPr>
          <w:rFonts w:ascii="Times New Roman" w:cs="Times New Roman" w:eastAsia="Times New Roman" w:hAnsi="Times New Roman"/>
          <w:sz w:val="18"/>
          <w:szCs w:val="18"/>
          <w:u w:val="single" w:color="auto"/>
          <w:color w:val="auto"/>
        </w:rPr>
        <w:t>Sponsor and Supporting Sponsor Stockholders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80" w:firstLine="991"/>
        <w:spacing w:after="0" w:line="272" w:lineRule="auto"/>
        <w:rPr>
          <w:sz w:val="20"/>
          <w:szCs w:val="20"/>
          <w:color w:val="auto"/>
        </w:rPr>
      </w:pPr>
      <w:r>
        <w:rPr>
          <w:rFonts w:ascii="Times New Roman" w:cs="Times New Roman" w:eastAsia="Times New Roman" w:hAnsi="Times New Roman"/>
          <w:sz w:val="17"/>
          <w:szCs w:val="17"/>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w:t>
      </w:r>
    </w:p>
    <w:p>
      <w:pPr>
        <w:spacing w:after="0" w:line="2" w:lineRule="exact"/>
        <w:rPr>
          <w:sz w:val="20"/>
          <w:szCs w:val="20"/>
          <w:color w:val="auto"/>
        </w:rPr>
      </w:pPr>
    </w:p>
    <w:p>
      <w:pPr>
        <w:ind w:left="4" w:right="180" w:hanging="4"/>
        <w:spacing w:after="0" w:line="250" w:lineRule="auto"/>
        <w:tabs>
          <w:tab w:leader="none" w:pos="31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by certain transfer restrictions with respect to their GG Shares, Public Warrants and Private Placement Warrants; and (iv) not to transfer any ListCo Class A ADSs issued pursuant to the Business Combination Agreement during the period beginning the date of Closing and</w:t>
      </w: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180 days following the date of the Closing, in each case subject to the terms and conditions set forth therein. In addition, the Sponsor has agreed to the forfeiture of up to 1,501,651 GG Class F Shares.</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the Sponsor and Supporting Stockholders Lock-Up Agreement</w:t>
      </w:r>
    </w:p>
    <w:p>
      <w:pPr>
        <w:spacing w:after="0" w:line="117"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On December 17, 2021, the parties to the Sponsor and Supporting Sponsor Stockholders Lock-Up Agreement entered into Amendment No. 1 to the Sponsor and Supporting Sponsor Stockholders Lock-Up Agreement (the “Lock-Up Agreement Amendment No. 1”). The Lock-Up Agreement Amendment No. 1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On March 24, 2022, the parties to the Sponsor and Supporting Sponsor Stockholders Lock-Up Agreement entered into Amendment No. 2 to the Sponsor and Supporting Sponsor Stockholders Lock-Up Agreement (“Lock-Up Agreement Amendment No. 2”). Lock-Up Agreement Amendment No. 2 provides for amendments to the Sponsor and Supporting Sponsor Stockholders Lock-Up Agreement to increase the amount of Company Class F Common Stock (“Company Class F Common Stock”) that will be cancelled by the Company in connection with the Closing from 1,533,873 shares of Company Class F Common Stock to 1,540,835 shares of Company Class F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ListCo, Parent, the Parent Shareholders, Sponsor and the independent directors of the Company (such persons, together with Sponsor and the Parent Holders,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have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the Registration Rights Agreement</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On December 17, 2021, the parties to the Registration Rights Agreement entered into Amendment No. 1 to the Registration Rights Agreement (the “Registration Rights Agreement Amendment No.1”), to provide for certain administrative changes to reflect the BCA Amendment and the New PIPE Subscription Agreements.</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On March 24, 2022, the parties to the Registration Rights Agreement entered into Amendment No. 2 to the Registration Rights Agreement (the “Registration Rights Agreement Amendment No.2”), to provide for certain administrative changes to reflect BCA Amendment No. 2 and the March PIPE Subscription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Assumption Agreement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event that the Requisite GG Warrantholder Approval is not obtained prior to the Effective Time, the Company, ListCo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will enter into a Warrant Assignment, Assumption and Amendment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Assumption Agreement</w:t>
      </w:r>
      <w:r>
        <w:rPr>
          <w:rFonts w:ascii="Times New Roman" w:cs="Times New Roman" w:eastAsia="Times New Roman" w:hAnsi="Times New Roman"/>
          <w:sz w:val="18"/>
          <w:szCs w:val="18"/>
          <w:color w:val="auto"/>
        </w:rPr>
        <w:t>”) prior to the Closing. The Warrant Assumption Agreement will amend the Warrant Agreement, dated March 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by and among the Company and the Warrant Agent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provide that at the Effective Time, each Public Warrant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Placement Warrant will be assumed by ListCo and be converted into the right to receive a ListCo AD Warrant, subject to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therein. In addition, under the Warrant Assumption Agreement, the Company will assign to ListCo all of its rights, interests,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in and under the Warrant Agreement as of the effective time of the Merger, subject to the terms and conditions set forth therein.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24" w:name="page425"/>
    <w:bookmarkEnd w:id="424"/>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Financing</w:t>
      </w:r>
    </w:p>
    <w:p>
      <w:pPr>
        <w:spacing w:after="0" w:line="119"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Upon close of the Public Offering and the sale of the Private Placement Warrants, an aggregate of $800,000,000 was placed in a Trust Account with Computershare (the “Trust Account”) acting as Trustee.</w:t>
      </w:r>
    </w:p>
    <w:p>
      <w:pPr>
        <w:spacing w:after="0" w:line="162"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The Company intends to finance a Business Combination with the net proceeds from its $800,000,000 Public Offering and its sale of $18,000,000 of Private Placement Warrants.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Trust Account</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Funds held in the Trust Account can be invested only in U.S. government treasury bills with a maturity of one hundred and eighty-five</w:t>
      </w:r>
    </w:p>
    <w:p>
      <w:pPr>
        <w:spacing w:after="0" w:line="27" w:lineRule="exact"/>
        <w:rPr>
          <w:sz w:val="20"/>
          <w:szCs w:val="20"/>
          <w:color w:val="auto"/>
        </w:rPr>
      </w:pPr>
    </w:p>
    <w:p>
      <w:pPr>
        <w:ind w:left="4" w:right="220" w:hanging="4"/>
        <w:spacing w:after="0" w:line="255" w:lineRule="auto"/>
        <w:tabs>
          <w:tab w:leader="none" w:pos="43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less or in money market funds meeting certain conditions under Rule 2a-7 under the Investment Company Act of 1940 (the “Investment Company Act”), as amended, that invest only in direct U.S. government obligations. As of March 31, 2022, the Trust Account consisted of money market funds.</w:t>
      </w:r>
    </w:p>
    <w:p>
      <w:pPr>
        <w:spacing w:after="0" w:line="186"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other than the withdrawal of interest to fund regulatory compliance requirements and other costs related thereto, subject to an annual limit of $900,000 (a “Regulatory Withdrawal”)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 substance or timing of the Company’s obligation to redeem 100% of such public shares of common stock if the Company does not complete the Business Combination by March 25, 2023; or</w:t>
      </w:r>
    </w:p>
    <w:p>
      <w:pPr>
        <w:spacing w:after="0" w:line="5" w:lineRule="exact"/>
        <w:rPr>
          <w:sz w:val="20"/>
          <w:szCs w:val="20"/>
          <w:color w:val="auto"/>
        </w:rPr>
      </w:pPr>
    </w:p>
    <w:p>
      <w:pPr>
        <w:ind w:left="4" w:right="220" w:hanging="4"/>
        <w:spacing w:after="0" w:line="260" w:lineRule="auto"/>
        <w:tabs>
          <w:tab w:leader="none" w:pos="31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public shares of common stock if the Company is unable to complete a Business Combination by March 25, 2023, subject to the requirements of law and stock exchange rules.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Public Offering, although substantially all of the net proceeds of the Public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any deferred underwriting commissions and taxes payable on interest earned) at the time of the Company signing a definitive agreement in connection with the Business Combination. Furthermore, there is no assurance that the Company will be able to successfully effect a Business Combination.</w:t>
      </w:r>
    </w:p>
    <w:p>
      <w:pPr>
        <w:spacing w:after="0" w:line="187"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but less taxes payable and any Regulatory Withdrawals, or</w:t>
      </w:r>
    </w:p>
    <w:p>
      <w:pPr>
        <w:spacing w:after="0" w:line="3" w:lineRule="exact"/>
        <w:rPr>
          <w:sz w:val="20"/>
          <w:szCs w:val="20"/>
          <w:color w:val="auto"/>
        </w:rPr>
      </w:pPr>
    </w:p>
    <w:p>
      <w:pPr>
        <w:ind w:left="4" w:hanging="4"/>
        <w:spacing w:after="0" w:line="251" w:lineRule="auto"/>
        <w:tabs>
          <w:tab w:leader="none" w:pos="26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consummation of the Business Combination, including interest but less taxes payable and any Regulatory Withdrawals.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Currently, the Company will not redeem its public shares of Class A Common Stock in an amount that would cause its net tangible assets to be less than $5,000,001. In such case, the Company would not proceed with the redemption of its public shares of Class A Common Stock and the related Business Combination, and instead may search for an alternate Business Combination. For business and other reasons, the Company has elected to provide its stockholders with the opportunity to have their public shares redeemed in connection with a stockholder vote to approve the Proposed Business Combination rather than a tender offer.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8" w:right="439" w:bottom="1440" w:gutter="0" w:footer="0" w:header="0"/>
        </w:sectPr>
      </w:pPr>
    </w:p>
    <w:bookmarkStart w:id="425" w:name="page426"/>
    <w:bookmarkEnd w:id="425"/>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of the foregoing redemption provisions, the public shares of common stock are recorded at redemption amount and classified as temporary equity, in accordance with Financial Accounting Standards Board (“FASB”)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(“ASC 480”).</w:t>
      </w:r>
    </w:p>
    <w:p>
      <w:pPr>
        <w:spacing w:after="0" w:line="176"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188"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4" w:right="140" w:firstLine="991"/>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36" w:lineRule="exact"/>
        <w:rPr>
          <w:sz w:val="20"/>
          <w:szCs w:val="20"/>
          <w:color w:val="auto"/>
        </w:rPr>
      </w:pPr>
    </w:p>
    <w:p>
      <w:pPr>
        <w:ind w:left="424" w:hanging="424"/>
        <w:spacing w:after="0"/>
        <w:tabs>
          <w:tab w:leader="none" w:pos="424"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(“U.S. GAAP”) and pursuant to the accounting and disclosure rules and regulations of the Securities and Exchange Commission (“SEC”), and reflect all adjustments, consisting only of normal recurring adjustments, which are, in the opinion of management, necessary for a fair presentation of the financial position as of March 31, 2022 and the results of operations and cash flows for the periods presented. Operating results for the three months ended March 31, 2022, are not necessarily indicative of results that may be expected for the full year or any other period. The accompanying unaudited, condensed financial statements should be read in conjunction with the Company’s audited financial statements included in the Company’s Annual Report on Form 10-K filed with the SEC on March 4, 2022.</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Net Income/(Loss) Per Common Share</w:t>
      </w:r>
    </w:p>
    <w:p>
      <w:pPr>
        <w:spacing w:after="0" w:line="119"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F Common Stock (the “Founder Shares”). Earnings and losses are shared pro rata between the two classes of shares. This presentation assumes a business combination as the most likely outcome. Private and Public warrants to purchase 25,000,000 shares of Common Stock at $11.50 per share were issued on March 25, 2021. At March 31, 2022 and December 31, 2021, no warrants have been exercised. The 25,000,000 potential common shares for</w:t>
      </w:r>
    </w:p>
    <w:p>
      <w:pPr>
        <w:spacing w:after="0" w:line="11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426" w:name="page427"/>
    <w:bookmarkEnd w:id="42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warrants to purchase the Company’s stock were excluded from diluted earnings per share for the three months ended March 31, 2022 and 2021 because the warrants are contingently exercisable, and the contingencies have not yet been met. As a result, diluted net income/(loss) per common share is the same as basic net income/(loss) per common share for the period. The table below presents a reconciliation of the numerator and denominator used to compute basic and diluted net income/(loss) per share for each class of common stock:</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Class 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income/(loss) per share:</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Allocation of net income/(loss) including accretion of</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temporary equity</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12,134,254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3,033,563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(18,506,117)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(38,003,633)</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80,000,000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20,000,000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5,833,333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11,979,167</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income/(loss) per share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Topic 820, “Fair Value Measurements and Disclosures,” (“ASC 820”) approximates the carrying amounts represented in the balance sheets, except for the derivative warrant liabilities (see Note 7).</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70" w:right="539" w:bottom="1440" w:gutter="0" w:footer="0" w:header="0"/>
        </w:sectPr>
      </w:pPr>
    </w:p>
    <w:bookmarkStart w:id="427" w:name="page428"/>
    <w:bookmarkEnd w:id="42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Level III—Pricing inputs are unobservable and include situations where there is little, if any, market activity for the investment. The inputs used in determination of fair value require significant judgment and estimation.</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1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evaluated the Warrants (as defined below in Note 3 – Public Offering) and Private Placement Warrants (as defined below in Note 4 – Related Party Transactions) (collectively, “Warrant Securities”), and any forward purchase agreements in accordance with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and concluded that the Warrant Securities and any forward purchase agreements could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components of equity. As the Warrant Securities and any forward purchase agreements meet the definition of a derivative in accordance with ASC 815, the Warrant Securities and any forward purchase agreements are recorded as derivative liabilities on the Balance Sheet and measured at fair value at inception (the Close Date) and remeasured at each reporting date in accordance with ASC 820, “Fair Value Measurement”, with changes in fair value recognized in the Statement of Operations in the period of change.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complies with the requirements of FASB ASC Topic 340-10-S99-1, “Other Assets and Deferred Costs – SEC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340-10-S99”) and SEC Staff Accounting Bulletin (SAB) Topic 5A – “Expenses of Offering”. Offering costs were $44,757,840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$44,000,000 in underwriters’ fees) consisting principally of professional and registration fees incurred through the balance sheet date that are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and are charged to equity upon the completion of the Public Offering. Since the Company is required to classify the warrants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liabilities, offering costs totaling $832,496 are reflected as an expense in the statements of operations.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Common Stock</w:t>
      </w:r>
    </w:p>
    <w:p>
      <w:pPr>
        <w:spacing w:after="0" w:line="11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As discussed in Note 3, all of the 80,000,000 shares of Class A Common Stock sold as part of the Units in the Public Offering contain a redemption feature which allows for the redemption of common stock under the redemption and repurchase provisions of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83"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Income Taxes</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 As of March 31, 2022 and December 31, 2021, all deferred tax assets were offset by a full valuation allowance.</w:t>
      </w:r>
    </w:p>
    <w:p>
      <w:pPr>
        <w:spacing w:after="0" w:line="18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March 31, 2022 and December 31, 2021.</w:t>
      </w:r>
    </w:p>
    <w:p>
      <w:pPr>
        <w:spacing w:after="0" w:line="176"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incorporated in the State of Delaware and is required to pay franchise taxes to the State of Delaware on an annual basis.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had no cash equivalents as of March 31, 2022 and December 31,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and Cash Held in Trust Account</w:t>
      </w:r>
    </w:p>
    <w:p>
      <w:pPr>
        <w:spacing w:after="0" w:line="11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held in the Trust Account is comprised of U.S. treasury securities, within the meaning set forth in Section 2(a)(16) of the Investment Company Act, with a maturity of 185 days or less, or investments in money market funds that invest in U.S. treasury securities, or a combination thereof. The Company’s investments held in the Trust Account are presented on the Balance Sheet at fair value at the end of each reporting period.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March 31, 2022 and December 31, 2021, the Company had $800,136,676 and $800,056,447, respectively, in the Trust Account which may be utilized for Business Combinations. At March 31, 2022 and December 31, 2021, the Trust Account consisted of money market funds, which are presented at fair value.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Recently Issued Accounting Pronouncements Not Yet Adopted</w:t>
      </w:r>
    </w:p>
    <w:p>
      <w:pPr>
        <w:spacing w:after="0" w:line="11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Consideration</w:t>
      </w:r>
    </w:p>
    <w:p>
      <w:pPr>
        <w:spacing w:after="0" w:line="11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If the Company does not complete its Business Combination by March 25, 2023, the Company will (i) cease all operations except for the purpose of winding up, (ii) as promptly as reasonably possible but not more than ten 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430" w:name="page431"/>
    <w:bookmarkEnd w:id="430"/>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0"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In addition, at March 31, 2022 and December 31, 2021, the Company had current liabilities of $89,649,812 and $104,929,383, respectively, and a working capital deficit of ($88,062,011) and ($103,149,599),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March 31, 2022 and amounts are continuing to accrue. In order to finance ongoing costs, the Sponsor or an affiliate of the Sponsor may, but are not obligated to, provide the Company with additional working capital via a Sponsor Loan (see Note 4). Additionally, the warrant liability will not impact the Company’s liquidity until a Business Combination has been consummated, as they do not require cash settlement until such event has occurred.</w:t>
      </w:r>
    </w:p>
    <w:p>
      <w:pPr>
        <w:spacing w:after="0" w:line="18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borrowing capacity from the Sponsor or an affiliate of the Sponsor, or certain of the Company’s officers and directors to meet its working capital needs through the earlier of the consummation of a Business Combination or one year from this filing. However, in connection with the company’s assessment of going concern considerations in accordance with FASB Accounting Standards Update (“ASU”) 2014-15, “Disclosures of Uncertainties about an Entity’s Ability to Continue as a Going Concern,” management has determined that the liquidity condition and mandatory liquidation and subsequent dissolution raises substantial doubt about the company’s ability to continue as a going concern. No adjustments have been made to the carrying amounts of assets or liabilities should the Company be required to liquidate after March 25, 2023. The financial statements do not include any adjustment that might be necessary if the company is unable to continue as a going concern. Management intends to complete the Business Combination prior to the liquidation date.</w:t>
      </w:r>
    </w:p>
    <w:p>
      <w:pPr>
        <w:spacing w:after="0" w:line="336" w:lineRule="exact"/>
        <w:rPr>
          <w:sz w:val="20"/>
          <w:szCs w:val="20"/>
          <w:color w:val="auto"/>
        </w:rPr>
      </w:pPr>
    </w:p>
    <w:p>
      <w:pPr>
        <w:ind w:left="424" w:hanging="424"/>
        <w:spacing w:after="0"/>
        <w:tabs>
          <w:tab w:leader="none" w:pos="424"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Public Units</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 March 25, 2021, the Company sold 75,000,000 units at a price of $10.00 per unit (the “Units), generating gross proceeds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$750,000,000. Subsequently, the underwriters partially exercised their over-allotment option to purchase 5,000,000 newly issued units, and the closing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sale of the additional Units pursuant to such exercise occurred on April 22, 2021. The issuance by the Company of 5,000,000 Over-Allotment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Option Units at a price of $10.00 per unit resulted in gross proceeds of $50,000,000. The remainder of the over-allotment option expired on May 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2021. Each Unit consists of one share of the Company’s Class A Common Stock (the “public shares”), and one-fifth of one redeemable common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warrant (the “Warrants”). Each whole Warrant entitles the holder to purchase one share of Class A Common Stock. Each Warrant will become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exercisable on the later of 30 days after the completion of the Company’s Business Combination or 12 months from the closing of the Public Offering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will expire five years after the completion of the Company’s Business Combination or earlier upon redemption or liquidation. However, if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does not complete its Business Combination on or prior to the 24-month period allotted to complete the Business Combination, the Warrants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will expire at the end of such period.</w:t>
      </w:r>
    </w:p>
    <w:p>
      <w:pPr>
        <w:spacing w:after="0" w:line="207" w:lineRule="exact"/>
        <w:rPr>
          <w:sz w:val="20"/>
          <w:szCs w:val="20"/>
          <w:color w:val="auto"/>
        </w:rPr>
      </w:pPr>
    </w:p>
    <w:p>
      <w:pPr>
        <w:ind w:left="4" w:right="240" w:firstLine="991"/>
        <w:spacing w:after="0" w:line="254"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 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 April 22, 2021. The issuance by the Company of 5,000,000 Over-Allotment Option Units at a price of $10.00 per unit resulted in gross proceeds of $50,000,000. The remainder of the over-allotment option expired on May 9, 2021.</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431" w:name="page432"/>
    <w:bookmarkEnd w:id="431"/>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paid an upfront underwriting discount of 2.00% ($15,000,000) of the per Unit offering price to the underwriters at the closing of the Public Offering, with an additional fee (the “Deferred Discount”)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 The public warrants issued as part of the Units are accounted for as liabilities as there are terms and features do not qualify for equity classification in FASB ASC Topic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The fair value of the public warrants at December 31, 2021 was a liability of $61,440,000. At March 31, 2022, the fair value has decreased to $50,720,000. The change in fair value of $10,720,000 is reflected as a gain in the statements of operations.</w:t>
      </w:r>
    </w:p>
    <w:p>
      <w:pPr>
        <w:spacing w:after="0" w:line="188"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Times New Roman" w:cs="Times New Roman" w:eastAsia="Times New Roman" w:hAnsi="Times New Roman"/>
          <w:sz w:val="18"/>
          <w:szCs w:val="18"/>
          <w:i w:val="1"/>
          <w:iCs w:val="1"/>
          <w:color w:val="auto"/>
        </w:rPr>
        <w:t>Debt – Debt with Conversion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89"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As of March 31, 2022 and December 31, 2021, the Class A Common Stock reflected on the balance sheet are reconciled in the following table. The accretion of carrying value to redemption value was fully recognized by June 30, 2021. There has been no additional accretion since: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(14,880,000)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(14,880,000)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shares issuance costs</w:t>
            </w:r>
          </w:p>
        </w:tc>
        <w:tc>
          <w:tcPr>
            <w:tcW w:w="240" w:type="dxa"/>
            <w:vAlign w:val="bottom"/>
          </w:tcPr>
          <w:p>
            <w:pPr>
              <w:spacing w:after="0"/>
              <w:rPr>
                <w:sz w:val="19"/>
                <w:szCs w:val="19"/>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(43,925,343)</w:t>
            </w: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(43,925,343)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4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58,805,343</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58,805,343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Contingently redeemable Class A Common Stock</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800,000,000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800,000,000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32" w:name="page433"/>
    <w:bookmarkEnd w:id="432"/>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7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sale of the Founders Shares is in the scope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March 31, 2022,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“Private Placement Warrants”). On April 22, 2021, substantially concurrently with the sale of the Over-allotment Option Units, the Company completed a private placement with the Sponsor for an additional 500,000 warrants at a price of $2.00 per warrant (the “Additional Private Placement Warrants”), generating gross proceeds of $1,000,000. Each Private Placement Warrant entitles the holder to purchase one share of Class A Common Stock at $11.50 per share. A portion of the purchase price of the Private Placement Warrants was added to the proceeds from the Public Offering to be held in the Trust Account pending completion of the Business Combination.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33" w:name="page434"/>
    <w:bookmarkEnd w:id="433"/>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76"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The holders of Founder Shares, Private Placement Warrants and Warrants issued upon the conversion of working capital loans, if any, hold registration rights (in the case of the Founder Shares, only after conversion of such shares to shares of Class A Common Stock) pursuant to a registration rights agreement entered into by the Company, the Sponsor and the other security holders named therein on March 25, 2021. These holders will be entitled to certain demand and “piggyback” registration rights. The Company will bear the expenses incurred in connection with the filing of any such registration statements.</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Sponsor Loan</w:t>
      </w:r>
    </w:p>
    <w:p>
      <w:pPr>
        <w:spacing w:after="0" w:line="119"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Prior to the completion of the Public Offering, the Sponsor loaned the Company an aggregate of $300,000 by the issuance of an unsecured promissory note (the “Note”)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 This facility is no longer available.</w:t>
      </w:r>
    </w:p>
    <w:p>
      <w:pPr>
        <w:spacing w:after="0" w:line="180"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March 31, 2022, the net amount advanced by Sponsor to the Company was $2,500,000.</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The Company entered into an administrative services agreement pursuant to which it agreed to pay to an affiliate of the Sponsor $20,000 per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For the three months ended March 31, 2022 and March 31, 2021, the Company incurred and paid the affiliate $60,000 and $5,486,</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respectively.</w:t>
      </w:r>
    </w:p>
    <w:p>
      <w:pPr>
        <w:spacing w:after="0" w:line="351" w:lineRule="exact"/>
        <w:rPr>
          <w:sz w:val="20"/>
          <w:szCs w:val="20"/>
          <w:color w:val="auto"/>
        </w:rPr>
      </w:pPr>
    </w:p>
    <w:p>
      <w:pPr>
        <w:ind w:left="424" w:hanging="424"/>
        <w:spacing w:after="0"/>
        <w:tabs>
          <w:tab w:leader="none" w:pos="424"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Underwriting Compensation</w:t>
      </w:r>
    </w:p>
    <w:p>
      <w:pPr>
        <w:spacing w:after="0" w:line="121" w:lineRule="exact"/>
        <w:rPr>
          <w:sz w:val="20"/>
          <w:szCs w:val="20"/>
          <w:color w:val="auto"/>
        </w:rPr>
      </w:pPr>
    </w:p>
    <w:p>
      <w:pPr>
        <w:jc w:val="both"/>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434" w:name="page435"/>
    <w:bookmarkEnd w:id="434"/>
    <w:p>
      <w:pPr>
        <w:ind w:left="424" w:hanging="424"/>
        <w:spacing w:after="0"/>
        <w:tabs>
          <w:tab w:leader="none" w:pos="424"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Income Taxes</w:t>
      </w:r>
    </w:p>
    <w:p>
      <w:pPr>
        <w:spacing w:after="0" w:line="121"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Income tax expense during interim periods is based on applying an estimated annual effective income tax rate to year-to-date income, plus any significant unusual or infrequently occurring items which are recorded in the interim period. The Company’s effective tax rates differ from the federal statutory rate primarily due to the fair value on instruments treated as debt for U.S. GAAP and equity for tax purposes, which is not deductible for income tax purposes, for 2022.</w:t>
      </w:r>
    </w:p>
    <w:p>
      <w:pPr>
        <w:spacing w:after="0" w:line="180"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The computation of the annual estimated effective tax rate at each interim period requires certain estimates and significant judgment including, but not limited to, the expected operating income for the year, projections of the proportion of income earned and taxed in various jurisdictions, permanent and temporary differences, and the likelihood of recovering deferred tax assets generated in the current year. The accounting estimates used to compute the provision for income taxes may change as new events occur, more experience is obtained, additional information becomes known or as the tax environment changes.</w:t>
      </w:r>
    </w:p>
    <w:p>
      <w:pPr>
        <w:spacing w:after="0" w:line="183"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The Company has evaluated tax positions taken or expected to be taken in the course of preparing the financial statements to determine if the tax positions are “more likely than not” of being sustained by the applicable tax authority. Tax positions not deemed to meet the “more likely than not” threshold would be recorded as a tax benefit or expense in the current year. The Company has concluded that there was no impact related to uncertain tax positions on the results of its operations for the period ended March 31, 2022. As of March 31, 2022, the Company has no accrued interest or penalties related to uncertain tax positions. The Company is currently not aware of any issues under review that could result in significant payments, accruals or material deviation from its position. The Company’s conclusions regarding tax positions will be subject to review and may be adjusted at a later date based on factors including, but not limited to, ongoing analyses of tax laws, regulations, and interpretations thereof.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435" w:name="page436"/>
    <w:bookmarkEnd w:id="435"/>
    <w:p>
      <w:pPr>
        <w:ind w:left="424" w:hanging="424"/>
        <w:spacing w:after="0"/>
        <w:tabs>
          <w:tab w:leader="none" w:pos="424"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Value Measurement</w:t>
      </w:r>
    </w:p>
    <w:p>
      <w:pPr>
        <w:spacing w:after="0" w:line="121"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The Company complies with ASC 820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and March 31, 2021 was derived from observable public warrant pricing on comparable ‘blank-check’ companies that recently went public. At March 31, 2022, there were observable transactions in the Company’s public warrants. The risk-free interest rate is based on the interpolated U.S. Constant Maturity Treasury yield. The expected term of the warrants is assumed to be six months until the close of a Business Combination, and the contractual five year term subsequently. The dividend rate is based on the historical rate, which the Company anticipates to remain at zero. At March 31, 2022, the Public Warrants had adequate trading volume to provide a reliable indication of value. The Public Warrants were valued at $3.17 at March 31, 2022.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Warrants are measured at fair value on a recurring basis. The subsequent measurement of the Public and Private Warrants as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March 31, 2022, is classified as Level 1 and Level 2, respectively, due to the use of both observable inputs in an active market as well as quoted prices in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active markets for similar assets and liabilities.</w:t>
      </w:r>
    </w:p>
    <w:p>
      <w:pPr>
        <w:spacing w:after="0" w:line="207"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As of March 31, 2022, the aggregate values of the Private Placement Warrants and Public Warrants were approximately $28.5 million and approximately $50.7 million, respectively, based on the closing price of GGPIW on that date of $3.17.</w:t>
      </w:r>
    </w:p>
    <w:p>
      <w:pPr>
        <w:spacing w:after="0" w:line="162"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As of December 31, 2021, the aggregate values of the Private Placement Warrants and Public Warrants were approximately $34.6 million and approximately $61.4 million, respectively, based on the closing price of GGPIW on that date of $3.84.</w:t>
      </w:r>
    </w:p>
    <w:p>
      <w:pPr>
        <w:spacing w:after="0" w:line="162"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March 31, 2022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92"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6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2160" w:type="dxa"/>
            <w:vAlign w:val="bottom"/>
            <w:gridSpan w:val="2"/>
          </w:tcPr>
          <w:p>
            <w:pPr>
              <w:jc w:val="right"/>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Investments Held in Trust Account</w:t>
            </w:r>
          </w:p>
        </w:tc>
        <w:tc>
          <w:tcPr>
            <w:tcW w:w="1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$800,136,676</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800,136,676</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242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(50,720,000)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(50,720,000)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4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 (28,530,000)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(28,530,000)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6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sectPr>
      </w:pPr>
    </w:p>
    <w:bookmarkStart w:id="436" w:name="page437"/>
    <w:bookmarkEnd w:id="4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6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2160" w:type="dxa"/>
            <w:vAlign w:val="bottom"/>
            <w:gridSpan w:val="2"/>
          </w:tcPr>
          <w:p>
            <w:pPr>
              <w:jc w:val="right"/>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Investments Held in Trust Account</w:t>
            </w:r>
          </w:p>
        </w:tc>
        <w:tc>
          <w:tcPr>
            <w:tcW w:w="1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$800,056,447</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800,056,447</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242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(61,440,000)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(61,440,000)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4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 (34,560,000)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(34,560,000)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There were no transfers to/from Level 1, 2, and 3 in the periods ended March 31, 2022 and 2021.</w:t>
      </w:r>
    </w:p>
    <w:p>
      <w:pPr>
        <w:spacing w:after="0" w:line="306" w:lineRule="exact"/>
        <w:rPr>
          <w:sz w:val="20"/>
          <w:szCs w:val="20"/>
          <w:color w:val="auto"/>
        </w:rPr>
      </w:pPr>
    </w:p>
    <w:p>
      <w:pPr>
        <w:ind w:left="424" w:hanging="424"/>
        <w:spacing w:after="0"/>
        <w:tabs>
          <w:tab w:leader="none" w:pos="424"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400,000,000 shares of Class A Common Stock, par value $0.0001 per share, and 40,000,000 shares of Class F Common Stock, par value $0.0001 per share. Holders of the Company’s common stock are entitled to one vote for each share of common stock. At March 31, 2022, and December 31, 2021 there were 80,000,000 shares of Class A Common Stock (all classified as temporary equity) and 20,000,000 shares of Class F Common Stock issued and outstanding.</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par value $0.0001 per share, with such designations, voting and other rights and preferences as may be determined from time to time by the Board of Directors. At March 31, 2022 and December 31, 2021, there were no shares of preferred stock issued or outstanding.</w:t>
      </w:r>
    </w:p>
    <w:p>
      <w:pPr>
        <w:spacing w:after="0" w:line="320" w:lineRule="exact"/>
        <w:rPr>
          <w:sz w:val="20"/>
          <w:szCs w:val="20"/>
          <w:color w:val="auto"/>
        </w:rPr>
      </w:pPr>
    </w:p>
    <w:p>
      <w:pPr>
        <w:ind w:left="424" w:hanging="424"/>
        <w:spacing w:after="0"/>
        <w:tabs>
          <w:tab w:leader="none" w:pos="42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and Uncertainties</w:t>
      </w:r>
    </w:p>
    <w:p>
      <w:pPr>
        <w:spacing w:after="0" w:line="121"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Additionally, 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rising conflict between Russia and Ukraine, and resulting market volatility could adversely affect the Company’s ability to complete a business combination.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the Company’s ability to complete a business combination and the value of the Company’s securities. The financial statements do not include any adjustments that might result from the outcome of this uncertainty.</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51" w:right="479" w:bottom="1440" w:gutter="0" w:footer="0" w:header="0"/>
        </w:sectPr>
      </w:pPr>
    </w:p>
    <w:bookmarkStart w:id="437" w:name="page438"/>
    <w:bookmarkEnd w:id="437"/>
    <w:p>
      <w:pPr>
        <w:ind w:left="424" w:hanging="424"/>
        <w:spacing w:after="0"/>
        <w:tabs>
          <w:tab w:leader="none" w:pos="424"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Events</w:t>
      </w:r>
    </w:p>
    <w:p>
      <w:pPr>
        <w:spacing w:after="0" w:line="121"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interim, condensed financial statements were issued. Based upon this review, the Company did not identify any subsequent events that would have required adjustment or disclosure in the unaudited, interim, condensed financial statements.</w:t>
      </w:r>
    </w:p>
    <w:p>
      <w:pPr>
        <w:spacing w:after="0" w:line="108"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684"/>
          </w:cols>
          <w:pgMar w:left="436" w:top="266" w:right="77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February 19, 2021, with respect to the financial statements of Gores Guggenheim, Inc., included herein and to the reference to our firm under the heading “Statement by Experts” in Polestar Automotive Holding UK PLC’s report on Form 20-F.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020"/>
          </w:cols>
          <w:pgMar w:left="440" w:top="117" w:right="43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Shell Company Report on Form F-20 of our report dated February 24, 2022, relating to the financial statements of Gores Guggenheim, Inc., which is incorporated by reference in the Shell Company Report on Form F-20.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020"/>
          </w:cols>
          <w:pgMar w:left="440" w:top="117" w:right="439" w:bottom="1440" w:gutter="0" w:footer="0" w:header="0"/>
        </w:sectPr>
      </w:pPr>
    </w:p>
    <w:bookmarkStart w:id="440" w:name="page441"/>
    <w:bookmarkEnd w:id="440"/>
    <w:p>
      <w:pPr>
        <w:jc w:val="right"/>
        <w:spacing w:after="0"/>
        <w:rPr>
          <w:sz w:val="20"/>
          <w:szCs w:val="20"/>
          <w:color w:val="auto"/>
        </w:rPr>
      </w:pPr>
      <w:r>
        <w:rPr>
          <w:rFonts w:ascii="Times New Roman" w:cs="Times New Roman" w:eastAsia="Times New Roman" w:hAnsi="Times New Roman"/>
          <w:sz w:val="18"/>
          <w:szCs w:val="18"/>
          <w:b w:val="1"/>
          <w:bCs w:val="1"/>
          <w:color w:val="auto"/>
        </w:rPr>
        <w:t>Exhibit 15.5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Report on Form 20-F of our report dated April 21, 2022, relating to the financial statements of Polestar Automotive Holding Limited. We also consent to the reference to us under the heading “Experts” in such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020"/>
          </w:cols>
          <w:pgMar w:left="440" w:top="117" w:right="439" w:bottom="1440" w:gutter="0" w:footer="0" w:header="0"/>
        </w:sectPr>
      </w:pPr>
    </w:p>
    <w:bookmarkStart w:id="441" w:name="page442"/>
    <w:bookmarkEnd w:id="441"/>
    <w:p>
      <w:pPr>
        <w:jc w:val="right"/>
        <w:spacing w:after="0"/>
        <w:rPr>
          <w:sz w:val="20"/>
          <w:szCs w:val="20"/>
          <w:color w:val="auto"/>
        </w:rPr>
      </w:pPr>
      <w:r>
        <w:rPr>
          <w:rFonts w:ascii="Times New Roman" w:cs="Times New Roman" w:eastAsia="Times New Roman" w:hAnsi="Times New Roman"/>
          <w:sz w:val="18"/>
          <w:szCs w:val="18"/>
          <w:b w:val="1"/>
          <w:bCs w:val="1"/>
          <w:color w:val="auto"/>
        </w:rPr>
        <w:t>Exhibit 15.6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Report on Form 20-F of our report dated April 21, 2022, relating to the financial statements of Polestar Automotive Holding UK PLC (formerly known as Polestar Automotive Holding UK Limited). We also consent to the reference to us under the heading “Experts” in such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
      <w:numFmt w:val="bullet"/>
      <w:start w:val="1"/>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
      <w:numFmt w:val="bullet"/>
      <w:start w:val="1"/>
    </w:lvl>
  </w:abstractNum>
  <w:abstractNum w:abstractNumId="5">
    <w:nsid w:val="49D0FEAC"/>
    <w:multiLevelType w:val="hybridMultilevel"/>
    <w:lvl w:ilvl="0">
      <w:lvlJc w:val="left"/>
      <w:lvlText w:val="*"/>
      <w:numFmt w:val="bullet"/>
      <w:start w:val="1"/>
    </w:lvl>
  </w:abstractNum>
  <w:abstractNum w:abstractNumId="6">
    <w:nsid w:val="4BEE5A5B"/>
    <w:multiLevelType w:val="hybridMultilevel"/>
    <w:lvl w:ilvl="0">
      <w:lvlJc w:val="left"/>
      <w:lvlText w:val="•"/>
      <w:numFmt w:val="bullet"/>
      <w:start w:val="1"/>
    </w:lvl>
  </w:abstractNum>
  <w:abstractNum w:abstractNumId="7">
    <w:nsid w:val="5551B9F3"/>
    <w:multiLevelType w:val="hybridMultilevel"/>
    <w:lvl w:ilvl="0">
      <w:lvlJc w:val="left"/>
      <w:lvlText w:val="•"/>
      <w:numFmt w:val="bullet"/>
      <w:start w:val="1"/>
    </w:lvl>
  </w:abstractNum>
  <w:abstractNum w:abstractNumId="8">
    <w:nsid w:val="24F6AB8E"/>
    <w:multiLevelType w:val="hybridMultilevel"/>
    <w:lvl w:ilvl="0">
      <w:lvlJc w:val="left"/>
      <w:lvlText w:val="(%1)"/>
      <w:numFmt w:val="lowerRoman"/>
      <w:start w:val="10"/>
    </w:lvl>
  </w:abstractNum>
  <w:abstractNum w:abstractNumId="9">
    <w:nsid w:val="634C574C"/>
    <w:multiLevelType w:val="hybridMultilevel"/>
    <w:lvl w:ilvl="0">
      <w:lvlJc w:val="left"/>
      <w:lvlText w:val="(%1)"/>
      <w:numFmt w:val="lowerLetter"/>
      <w:start w:val="6"/>
    </w:lvl>
  </w:abstractNum>
  <w:abstractNum w:abstractNumId="10">
    <w:nsid w:val="24E99DD7"/>
    <w:multiLevelType w:val="hybridMultilevel"/>
    <w:lvl w:ilvl="0">
      <w:lvlJc w:val="left"/>
      <w:lvlText w:val="%1."/>
      <w:numFmt w:val="upperLetter"/>
      <w:start w:val="1"/>
    </w:lvl>
  </w:abstractNum>
  <w:abstractNum w:abstractNumId="11">
    <w:nsid w:val="2A31B62D"/>
    <w:multiLevelType w:val="hybridMultilevel"/>
    <w:lvl w:ilvl="0">
      <w:lvlJc w:val="left"/>
      <w:lvlText w:val="%1."/>
      <w:numFmt w:val="upperLetter"/>
      <w:start w:val="2"/>
    </w:lvl>
  </w:abstractNum>
  <w:abstractNum w:abstractNumId="12">
    <w:nsid w:val="1849C29B"/>
    <w:multiLevelType w:val="hybridMultilevel"/>
    <w:lvl w:ilvl="0">
      <w:lvlJc w:val="left"/>
      <w:lvlText w:val="%1."/>
      <w:numFmt w:val="upperLetter"/>
      <w:start w:val="3"/>
    </w:lvl>
  </w:abstractNum>
  <w:abstractNum w:abstractNumId="13">
    <w:nsid w:val="7DFF9D09"/>
    <w:multiLevelType w:val="hybridMultilevel"/>
    <w:lvl w:ilvl="0">
      <w:lvlJc w:val="left"/>
      <w:lvlText w:val="%1."/>
      <w:numFmt w:val="upperLetter"/>
      <w:start w:val="1"/>
    </w:lvl>
  </w:abstractNum>
  <w:abstractNum w:abstractNumId="14">
    <w:nsid w:val="754342"/>
    <w:multiLevelType w:val="hybridMultilevel"/>
    <w:lvl w:ilvl="0">
      <w:lvlJc w:val="left"/>
      <w:lvlText w:val="%1."/>
      <w:numFmt w:val="upperLetter"/>
      <w:start w:val="4"/>
    </w:lvl>
  </w:abstractNum>
  <w:abstractNum w:abstractNumId="15">
    <w:nsid w:val="69E7F3E5"/>
    <w:multiLevelType w:val="hybridMultilevel"/>
    <w:lvl w:ilvl="0">
      <w:lvlJc w:val="left"/>
      <w:lvlText w:val="•"/>
      <w:numFmt w:val="bullet"/>
      <w:start w:val="1"/>
    </w:lvl>
  </w:abstractNum>
  <w:abstractNum w:abstractNumId="16">
    <w:nsid w:val="2A6DE806"/>
    <w:multiLevelType w:val="hybridMultilevel"/>
    <w:lvl w:ilvl="0">
      <w:lvlJc w:val="left"/>
      <w:lvlText w:val="•"/>
      <w:numFmt w:val="bullet"/>
      <w:start w:val="1"/>
    </w:lvl>
  </w:abstractNum>
  <w:abstractNum w:abstractNumId="17">
    <w:nsid w:val="1816F8C4"/>
    <w:multiLevelType w:val="hybridMultilevel"/>
    <w:lvl w:ilvl="0">
      <w:lvlJc w:val="left"/>
      <w:lvlText w:val="•"/>
      <w:numFmt w:val="bullet"/>
      <w:start w:val="1"/>
    </w:lvl>
  </w:abstractNum>
  <w:abstractNum w:abstractNumId="18">
    <w:nsid w:val="37DF2233"/>
    <w:multiLevelType w:val="hybridMultilevel"/>
    <w:lvl w:ilvl="0">
      <w:lvlJc w:val="left"/>
      <w:lvlText w:val="•"/>
      <w:numFmt w:val="bullet"/>
      <w:start w:val="1"/>
    </w:lvl>
  </w:abstractNum>
  <w:abstractNum w:abstractNumId="19">
    <w:nsid w:val="7AB49DAF"/>
    <w:multiLevelType w:val="hybridMultilevel"/>
    <w:lvl w:ilvl="0">
      <w:lvlJc w:val="left"/>
      <w:lvlText w:val="•"/>
      <w:numFmt w:val="bullet"/>
      <w:start w:val="1"/>
    </w:lvl>
  </w:abstractNum>
  <w:abstractNum w:abstractNumId="20">
    <w:nsid w:val="759F82CD"/>
    <w:multiLevelType w:val="hybridMultilevel"/>
    <w:lvl w:ilvl="0">
      <w:lvlJc w:val="left"/>
      <w:lvlText w:val="•"/>
      <w:numFmt w:val="bullet"/>
      <w:start w:val="1"/>
    </w:lvl>
  </w:abstractNum>
  <w:abstractNum w:abstractNumId="21">
    <w:nsid w:val="61E74EA3"/>
    <w:multiLevelType w:val="hybridMultilevel"/>
    <w:lvl w:ilvl="0">
      <w:lvlJc w:val="left"/>
      <w:lvlText w:val="•"/>
      <w:numFmt w:val="bullet"/>
      <w:start w:val="1"/>
    </w:lvl>
  </w:abstractNum>
  <w:abstractNum w:abstractNumId="22">
    <w:nsid w:val="597B4D84"/>
    <w:multiLevelType w:val="hybridMultilevel"/>
    <w:lvl w:ilvl="0">
      <w:lvlJc w:val="left"/>
      <w:lvlText w:val="•"/>
      <w:numFmt w:val="bullet"/>
      <w:start w:val="1"/>
    </w:lvl>
  </w:abstractNum>
  <w:abstractNum w:abstractNumId="23">
    <w:nsid w:val="F819E7F"/>
    <w:multiLevelType w:val="hybridMultilevel"/>
    <w:lvl w:ilvl="0">
      <w:lvlJc w:val="left"/>
      <w:lvlText w:val="•"/>
      <w:numFmt w:val="bullet"/>
      <w:start w:val="1"/>
    </w:lvl>
  </w:abstractNum>
  <w:abstractNum w:abstractNumId="24">
    <w:nsid w:val="57C7D42D"/>
    <w:multiLevelType w:val="hybridMultilevel"/>
    <w:lvl w:ilvl="0">
      <w:lvlJc w:val="left"/>
      <w:lvlText w:val="•"/>
      <w:numFmt w:val="bullet"/>
      <w:start w:val="1"/>
    </w:lvl>
  </w:abstractNum>
  <w:abstractNum w:abstractNumId="25">
    <w:nsid w:val="312167AD"/>
    <w:multiLevelType w:val="hybridMultilevel"/>
    <w:lvl w:ilvl="0">
      <w:lvlJc w:val="left"/>
      <w:lvlText w:val="•"/>
      <w:numFmt w:val="bullet"/>
      <w:start w:val="1"/>
    </w:lvl>
  </w:abstractNum>
  <w:abstractNum w:abstractNumId="26">
    <w:nsid w:val="631B64D4"/>
    <w:multiLevelType w:val="hybridMultilevel"/>
    <w:lvl w:ilvl="0">
      <w:lvlJc w:val="left"/>
      <w:lvlText w:val="•"/>
      <w:numFmt w:val="bullet"/>
      <w:start w:val="1"/>
    </w:lvl>
  </w:abstractNum>
  <w:abstractNum w:abstractNumId="27">
    <w:nsid w:val="78B5E776"/>
    <w:multiLevelType w:val="hybridMultilevel"/>
    <w:lvl w:ilvl="0">
      <w:lvlJc w:val="left"/>
      <w:lvlText w:val="•"/>
      <w:numFmt w:val="bullet"/>
      <w:start w:val="1"/>
    </w:lvl>
  </w:abstractNum>
  <w:abstractNum w:abstractNumId="28">
    <w:nsid w:val="75486E47"/>
    <w:multiLevelType w:val="hybridMultilevel"/>
    <w:lvl w:ilvl="0">
      <w:lvlJc w:val="left"/>
      <w:lvlText w:val="•"/>
      <w:numFmt w:val="bullet"/>
      <w:start w:val="1"/>
    </w:lvl>
  </w:abstractNum>
  <w:abstractNum w:abstractNumId="29">
    <w:nsid w:val="6E534CDE"/>
    <w:multiLevelType w:val="hybridMultilevel"/>
    <w:lvl w:ilvl="0">
      <w:lvlJc w:val="left"/>
      <w:lvlText w:val="•"/>
      <w:numFmt w:val="bullet"/>
      <w:start w:val="1"/>
    </w:lvl>
  </w:abstractNum>
  <w:abstractNum w:abstractNumId="30">
    <w:nsid w:val="1A0DDE32"/>
    <w:multiLevelType w:val="hybridMultilevel"/>
    <w:lvl w:ilvl="0">
      <w:lvlJc w:val="left"/>
      <w:lvlText w:val="•"/>
      <w:numFmt w:val="bullet"/>
      <w:start w:val="1"/>
    </w:lvl>
  </w:abstractNum>
  <w:abstractNum w:abstractNumId="31">
    <w:nsid w:val="65968C1C"/>
    <w:multiLevelType w:val="hybridMultilevel"/>
    <w:lvl w:ilvl="0">
      <w:lvlJc w:val="left"/>
      <w:lvlText w:val="•"/>
      <w:numFmt w:val="bullet"/>
      <w:start w:val="1"/>
    </w:lvl>
  </w:abstractNum>
  <w:abstractNum w:abstractNumId="32">
    <w:nsid w:val="46263DEC"/>
    <w:multiLevelType w:val="hybridMultilevel"/>
    <w:lvl w:ilvl="0">
      <w:lvlJc w:val="left"/>
      <w:lvlText w:val="•"/>
      <w:numFmt w:val="bullet"/>
      <w:start w:val="1"/>
    </w:lvl>
  </w:abstractNum>
  <w:abstractNum w:abstractNumId="33">
    <w:nsid w:val="260D8C4A"/>
    <w:multiLevelType w:val="hybridMultilevel"/>
    <w:lvl w:ilvl="0">
      <w:lvlJc w:val="left"/>
      <w:lvlText w:val="•"/>
      <w:numFmt w:val="bullet"/>
      <w:start w:val="1"/>
    </w:lvl>
  </w:abstractNum>
  <w:abstractNum w:abstractNumId="34">
    <w:nsid w:val="73D4D3C4"/>
    <w:multiLevelType w:val="hybridMultilevel"/>
    <w:lvl w:ilvl="0">
      <w:lvlJc w:val="left"/>
      <w:lvlText w:val="•"/>
      <w:numFmt w:val="bullet"/>
      <w:start w:val="1"/>
    </w:lvl>
  </w:abstractNum>
  <w:abstractNum w:abstractNumId="35">
    <w:nsid w:val="746F2E30"/>
    <w:multiLevelType w:val="hybridMultilevel"/>
    <w:lvl w:ilvl="0">
      <w:lvlJc w:val="left"/>
      <w:lvlText w:val="(%1)"/>
      <w:numFmt w:val="lowerRoman"/>
      <w:start w:val="1"/>
    </w:lvl>
  </w:abstractNum>
  <w:abstractNum w:abstractNumId="36">
    <w:nsid w:val="6FDE8AF6"/>
    <w:multiLevelType w:val="hybridMultilevel"/>
    <w:lvl w:ilvl="0">
      <w:lvlJc w:val="left"/>
      <w:lvlText w:val="•"/>
      <w:numFmt w:val="bullet"/>
      <w:start w:val="1"/>
    </w:lvl>
  </w:abstractNum>
  <w:abstractNum w:abstractNumId="37">
    <w:nsid w:val="3FC32E20"/>
    <w:multiLevelType w:val="hybridMultilevel"/>
    <w:lvl w:ilvl="0">
      <w:lvlJc w:val="left"/>
      <w:lvlText w:val="(%1)"/>
      <w:numFmt w:val="lowerRoman"/>
      <w:start w:val="3"/>
    </w:lvl>
  </w:abstractNum>
  <w:abstractNum w:abstractNumId="38">
    <w:nsid w:val="49C0E823"/>
    <w:multiLevelType w:val="hybridMultilevel"/>
    <w:lvl w:ilvl="0">
      <w:lvlJc w:val="left"/>
      <w:lvlText w:val="•"/>
      <w:numFmt w:val="bullet"/>
      <w:start w:val="1"/>
    </w:lvl>
  </w:abstractNum>
  <w:abstractNum w:abstractNumId="39">
    <w:nsid w:val="14D53685"/>
    <w:multiLevelType w:val="hybridMultilevel"/>
    <w:lvl w:ilvl="0">
      <w:lvlJc w:val="left"/>
      <w:lvlText w:val="•"/>
      <w:numFmt w:val="bullet"/>
      <w:start w:val="1"/>
    </w:lvl>
  </w:abstractNum>
  <w:abstractNum w:abstractNumId="40">
    <w:nsid w:val="230F856C"/>
    <w:multiLevelType w:val="hybridMultilevel"/>
    <w:lvl w:ilvl="0">
      <w:lvlJc w:val="left"/>
      <w:lvlText w:val="(%1)"/>
      <w:numFmt w:val="lowerRoman"/>
      <w:start w:val="1"/>
    </w:lvl>
  </w:abstractNum>
  <w:abstractNum w:abstractNumId="41">
    <w:nsid w:val="6EAA85FB"/>
    <w:multiLevelType w:val="hybridMultilevel"/>
    <w:lvl w:ilvl="0">
      <w:lvlJc w:val="left"/>
      <w:lvlText w:val="•"/>
      <w:numFmt w:val="bullet"/>
      <w:start w:val="1"/>
    </w:lvl>
  </w:abstractNum>
  <w:abstractNum w:abstractNumId="42">
    <w:nsid w:val="3F06ECB2"/>
    <w:multiLevelType w:val="hybridMultilevel"/>
    <w:lvl w:ilvl="0">
      <w:lvlJc w:val="left"/>
      <w:lvlText w:val="(%1)"/>
      <w:numFmt w:val="lowerRoman"/>
      <w:start w:val="1"/>
    </w:lvl>
  </w:abstractNum>
  <w:abstractNum w:abstractNumId="43">
    <w:nsid w:val="3B594807"/>
    <w:multiLevelType w:val="hybridMultilevel"/>
    <w:lvl w:ilvl="0">
      <w:lvlJc w:val="left"/>
      <w:lvlText w:val="(%1)"/>
      <w:numFmt w:val="lowerRoman"/>
      <w:start w:val="2"/>
    </w:lvl>
  </w:abstractNum>
  <w:abstractNum w:abstractNumId="44">
    <w:nsid w:val="6CAA2304"/>
    <w:multiLevelType w:val="hybridMultilevel"/>
    <w:lvl w:ilvl="0">
      <w:lvlJc w:val="left"/>
      <w:lvlText w:val="•"/>
      <w:numFmt w:val="bullet"/>
      <w:start w:val="1"/>
    </w:lvl>
  </w:abstractNum>
  <w:abstractNum w:abstractNumId="45">
    <w:nsid w:val="3F7C2FF4"/>
    <w:multiLevelType w:val="hybridMultilevel"/>
    <w:lvl w:ilvl="0">
      <w:lvlJc w:val="left"/>
      <w:lvlText w:val="•"/>
      <w:numFmt w:val="bullet"/>
      <w:start w:val="1"/>
    </w:lvl>
  </w:abstractNum>
  <w:abstractNum w:abstractNumId="46">
    <w:nsid w:val="25413BEC"/>
    <w:multiLevelType w:val="hybridMultilevel"/>
    <w:lvl w:ilvl="0">
      <w:lvlJc w:val="left"/>
      <w:lvlText w:val="(%1)"/>
      <w:numFmt w:val="lowerRoman"/>
      <w:start w:val="2"/>
    </w:lvl>
  </w:abstractNum>
  <w:abstractNum w:abstractNumId="47">
    <w:nsid w:val="17180B0B"/>
    <w:multiLevelType w:val="hybridMultilevel"/>
    <w:lvl w:ilvl="0">
      <w:lvlJc w:val="left"/>
      <w:lvlText w:val="%1."/>
      <w:numFmt w:val="upperLetter"/>
      <w:start w:val="1"/>
    </w:lvl>
  </w:abstractNum>
  <w:abstractNum w:abstractNumId="48">
    <w:nsid w:val="579328B9"/>
    <w:multiLevelType w:val="hybridMultilevel"/>
    <w:lvl w:ilvl="0">
      <w:lvlJc w:val="left"/>
      <w:lvlText w:val="%1."/>
      <w:numFmt w:val="upperLetter"/>
      <w:start w:val="2"/>
    </w:lvl>
  </w:abstractNum>
  <w:abstractNum w:abstractNumId="49">
    <w:nsid w:val="5D205E20"/>
    <w:multiLevelType w:val="hybridMultilevel"/>
    <w:lvl w:ilvl="0">
      <w:lvlJc w:val="left"/>
      <w:lvlText w:val="•"/>
      <w:numFmt w:val="bullet"/>
      <w:start w:val="1"/>
    </w:lvl>
  </w:abstractNum>
  <w:abstractNum w:abstractNumId="50">
    <w:nsid w:val="11CCA8BA"/>
    <w:multiLevelType w:val="hybridMultilevel"/>
    <w:lvl w:ilvl="0">
      <w:lvlJc w:val="left"/>
      <w:lvlText w:val="•"/>
      <w:numFmt w:val="bullet"/>
      <w:start w:val="1"/>
    </w:lvl>
  </w:abstractNum>
  <w:abstractNum w:abstractNumId="51">
    <w:nsid w:val="4D32AB86"/>
    <w:multiLevelType w:val="hybridMultilevel"/>
    <w:lvl w:ilvl="0">
      <w:lvlJc w:val="left"/>
      <w:lvlText w:val="•"/>
      <w:numFmt w:val="bullet"/>
      <w:start w:val="1"/>
    </w:lvl>
  </w:abstractNum>
  <w:abstractNum w:abstractNumId="52">
    <w:nsid w:val="3F07ACC3"/>
    <w:multiLevelType w:val="hybridMultilevel"/>
    <w:lvl w:ilvl="0">
      <w:lvlJc w:val="left"/>
      <w:lvlText w:val="•"/>
      <w:numFmt w:val="bullet"/>
      <w:start w:val="1"/>
    </w:lvl>
  </w:abstractNum>
  <w:abstractNum w:abstractNumId="53">
    <w:nsid w:val="6B47F63E"/>
    <w:multiLevelType w:val="hybridMultilevel"/>
    <w:lvl w:ilvl="0">
      <w:lvlJc w:val="left"/>
      <w:lvlText w:val="•"/>
      <w:numFmt w:val="bullet"/>
      <w:start w:val="1"/>
    </w:lvl>
  </w:abstractNum>
  <w:abstractNum w:abstractNumId="54">
    <w:nsid w:val="5CB44A05"/>
    <w:multiLevelType w:val="hybridMultilevel"/>
    <w:lvl w:ilvl="0">
      <w:lvlJc w:val="left"/>
      <w:lvlText w:val="•"/>
      <w:numFmt w:val="bullet"/>
      <w:start w:val="1"/>
    </w:lvl>
  </w:abstractNum>
  <w:abstractNum w:abstractNumId="55">
    <w:nsid w:val="16CF80F1"/>
    <w:multiLevelType w:val="hybridMultilevel"/>
    <w:lvl w:ilvl="0">
      <w:lvlJc w:val="left"/>
      <w:lvlText w:val="•"/>
      <w:numFmt w:val="bullet"/>
      <w:start w:val="1"/>
    </w:lvl>
  </w:abstractNum>
  <w:abstractNum w:abstractNumId="56">
    <w:nsid w:val="1C695DEC"/>
    <w:multiLevelType w:val="hybridMultilevel"/>
    <w:lvl w:ilvl="0">
      <w:lvlJc w:val="left"/>
      <w:lvlText w:val="•"/>
      <w:numFmt w:val="bullet"/>
      <w:start w:val="1"/>
    </w:lvl>
  </w:abstractNum>
  <w:abstractNum w:abstractNumId="57">
    <w:nsid w:val="3FCFAED9"/>
    <w:multiLevelType w:val="hybridMultilevel"/>
    <w:lvl w:ilvl="0">
      <w:lvlJc w:val="left"/>
      <w:lvlText w:val="•"/>
      <w:numFmt w:val="bullet"/>
      <w:start w:val="1"/>
    </w:lvl>
  </w:abstractNum>
  <w:abstractNum w:abstractNumId="58">
    <w:nsid w:val="F856867"/>
    <w:multiLevelType w:val="hybridMultilevel"/>
    <w:lvl w:ilvl="0">
      <w:lvlJc w:val="left"/>
      <w:lvlText w:val="•"/>
      <w:numFmt w:val="bullet"/>
      <w:start w:val="1"/>
    </w:lvl>
  </w:abstractNum>
  <w:abstractNum w:abstractNumId="59">
    <w:nsid w:val="11B1CC33"/>
    <w:multiLevelType w:val="hybridMultilevel"/>
    <w:lvl w:ilvl="0">
      <w:lvlJc w:val="left"/>
      <w:lvlText w:val="%1."/>
      <w:numFmt w:val="upperLetter"/>
      <w:start w:val="3"/>
    </w:lvl>
  </w:abstractNum>
  <w:abstractNum w:abstractNumId="60">
    <w:nsid w:val="2E22FBB7"/>
    <w:multiLevelType w:val="hybridMultilevel"/>
    <w:lvl w:ilvl="0">
      <w:lvlJc w:val="left"/>
      <w:lvlText w:val="(%1)"/>
      <w:numFmt w:val="decimal"/>
      <w:start w:val="1"/>
    </w:lvl>
  </w:abstractNum>
  <w:abstractNum w:abstractNumId="61">
    <w:nsid w:val="29934699"/>
    <w:multiLevelType w:val="hybridMultilevel"/>
    <w:lvl w:ilvl="0">
      <w:lvlJc w:val="left"/>
      <w:lvlText w:val="%1."/>
      <w:numFmt w:val="upperLetter"/>
      <w:start w:val="4"/>
    </w:lvl>
  </w:abstractNum>
  <w:abstractNum w:abstractNumId="62">
    <w:nsid w:val="77485850"/>
    <w:multiLevelType w:val="hybridMultilevel"/>
    <w:lvl w:ilvl="0">
      <w:lvlJc w:val="left"/>
      <w:lvlText w:val="•"/>
      <w:numFmt w:val="bullet"/>
      <w:start w:val="1"/>
    </w:lvl>
  </w:abstractNum>
  <w:abstractNum w:abstractNumId="63">
    <w:nsid w:val="744939A3"/>
    <w:multiLevelType w:val="hybridMultilevel"/>
    <w:lvl w:ilvl="0">
      <w:lvlJc w:val="left"/>
      <w:lvlText w:val="•"/>
      <w:numFmt w:val="bullet"/>
      <w:start w:val="1"/>
    </w:lvl>
  </w:abstractNum>
  <w:abstractNum w:abstractNumId="64">
    <w:nsid w:val="4FA0D2E3"/>
    <w:multiLevelType w:val="hybridMultilevel"/>
    <w:lvl w:ilvl="0">
      <w:lvlJc w:val="left"/>
      <w:lvlText w:val="(%1)"/>
      <w:numFmt w:val="lowerRoman"/>
      <w:start w:val="1"/>
    </w:lvl>
  </w:abstractNum>
  <w:abstractNum w:abstractNumId="65">
    <w:nsid w:val="6B1D2C14"/>
    <w:multiLevelType w:val="hybridMultilevel"/>
    <w:lvl w:ilvl="0">
      <w:lvlJc w:val="left"/>
      <w:lvlText w:val="(%1)"/>
      <w:numFmt w:val="lowerRoman"/>
      <w:start w:val="3"/>
    </w:lvl>
  </w:abstractNum>
  <w:abstractNum w:abstractNumId="66">
    <w:nsid w:val="68B867D3"/>
    <w:multiLevelType w:val="hybridMultilevel"/>
    <w:lvl w:ilvl="0">
      <w:lvlJc w:val="left"/>
      <w:lvlText w:val="•"/>
      <w:numFmt w:val="bullet"/>
      <w:start w:val="1"/>
    </w:lvl>
  </w:abstractNum>
  <w:abstractNum w:abstractNumId="67">
    <w:nsid w:val="3F7F5DD9"/>
    <w:multiLevelType w:val="hybridMultilevel"/>
    <w:lvl w:ilvl="0">
      <w:lvlJc w:val="left"/>
      <w:lvlText w:val="(%1)"/>
      <w:numFmt w:val="lowerRoman"/>
      <w:start w:val="2"/>
    </w:lvl>
  </w:abstractNum>
  <w:abstractNum w:abstractNumId="68">
    <w:nsid w:val="2AE05A34"/>
    <w:multiLevelType w:val="hybridMultilevel"/>
    <w:lvl w:ilvl="0">
      <w:lvlJc w:val="left"/>
      <w:lvlText w:val="(%1)"/>
      <w:numFmt w:val="lowerRoman"/>
      <w:start w:val="2"/>
    </w:lvl>
  </w:abstractNum>
  <w:abstractNum w:abstractNumId="69">
    <w:nsid w:val="32794FF7"/>
    <w:multiLevelType w:val="hybridMultilevel"/>
    <w:lvl w:ilvl="0">
      <w:lvlJc w:val="left"/>
      <w:lvlText w:val="(%1)"/>
      <w:numFmt w:val="lowerRoman"/>
      <w:start w:val="2"/>
    </w:lvl>
  </w:abstractNum>
  <w:abstractNum w:abstractNumId="70">
    <w:nsid w:val="5454945E"/>
    <w:multiLevelType w:val="hybridMultilevel"/>
    <w:lvl w:ilvl="0">
      <w:lvlJc w:val="left"/>
      <w:lvlText w:val="•"/>
      <w:numFmt w:val="bullet"/>
      <w:start w:val="1"/>
    </w:lvl>
  </w:abstractNum>
  <w:abstractNum w:abstractNumId="71">
    <w:nsid w:val="4DEFDFA0"/>
    <w:multiLevelType w:val="hybridMultilevel"/>
    <w:lvl w:ilvl="0">
      <w:lvlJc w:val="left"/>
      <w:lvlText w:val="•"/>
      <w:numFmt w:val="bullet"/>
      <w:start w:val="1"/>
    </w:lvl>
  </w:abstractNum>
  <w:abstractNum w:abstractNumId="72">
    <w:nsid w:val="2123D5F2"/>
    <w:multiLevelType w:val="hybridMultilevel"/>
    <w:lvl w:ilvl="0">
      <w:lvlJc w:val="left"/>
      <w:lvlText w:val="•"/>
      <w:numFmt w:val="bullet"/>
      <w:start w:val="1"/>
    </w:lvl>
  </w:abstractNum>
  <w:abstractNum w:abstractNumId="73">
    <w:nsid w:val="135B8110"/>
    <w:multiLevelType w:val="hybridMultilevel"/>
    <w:lvl w:ilvl="0">
      <w:lvlJc w:val="left"/>
      <w:lvlText w:val="•"/>
      <w:numFmt w:val="bullet"/>
      <w:start w:val="1"/>
    </w:lvl>
  </w:abstractNum>
  <w:abstractNum w:abstractNumId="74">
    <w:nsid w:val="94927A8"/>
    <w:multiLevelType w:val="hybridMultilevel"/>
    <w:lvl w:ilvl="0">
      <w:lvlJc w:val="left"/>
      <w:lvlText w:val="•"/>
      <w:numFmt w:val="bullet"/>
      <w:start w:val="1"/>
    </w:lvl>
  </w:abstractNum>
  <w:abstractNum w:abstractNumId="75">
    <w:nsid w:val="DCDF8F6"/>
    <w:multiLevelType w:val="hybridMultilevel"/>
    <w:lvl w:ilvl="0">
      <w:lvlJc w:val="left"/>
      <w:lvlText w:val="•"/>
      <w:numFmt w:val="bullet"/>
      <w:start w:val="1"/>
    </w:lvl>
  </w:abstractNum>
  <w:abstractNum w:abstractNumId="76">
    <w:nsid w:val="52D7B105"/>
    <w:multiLevelType w:val="hybridMultilevel"/>
    <w:lvl w:ilvl="0">
      <w:lvlJc w:val="left"/>
      <w:lvlText w:val="*"/>
      <w:numFmt w:val="bullet"/>
      <w:start w:val="1"/>
    </w:lvl>
  </w:abstractNum>
  <w:abstractNum w:abstractNumId="77">
    <w:nsid w:val="2E8A6394"/>
    <w:multiLevelType w:val="hybridMultilevel"/>
    <w:lvl w:ilvl="0">
      <w:lvlJc w:val="left"/>
      <w:lvlText w:val="(%1)"/>
      <w:numFmt w:val="decimal"/>
      <w:start w:val="1"/>
    </w:lvl>
  </w:abstractNum>
  <w:abstractNum w:abstractNumId="78">
    <w:nsid w:val="24E60401"/>
    <w:multiLevelType w:val="hybridMultilevel"/>
    <w:lvl w:ilvl="0">
      <w:lvlJc w:val="left"/>
      <w:lvlText w:val="(%1)"/>
      <w:numFmt w:val="lowerRoman"/>
      <w:start w:val="4"/>
    </w:lvl>
  </w:abstractNum>
  <w:abstractNum w:abstractNumId="79">
    <w:nsid w:val="2A6AD9BE"/>
    <w:multiLevelType w:val="hybridMultilevel"/>
    <w:lvl w:ilvl="0">
      <w:lvlJc w:val="left"/>
      <w:lvlText w:val="%1."/>
      <w:numFmt w:val="upperLetter"/>
      <w:start w:val="1"/>
    </w:lvl>
  </w:abstractNum>
  <w:abstractNum w:abstractNumId="80">
    <w:nsid w:val="BAAC1B4"/>
    <w:multiLevelType w:val="hybridMultilevel"/>
    <w:lvl w:ilvl="0">
      <w:lvlJc w:val="left"/>
      <w:lvlText w:val="•"/>
      <w:numFmt w:val="bullet"/>
      <w:start w:val="1"/>
    </w:lvl>
  </w:abstractNum>
  <w:abstractNum w:abstractNumId="81">
    <w:nsid w:val="36B2ACBC"/>
    <w:multiLevelType w:val="hybridMultilevel"/>
    <w:lvl w:ilvl="0">
      <w:lvlJc w:val="left"/>
      <w:lvlText w:val="•"/>
      <w:numFmt w:val="bullet"/>
      <w:start w:val="1"/>
    </w:lvl>
    <w:lvl w:ilvl="1">
      <w:lvlJc w:val="left"/>
      <w:lvlText w:val="•"/>
      <w:numFmt w:val="bullet"/>
      <w:start w:val="1"/>
    </w:lvl>
  </w:abstractNum>
  <w:abstractNum w:abstractNumId="82">
    <w:nsid w:val="779D8544"/>
    <w:multiLevelType w:val="hybridMultilevel"/>
    <w:lvl w:ilvl="0">
      <w:lvlJc w:val="left"/>
      <w:lvlText w:val="•"/>
      <w:numFmt w:val="bullet"/>
      <w:start w:val="1"/>
    </w:lvl>
    <w:lvl w:ilvl="1">
      <w:lvlJc w:val="left"/>
      <w:lvlText w:val="•"/>
      <w:numFmt w:val="bullet"/>
      <w:start w:val="1"/>
    </w:lvl>
  </w:abstractNum>
  <w:abstractNum w:abstractNumId="83">
    <w:nsid w:val="4AB26E78"/>
    <w:multiLevelType w:val="hybridMultilevel"/>
    <w:lvl w:ilvl="0">
      <w:lvlJc w:val="left"/>
      <w:lvlText w:val="•"/>
      <w:numFmt w:val="bullet"/>
      <w:start w:val="1"/>
    </w:lvl>
  </w:abstractNum>
  <w:abstractNum w:abstractNumId="84">
    <w:nsid w:val="21FAA2FA"/>
    <w:multiLevelType w:val="hybridMultilevel"/>
    <w:lvl w:ilvl="0">
      <w:lvlJc w:val="left"/>
      <w:lvlText w:val="•"/>
      <w:numFmt w:val="bullet"/>
      <w:start w:val="1"/>
    </w:lvl>
  </w:abstractNum>
  <w:abstractNum w:abstractNumId="85">
    <w:nsid w:val="5451CF49"/>
    <w:multiLevelType w:val="hybridMultilevel"/>
    <w:lvl w:ilvl="0">
      <w:lvlJc w:val="left"/>
      <w:lvlText w:val="•"/>
      <w:numFmt w:val="bullet"/>
      <w:start w:val="1"/>
    </w:lvl>
  </w:abstractNum>
  <w:abstractNum w:abstractNumId="86">
    <w:nsid w:val="6181EF69"/>
    <w:multiLevelType w:val="hybridMultilevel"/>
    <w:lvl w:ilvl="0">
      <w:lvlJc w:val="left"/>
      <w:lvlText w:val="%1)"/>
      <w:numFmt w:val="decimal"/>
      <w:start w:val="1"/>
    </w:lvl>
  </w:abstractNum>
  <w:abstractNum w:abstractNumId="87">
    <w:nsid w:val="3E6400E6"/>
    <w:multiLevelType w:val="hybridMultilevel"/>
    <w:lvl w:ilvl="0">
      <w:lvlJc w:val="left"/>
      <w:lvlText w:val="•"/>
      <w:numFmt w:val="bullet"/>
      <w:start w:val="1"/>
    </w:lvl>
  </w:abstractNum>
  <w:abstractNum w:abstractNumId="88">
    <w:nsid w:val="14217E23"/>
    <w:multiLevelType w:val="hybridMultilevel"/>
    <w:lvl w:ilvl="0">
      <w:lvlJc w:val="left"/>
      <w:lvlText w:val="(%1)"/>
      <w:numFmt w:val="decimal"/>
      <w:start w:val="1"/>
    </w:lvl>
  </w:abstractNum>
  <w:abstractNum w:abstractNumId="89">
    <w:nsid w:val="710757D0"/>
    <w:multiLevelType w:val="hybridMultilevel"/>
    <w:lvl w:ilvl="0">
      <w:lvlJc w:val="left"/>
      <w:lvlText w:val="%1)"/>
      <w:numFmt w:val="decimal"/>
      <w:start w:val="1"/>
    </w:lvl>
  </w:abstractNum>
  <w:abstractNum w:abstractNumId="90">
    <w:nsid w:val="5015CD1A"/>
    <w:multiLevelType w:val="hybridMultilevel"/>
    <w:lvl w:ilvl="0">
      <w:lvlJc w:val="left"/>
      <w:lvlText w:val="(%1)"/>
      <w:numFmt w:val="upperLetter"/>
      <w:start w:val="12"/>
    </w:lvl>
  </w:abstractNum>
  <w:abstractNum w:abstractNumId="91">
    <w:nsid w:val="424479DA"/>
    <w:multiLevelType w:val="hybridMultilevel"/>
    <w:lvl w:ilvl="0">
      <w:lvlJc w:val="left"/>
      <w:lvlText w:val="(%1)"/>
      <w:numFmt w:val="upperLetter"/>
      <w:start w:val="13"/>
    </w:lvl>
  </w:abstractNum>
  <w:abstractNum w:abstractNumId="92">
    <w:nsid w:val="1A9A9E69"/>
    <w:multiLevelType w:val="hybridMultilevel"/>
    <w:lvl w:ilvl="0">
      <w:lvlJc w:val="left"/>
      <w:lvlText w:val="(%1)"/>
      <w:numFmt w:val="upperLetter"/>
      <w:start w:val="16"/>
    </w:lvl>
  </w:abstractNum>
  <w:abstractNum w:abstractNumId="93">
    <w:nsid w:val="475E256A"/>
    <w:multiLevelType w:val="hybridMultilevel"/>
    <w:lvl w:ilvl="0">
      <w:lvlJc w:val="left"/>
      <w:lvlText w:val="%1)"/>
      <w:numFmt w:val="decimal"/>
      <w:start w:val="1"/>
    </w:lvl>
  </w:abstractNum>
  <w:abstractNum w:abstractNumId="94">
    <w:nsid w:val="368DB37E"/>
    <w:multiLevelType w:val="hybridMultilevel"/>
    <w:lvl w:ilvl="0">
      <w:lvlJc w:val="left"/>
      <w:lvlText w:val="%1."/>
      <w:numFmt w:val="upperLetter"/>
      <w:start w:val="2"/>
    </w:lvl>
  </w:abstractNum>
  <w:abstractNum w:abstractNumId="95">
    <w:nsid w:val="6A3B714C"/>
    <w:multiLevelType w:val="hybridMultilevel"/>
    <w:lvl w:ilvl="0">
      <w:lvlJc w:val="left"/>
      <w:lvlText w:val="%1."/>
      <w:numFmt w:val="upperLetter"/>
      <w:start w:val="1"/>
    </w:lvl>
  </w:abstractNum>
  <w:abstractNum w:abstractNumId="96">
    <w:nsid w:val="327B517E"/>
    <w:multiLevelType w:val="hybridMultilevel"/>
    <w:lvl w:ilvl="0">
      <w:lvlJc w:val="left"/>
      <w:lvlText w:val="%1."/>
      <w:numFmt w:val="upperLetter"/>
      <w:start w:val="2"/>
    </w:lvl>
  </w:abstractNum>
  <w:abstractNum w:abstractNumId="97">
    <w:nsid w:val="1F461B51"/>
    <w:multiLevelType w:val="hybridMultilevel"/>
    <w:lvl w:ilvl="0">
      <w:lvlJc w:val="left"/>
      <w:lvlText w:val="%1."/>
      <w:numFmt w:val="upperLetter"/>
      <w:start w:val="1"/>
    </w:lvl>
  </w:abstractNum>
  <w:abstractNum w:abstractNumId="98">
    <w:nsid w:val="29BACF25"/>
    <w:multiLevelType w:val="hybridMultilevel"/>
    <w:lvl w:ilvl="0">
      <w:lvlJc w:val="left"/>
      <w:lvlText w:val="%1."/>
      <w:numFmt w:val="upperLetter"/>
      <w:start w:val="2"/>
    </w:lvl>
  </w:abstractNum>
  <w:abstractNum w:abstractNumId="99">
    <w:nsid w:val="5D5BABB3"/>
    <w:multiLevelType w:val="hybridMultilevel"/>
    <w:lvl w:ilvl="0">
      <w:lvlJc w:val="left"/>
      <w:lvlText w:val="(%1)"/>
      <w:numFmt w:val="lowerLetter"/>
      <w:start w:val="1"/>
    </w:lvl>
  </w:abstractNum>
  <w:abstractNum w:abstractNumId="100">
    <w:nsid w:val="51BF6B48"/>
    <w:multiLevelType w:val="hybridMultilevel"/>
    <w:lvl w:ilvl="0">
      <w:lvlJc w:val="left"/>
      <w:lvlText w:val="%1)"/>
      <w:numFmt w:val="lowerLetter"/>
      <w:start w:val="1"/>
    </w:lvl>
    <w:lvl w:ilvl="1">
      <w:lvlJc w:val="left"/>
      <w:lvlText w:val="•"/>
      <w:numFmt w:val="bullet"/>
      <w:start w:val="1"/>
    </w:lvl>
  </w:abstractNum>
  <w:abstractNum w:abstractNumId="101">
    <w:nsid w:val="7E0F6384"/>
    <w:multiLevelType w:val="hybridMultilevel"/>
    <w:lvl w:ilvl="0">
      <w:lvlJc w:val="left"/>
      <w:lvlText w:val="(%1)"/>
      <w:numFmt w:val="lowerLetter"/>
      <w:start w:val="1"/>
    </w:lvl>
  </w:abstractNum>
  <w:abstractNum w:abstractNumId="102">
    <w:nsid w:val="2B4B8B53"/>
    <w:multiLevelType w:val="hybridMultilevel"/>
    <w:lvl w:ilvl="0">
      <w:lvlJc w:val="left"/>
      <w:lvlText w:val="(%1)"/>
      <w:numFmt w:val="lowerRoman"/>
      <w:start w:val="1"/>
    </w:lvl>
  </w:abstractNum>
  <w:abstractNum w:abstractNumId="103">
    <w:nsid w:val="72E3413A"/>
    <w:multiLevelType w:val="hybridMultilevel"/>
    <w:lvl w:ilvl="0">
      <w:lvlJc w:val="left"/>
      <w:lvlText w:val="(%1)"/>
      <w:numFmt w:val="lowerLetter"/>
      <w:start w:val="1"/>
    </w:lvl>
  </w:abstractNum>
  <w:abstractNum w:abstractNumId="104">
    <w:nsid w:val="116AE494"/>
    <w:multiLevelType w:val="hybridMultilevel"/>
    <w:lvl w:ilvl="0">
      <w:lvlJc w:val="left"/>
      <w:lvlText w:val="(%1)"/>
      <w:numFmt w:val="lowerLetter"/>
      <w:start w:val="1"/>
    </w:lvl>
  </w:abstractNum>
  <w:abstractNum w:abstractNumId="105">
    <w:nsid w:val="3494B2FB"/>
    <w:multiLevelType w:val="hybridMultilevel"/>
    <w:lvl w:ilvl="0">
      <w:lvlJc w:val="left"/>
      <w:lvlText w:val="(%1)"/>
      <w:numFmt w:val="lowerLetter"/>
      <w:start w:val="2"/>
    </w:lvl>
  </w:abstractNum>
  <w:abstractNum w:abstractNumId="106">
    <w:nsid w:val="B13A31"/>
    <w:multiLevelType w:val="hybridMultilevel"/>
    <w:lvl w:ilvl="0">
      <w:lvlJc w:val="left"/>
      <w:lvlText w:val="•"/>
      <w:numFmt w:val="bullet"/>
      <w:start w:val="1"/>
    </w:lvl>
  </w:abstractNum>
  <w:abstractNum w:abstractNumId="107">
    <w:nsid w:val="64429599"/>
    <w:multiLevelType w:val="hybridMultilevel"/>
    <w:lvl w:ilvl="0">
      <w:lvlJc w:val="left"/>
      <w:lvlText w:val="•"/>
      <w:numFmt w:val="bullet"/>
      <w:start w:val="1"/>
    </w:lvl>
  </w:abstractNum>
  <w:abstractNum w:abstractNumId="108">
    <w:nsid w:val="631F1690"/>
    <w:multiLevelType w:val="hybridMultilevel"/>
    <w:lvl w:ilvl="0">
      <w:lvlJc w:val="left"/>
      <w:lvlText w:val="(%1)"/>
      <w:numFmt w:val="lowerRoman"/>
      <w:start w:val="1"/>
    </w:lvl>
  </w:abstractNum>
  <w:abstractNum w:abstractNumId="109">
    <w:nsid w:val="25973E32"/>
    <w:multiLevelType w:val="hybridMultilevel"/>
    <w:lvl w:ilvl="0">
      <w:lvlJc w:val="left"/>
      <w:lvlText w:val="%1."/>
      <w:numFmt w:val="upperLetter"/>
      <w:start w:val="4"/>
    </w:lvl>
  </w:abstractNum>
  <w:abstractNum w:abstractNumId="110">
    <w:nsid w:val="EAD6F57"/>
    <w:multiLevelType w:val="hybridMultilevel"/>
    <w:lvl w:ilvl="0">
      <w:lvlJc w:val="left"/>
      <w:lvlText w:val="%1."/>
      <w:numFmt w:val="upperLetter"/>
      <w:start w:val="5"/>
    </w:lvl>
  </w:abstractNum>
  <w:abstractNum w:abstractNumId="111">
    <w:nsid w:val="6EC9D844"/>
    <w:multiLevelType w:val="hybridMultilevel"/>
    <w:lvl w:ilvl="0">
      <w:lvlJc w:val="left"/>
      <w:lvlText w:val="•"/>
      <w:numFmt w:val="bullet"/>
      <w:start w:val="1"/>
    </w:lvl>
  </w:abstractNum>
  <w:abstractNum w:abstractNumId="112">
    <w:nsid w:val="5C49EAEE"/>
    <w:multiLevelType w:val="hybridMultilevel"/>
    <w:lvl w:ilvl="0">
      <w:lvlJc w:val="left"/>
      <w:lvlText w:val="•"/>
      <w:numFmt w:val="bullet"/>
      <w:start w:val="1"/>
    </w:lvl>
  </w:abstractNum>
  <w:abstractNum w:abstractNumId="113">
    <w:nsid w:val="64AF49B"/>
    <w:multiLevelType w:val="hybridMultilevel"/>
    <w:lvl w:ilvl="0">
      <w:lvlJc w:val="left"/>
      <w:lvlText w:val="•"/>
      <w:numFmt w:val="bullet"/>
      <w:start w:val="1"/>
    </w:lvl>
  </w:abstractNum>
  <w:abstractNum w:abstractNumId="114">
    <w:nsid w:val="397C46BC"/>
    <w:multiLevelType w:val="hybridMultilevel"/>
    <w:lvl w:ilvl="0">
      <w:lvlJc w:val="left"/>
      <w:lvlText w:val="(%1)"/>
      <w:numFmt w:val="lowerRoman"/>
      <w:start w:val="2"/>
    </w:lvl>
  </w:abstractNum>
  <w:abstractNum w:abstractNumId="115">
    <w:nsid w:val="7E448DE9"/>
    <w:multiLevelType w:val="hybridMultilevel"/>
    <w:lvl w:ilvl="0">
      <w:lvlJc w:val="left"/>
      <w:lvlText w:val="•"/>
      <w:numFmt w:val="bullet"/>
      <w:start w:val="1"/>
    </w:lvl>
  </w:abstractNum>
  <w:abstractNum w:abstractNumId="116">
    <w:nsid w:val="5A9CC3E5"/>
    <w:multiLevelType w:val="hybridMultilevel"/>
    <w:lvl w:ilvl="0">
      <w:lvlJc w:val="left"/>
      <w:lvlText w:val="(%1)"/>
      <w:numFmt w:val="lowerRoman"/>
      <w:start w:val="1"/>
    </w:lvl>
  </w:abstractNum>
  <w:abstractNum w:abstractNumId="117">
    <w:nsid w:val="1AFE3625"/>
    <w:multiLevelType w:val="hybridMultilevel"/>
    <w:lvl w:ilvl="0">
      <w:lvlJc w:val="left"/>
      <w:lvlText w:val="%1."/>
      <w:numFmt w:val="upperLetter"/>
      <w:start w:val="1"/>
    </w:lvl>
  </w:abstractNum>
  <w:abstractNum w:abstractNumId="118">
    <w:nsid w:val="3CA88ECF"/>
    <w:multiLevelType w:val="hybridMultilevel"/>
    <w:lvl w:ilvl="0">
      <w:lvlJc w:val="left"/>
      <w:lvlText w:val="%1."/>
      <w:numFmt w:val="upperLetter"/>
      <w:start w:val="2"/>
    </w:lvl>
  </w:abstractNum>
  <w:abstractNum w:abstractNumId="119">
    <w:nsid w:val="6EBE4208"/>
    <w:multiLevelType w:val="hybridMultilevel"/>
    <w:lvl w:ilvl="0">
      <w:lvlJc w:val="left"/>
      <w:lvlText w:val="•"/>
      <w:numFmt w:val="bullet"/>
      <w:start w:val="1"/>
    </w:lvl>
  </w:abstractNum>
  <w:abstractNum w:abstractNumId="120">
    <w:nsid w:val="C058DF5"/>
    <w:multiLevelType w:val="hybridMultilevel"/>
    <w:lvl w:ilvl="0">
      <w:lvlJc w:val="left"/>
      <w:lvlText w:val="•"/>
      <w:numFmt w:val="bullet"/>
      <w:start w:val="1"/>
    </w:lvl>
  </w:abstractNum>
  <w:abstractNum w:abstractNumId="121">
    <w:nsid w:val="CBE5BE9"/>
    <w:multiLevelType w:val="hybridMultilevel"/>
    <w:lvl w:ilvl="0">
      <w:lvlJc w:val="left"/>
      <w:lvlText w:val="•"/>
      <w:numFmt w:val="bullet"/>
      <w:start w:val="1"/>
    </w:lvl>
  </w:abstractNum>
  <w:abstractNum w:abstractNumId="122">
    <w:nsid w:val="3102BBE2"/>
    <w:multiLevelType w:val="hybridMultilevel"/>
    <w:lvl w:ilvl="0">
      <w:lvlJc w:val="left"/>
      <w:lvlText w:val="•"/>
      <w:numFmt w:val="bullet"/>
      <w:start w:val="1"/>
    </w:lvl>
  </w:abstractNum>
  <w:abstractNum w:abstractNumId="123">
    <w:nsid w:val="26A02C5E"/>
    <w:multiLevelType w:val="hybridMultilevel"/>
    <w:lvl w:ilvl="0">
      <w:lvlJc w:val="left"/>
      <w:lvlText w:val="•"/>
      <w:numFmt w:val="bullet"/>
      <w:start w:val="1"/>
    </w:lvl>
  </w:abstractNum>
  <w:abstractNum w:abstractNumId="124">
    <w:nsid w:val="541C8153"/>
    <w:multiLevelType w:val="hybridMultilevel"/>
    <w:lvl w:ilvl="0">
      <w:lvlJc w:val="left"/>
      <w:lvlText w:val="•"/>
      <w:numFmt w:val="bullet"/>
      <w:start w:val="1"/>
    </w:lvl>
  </w:abstractNum>
  <w:abstractNum w:abstractNumId="125">
    <w:nsid w:val="67906F60"/>
    <w:multiLevelType w:val="hybridMultilevel"/>
    <w:lvl w:ilvl="0">
      <w:lvlJc w:val="left"/>
      <w:lvlText w:val="•"/>
      <w:numFmt w:val="bullet"/>
      <w:start w:val="1"/>
    </w:lvl>
  </w:abstractNum>
  <w:abstractNum w:abstractNumId="126">
    <w:nsid w:val="10DB9DAA"/>
    <w:multiLevelType w:val="hybridMultilevel"/>
    <w:lvl w:ilvl="0">
      <w:lvlJc w:val="left"/>
      <w:lvlText w:val="(%1)"/>
      <w:numFmt w:val="lowerRoman"/>
      <w:start w:val="1"/>
    </w:lvl>
  </w:abstractNum>
  <w:abstractNum w:abstractNumId="127">
    <w:nsid w:val="697D2D2"/>
    <w:multiLevelType w:val="hybridMultilevel"/>
    <w:lvl w:ilvl="0">
      <w:lvlJc w:val="left"/>
      <w:lvlText w:val="•"/>
      <w:numFmt w:val="bullet"/>
      <w:start w:val="1"/>
    </w:lvl>
  </w:abstractNum>
  <w:abstractNum w:abstractNumId="128">
    <w:nsid w:val="6D68AB2"/>
    <w:multiLevelType w:val="hybridMultilevel"/>
    <w:lvl w:ilvl="0">
      <w:lvlJc w:val="left"/>
      <w:lvlText w:val="•"/>
      <w:numFmt w:val="bullet"/>
      <w:start w:val="1"/>
    </w:lvl>
  </w:abstractNum>
  <w:abstractNum w:abstractNumId="129">
    <w:nsid w:val="3A966CD0"/>
    <w:multiLevelType w:val="hybridMultilevel"/>
    <w:lvl w:ilvl="0">
      <w:lvlJc w:val="left"/>
      <w:lvlText w:val="•"/>
      <w:numFmt w:val="bullet"/>
      <w:start w:val="1"/>
    </w:lvl>
  </w:abstractNum>
  <w:abstractNum w:abstractNumId="130">
    <w:nsid w:val="63F37E85"/>
    <w:multiLevelType w:val="hybridMultilevel"/>
    <w:lvl w:ilvl="0">
      <w:lvlJc w:val="left"/>
      <w:lvlText w:val="•"/>
      <w:numFmt w:val="bullet"/>
      <w:start w:val="1"/>
    </w:lvl>
  </w:abstractNum>
  <w:abstractNum w:abstractNumId="131">
    <w:nsid w:val="5895F5FA"/>
    <w:multiLevelType w:val="hybridMultilevel"/>
    <w:lvl w:ilvl="0">
      <w:lvlJc w:val="left"/>
      <w:lvlText w:val="•"/>
      <w:numFmt w:val="bullet"/>
      <w:start w:val="1"/>
    </w:lvl>
  </w:abstractNum>
  <w:abstractNum w:abstractNumId="132">
    <w:nsid w:val="38A5D054"/>
    <w:multiLevelType w:val="hybridMultilevel"/>
    <w:lvl w:ilvl="0">
      <w:lvlJc w:val="left"/>
      <w:lvlText w:val="•"/>
      <w:numFmt w:val="bullet"/>
      <w:start w:val="1"/>
    </w:lvl>
  </w:abstractNum>
  <w:abstractNum w:abstractNumId="133">
    <w:nsid w:val="F3F09D8"/>
    <w:multiLevelType w:val="hybridMultilevel"/>
    <w:lvl w:ilvl="0">
      <w:lvlJc w:val="left"/>
      <w:lvlText w:val="•"/>
      <w:numFmt w:val="bullet"/>
      <w:start w:val="1"/>
    </w:lvl>
  </w:abstractNum>
  <w:abstractNum w:abstractNumId="134">
    <w:nsid w:val="4B793735"/>
    <w:multiLevelType w:val="hybridMultilevel"/>
    <w:lvl w:ilvl="0">
      <w:lvlJc w:val="left"/>
      <w:lvlText w:val="(%1)"/>
      <w:numFmt w:val="lowerRoman"/>
      <w:start w:val="3"/>
    </w:lvl>
  </w:abstractNum>
  <w:abstractNum w:abstractNumId="135">
    <w:nsid w:val="4A10B4E8"/>
    <w:multiLevelType w:val="hybridMultilevel"/>
    <w:lvl w:ilvl="0">
      <w:lvlJc w:val="left"/>
      <w:lvlText w:val="*"/>
      <w:numFmt w:val="bullet"/>
      <w:start w:val="1"/>
    </w:lvl>
  </w:abstractNum>
  <w:abstractNum w:abstractNumId="136">
    <w:nsid w:val="43D3BCD4"/>
    <w:multiLevelType w:val="hybridMultilevel"/>
    <w:lvl w:ilvl="0">
      <w:lvlJc w:val="left"/>
      <w:lvlText w:val="**"/>
      <w:numFmt w:val="bullet"/>
      <w:start w:val="1"/>
    </w:lvl>
  </w:abstractNum>
  <w:abstractNum w:abstractNumId="137">
    <w:nsid w:val="4C2A7166"/>
    <w:multiLevelType w:val="hybridMultilevel"/>
    <w:lvl w:ilvl="0">
      <w:lvlJc w:val="left"/>
      <w:lvlText w:val="+"/>
      <w:numFmt w:val="bullet"/>
      <w:start w:val="1"/>
    </w:lvl>
  </w:abstractNum>
  <w:abstractNum w:abstractNumId="138">
    <w:nsid w:val="2E534A82"/>
    <w:multiLevelType w:val="hybridMultilevel"/>
    <w:lvl w:ilvl="0">
      <w:lvlJc w:val="left"/>
      <w:lvlText w:val="†"/>
      <w:numFmt w:val="bullet"/>
      <w:start w:val="1"/>
    </w:lvl>
  </w:abstractNum>
  <w:abstractNum w:abstractNumId="139">
    <w:nsid w:val="26F2D364"/>
    <w:multiLevelType w:val="hybridMultilevel"/>
    <w:lvl w:ilvl="0">
      <w:lvlJc w:val="left"/>
      <w:lvlText w:val="##"/>
      <w:numFmt w:val="bullet"/>
      <w:start w:val="1"/>
    </w:lvl>
  </w:abstractNum>
  <w:abstractNum w:abstractNumId="140">
    <w:nsid w:val="71C1AF98"/>
    <w:multiLevelType w:val="hybridMultilevel"/>
    <w:lvl w:ilvl="0">
      <w:lvlJc w:val="left"/>
      <w:lvlText w:val="(%1)"/>
      <w:numFmt w:val="decimal"/>
      <w:start w:val="2"/>
    </w:lvl>
  </w:abstractNum>
  <w:abstractNum w:abstractNumId="141">
    <w:nsid w:val="3D00B9D9"/>
    <w:multiLevelType w:val="hybridMultilevel"/>
    <w:lvl w:ilvl="0">
      <w:lvlJc w:val="left"/>
      <w:lvlText w:val="•"/>
      <w:numFmt w:val="bullet"/>
      <w:start w:val="1"/>
    </w:lvl>
    <w:lvl w:ilvl="1">
      <w:lvlJc w:val="left"/>
      <w:lvlText w:val="•"/>
      <w:numFmt w:val="bullet"/>
      <w:start w:val="1"/>
    </w:lvl>
  </w:abstractNum>
  <w:abstractNum w:abstractNumId="142">
    <w:nsid w:val="15BCABA8"/>
    <w:multiLevelType w:val="hybridMultilevel"/>
    <w:lvl w:ilvl="0">
      <w:lvlJc w:val="left"/>
      <w:lvlText w:val="1"/>
      <w:numFmt w:val="bullet"/>
      <w:start w:val="1"/>
    </w:lvl>
  </w:abstractNum>
  <w:abstractNum w:abstractNumId="143">
    <w:nsid w:val="4E0B9A87"/>
    <w:multiLevelType w:val="hybridMultilevel"/>
    <w:lvl w:ilvl="0">
      <w:lvlJc w:val="left"/>
      <w:lvlText w:val="%1)"/>
      <w:numFmt w:val="lowerLetter"/>
      <w:start w:val="1"/>
    </w:lvl>
  </w:abstractNum>
  <w:abstractNum w:abstractNumId="144">
    <w:nsid w:val="434BAE75"/>
    <w:multiLevelType w:val="hybridMultilevel"/>
    <w:lvl w:ilvl="0">
      <w:lvlJc w:val="left"/>
      <w:lvlText w:val="(%1)"/>
      <w:numFmt w:val="decimal"/>
      <w:start w:val="3"/>
    </w:lvl>
  </w:abstractNum>
  <w:abstractNum w:abstractNumId="145">
    <w:nsid w:val="4F38F265"/>
    <w:multiLevelType w:val="hybridMultilevel"/>
    <w:lvl w:ilvl="0">
      <w:lvlJc w:val="left"/>
      <w:lvlText w:val="1"/>
      <w:numFmt w:val="bullet"/>
      <w:start w:val="1"/>
    </w:lvl>
  </w:abstractNum>
  <w:abstractNum w:abstractNumId="146">
    <w:nsid w:val="4C502870"/>
    <w:multiLevelType w:val="hybridMultilevel"/>
    <w:lvl w:ilvl="0">
      <w:lvlJc w:val="left"/>
      <w:lvlText w:val="%1)"/>
      <w:numFmt w:val="lowerLetter"/>
      <w:start w:val="1"/>
    </w:lvl>
  </w:abstractNum>
  <w:abstractNum w:abstractNumId="147">
    <w:nsid w:val="1DE8725A"/>
    <w:multiLevelType w:val="hybridMultilevel"/>
    <w:lvl w:ilvl="0">
      <w:lvlJc w:val="left"/>
      <w:lvlText w:val="%1)"/>
      <w:numFmt w:val="lowerLetter"/>
      <w:start w:val="1"/>
    </w:lvl>
  </w:abstractNum>
  <w:abstractNum w:abstractNumId="148">
    <w:nsid w:val="6A37288A"/>
    <w:multiLevelType w:val="hybridMultilevel"/>
    <w:lvl w:ilvl="0">
      <w:lvlJc w:val="left"/>
      <w:lvlText w:val="%1)"/>
      <w:numFmt w:val="lowerLetter"/>
      <w:start w:val="1"/>
    </w:lvl>
  </w:abstractNum>
  <w:abstractNum w:abstractNumId="149">
    <w:nsid w:val="8F8B73F"/>
    <w:multiLevelType w:val="hybridMultilevel"/>
    <w:lvl w:ilvl="0">
      <w:lvlJc w:val="left"/>
      <w:lvlText w:val="1"/>
      <w:numFmt w:val="bullet"/>
      <w:start w:val="1"/>
    </w:lvl>
  </w:abstractNum>
  <w:abstractNum w:abstractNumId="150">
    <w:nsid w:val="CA6B462"/>
    <w:multiLevelType w:val="hybridMultilevel"/>
    <w:lvl w:ilvl="0">
      <w:lvlJc w:val="left"/>
      <w:lvlText w:val="%1)"/>
      <w:numFmt w:val="lowerLetter"/>
      <w:start w:val="1"/>
    </w:lvl>
  </w:abstractNum>
  <w:abstractNum w:abstractNumId="151">
    <w:nsid w:val="763CB680"/>
    <w:multiLevelType w:val="hybridMultilevel"/>
    <w:lvl w:ilvl="0">
      <w:lvlJc w:val="left"/>
      <w:lvlText w:val="%1)"/>
      <w:numFmt w:val="lowerLetter"/>
      <w:start w:val="3"/>
    </w:lvl>
  </w:abstractNum>
  <w:abstractNum w:abstractNumId="152">
    <w:nsid w:val="15B71329"/>
    <w:multiLevelType w:val="hybridMultilevel"/>
    <w:lvl w:ilvl="0">
      <w:lvlJc w:val="left"/>
      <w:lvlText w:val="%1)"/>
      <w:numFmt w:val="lowerLetter"/>
      <w:start w:val="1"/>
    </w:lvl>
  </w:abstractNum>
  <w:abstractNum w:abstractNumId="153">
    <w:nsid w:val="3DA97044"/>
    <w:multiLevelType w:val="hybridMultilevel"/>
    <w:lvl w:ilvl="0">
      <w:lvlJc w:val="left"/>
      <w:lvlText w:val="%1)"/>
      <w:numFmt w:val="lowerLetter"/>
      <w:start w:val="1"/>
    </w:lvl>
  </w:abstractNum>
  <w:abstractNum w:abstractNumId="154">
    <w:nsid w:val="1CDCE2DE"/>
    <w:multiLevelType w:val="hybridMultilevel"/>
    <w:lvl w:ilvl="0">
      <w:lvlJc w:val="left"/>
      <w:lvlText w:val="•"/>
      <w:numFmt w:val="bullet"/>
      <w:start w:val="1"/>
    </w:lvl>
  </w:abstractNum>
  <w:abstractNum w:abstractNumId="155">
    <w:nsid w:val="69D3947C"/>
    <w:multiLevelType w:val="hybridMultilevel"/>
    <w:lvl w:ilvl="0">
      <w:lvlJc w:val="left"/>
      <w:lvlText w:val="(%1)"/>
      <w:numFmt w:val="lowerLetter"/>
      <w:start w:val="1"/>
    </w:lvl>
  </w:abstractNum>
  <w:abstractNum w:abstractNumId="156">
    <w:nsid w:val="2539DFA5"/>
    <w:multiLevelType w:val="hybridMultilevel"/>
    <w:lvl w:ilvl="0">
      <w:lvlJc w:val="left"/>
      <w:lvlText w:val="(%1)"/>
      <w:numFmt w:val="lowerLetter"/>
      <w:start w:val="1"/>
    </w:lvl>
  </w:abstractNum>
  <w:abstractNum w:abstractNumId="157">
    <w:nsid w:val="2DB88089"/>
    <w:multiLevelType w:val="hybridMultilevel"/>
    <w:lvl w:ilvl="0">
      <w:lvlJc w:val="left"/>
      <w:lvlText w:val="(%1)"/>
      <w:numFmt w:val="lowerLetter"/>
      <w:start w:val="1"/>
    </w:lvl>
  </w:abstractNum>
  <w:abstractNum w:abstractNumId="158">
    <w:nsid w:val="706B674E"/>
    <w:multiLevelType w:val="hybridMultilevel"/>
    <w:lvl w:ilvl="0">
      <w:lvlJc w:val="left"/>
      <w:lvlText w:val="(%1)"/>
      <w:numFmt w:val="lowerLetter"/>
      <w:start w:val="5"/>
    </w:lvl>
  </w:abstractNum>
  <w:abstractNum w:abstractNumId="159">
    <w:nsid w:val="2C106A57"/>
    <w:multiLevelType w:val="hybridMultilevel"/>
    <w:lvl w:ilvl="0">
      <w:lvlJc w:val="left"/>
      <w:lvlText w:val="(%1)"/>
      <w:numFmt w:val="lowerLetter"/>
      <w:start w:val="1"/>
    </w:lvl>
  </w:abstractNum>
  <w:abstractNum w:abstractNumId="160">
    <w:nsid w:val="684EED59"/>
    <w:multiLevelType w:val="hybridMultilevel"/>
    <w:lvl w:ilvl="0">
      <w:lvlJc w:val="left"/>
      <w:lvlText w:val="(%1)"/>
      <w:numFmt w:val="lowerLetter"/>
      <w:start w:val="2"/>
    </w:lvl>
  </w:abstractNum>
  <w:abstractNum w:abstractNumId="161">
    <w:nsid w:val="545EE5D3"/>
    <w:multiLevelType w:val="hybridMultilevel"/>
    <w:lvl w:ilvl="0">
      <w:lvlJc w:val="left"/>
      <w:lvlText w:val="(%1)"/>
      <w:numFmt w:val="lowerLetter"/>
      <w:start w:val="1"/>
    </w:lvl>
  </w:abstractNum>
  <w:abstractNum w:abstractNumId="162">
    <w:nsid w:val="4A66051"/>
    <w:multiLevelType w:val="hybridMultilevel"/>
    <w:lvl w:ilvl="0">
      <w:lvlJc w:val="left"/>
      <w:lvlText w:val="(%1)"/>
      <w:numFmt w:val="lowerLetter"/>
      <w:start w:val="1"/>
    </w:lvl>
  </w:abstractNum>
  <w:abstractNum w:abstractNumId="163">
    <w:nsid w:val="20F4BDAD"/>
    <w:multiLevelType w:val="hybridMultilevel"/>
    <w:lvl w:ilvl="0">
      <w:lvlJc w:val="left"/>
      <w:lvlText w:val="(%1)"/>
      <w:numFmt w:val="lowerLetter"/>
      <w:start w:val="1"/>
    </w:lvl>
    <w:lvl w:ilvl="1">
      <w:lvlJc w:val="left"/>
      <w:lvlText w:val="(%2)"/>
      <w:numFmt w:val="lowerRoman"/>
      <w:start w:val="1"/>
    </w:lvl>
  </w:abstractNum>
  <w:abstractNum w:abstractNumId="164">
    <w:nsid w:val="639DEFAC"/>
    <w:multiLevelType w:val="hybridMultilevel"/>
    <w:lvl w:ilvl="0">
      <w:lvlJc w:val="left"/>
      <w:lvlText w:val="(%1)"/>
      <w:numFmt w:val="lowerLetter"/>
      <w:start w:val="4"/>
    </w:lvl>
  </w:abstractNum>
  <w:abstractNum w:abstractNumId="165">
    <w:nsid w:val="501F9786"/>
    <w:multiLevelType w:val="hybridMultilevel"/>
    <w:lvl w:ilvl="0">
      <w:lvlJc w:val="left"/>
      <w:lvlText w:val="(%1)"/>
      <w:numFmt w:val="lowerLetter"/>
      <w:start w:val="1"/>
    </w:lvl>
  </w:abstractNum>
  <w:abstractNum w:abstractNumId="166">
    <w:nsid w:val="6B057295"/>
    <w:multiLevelType w:val="hybridMultilevel"/>
    <w:lvl w:ilvl="0">
      <w:lvlJc w:val="left"/>
      <w:lvlText w:val="(%1)"/>
      <w:numFmt w:val="lowerLetter"/>
      <w:start w:val="2"/>
    </w:lvl>
    <w:lvl w:ilvl="1">
      <w:lvlJc w:val="left"/>
      <w:lvlText w:val="(%2)"/>
      <w:numFmt w:val="lowerRoman"/>
      <w:start w:val="1"/>
    </w:lvl>
  </w:abstractNum>
  <w:abstractNum w:abstractNumId="167">
    <w:nsid w:val="2771AC80"/>
    <w:multiLevelType w:val="hybridMultilevel"/>
    <w:lvl w:ilvl="0">
      <w:lvlJc w:val="left"/>
      <w:lvlText w:val="(%1)"/>
      <w:numFmt w:val="lowerLetter"/>
      <w:start w:val="3"/>
    </w:lvl>
  </w:abstractNum>
  <w:abstractNum w:abstractNumId="168">
    <w:nsid w:val="1C4A08EC"/>
    <w:multiLevelType w:val="hybridMultilevel"/>
    <w:lvl w:ilvl="0">
      <w:lvlJc w:val="left"/>
      <w:lvlText w:val="(%1)"/>
      <w:numFmt w:val="lowerLetter"/>
      <w:start w:val="1"/>
    </w:lvl>
  </w:abstractNum>
  <w:abstractNum w:abstractNumId="169">
    <w:nsid w:val="1958BD17"/>
    <w:multiLevelType w:val="hybridMultilevel"/>
    <w:lvl w:ilvl="0">
      <w:lvlJc w:val="left"/>
      <w:lvlText w:val="(%1)"/>
      <w:numFmt w:val="lowerLetter"/>
      <w:start w:val="2"/>
    </w:lvl>
  </w:abstractNum>
  <w:abstractNum w:abstractNumId="170">
    <w:nsid w:val="4E647FE4"/>
    <w:multiLevelType w:val="hybridMultilevel"/>
    <w:lvl w:ilvl="0">
      <w:lvlJc w:val="left"/>
      <w:lvlText w:val="%1."/>
      <w:numFmt w:val="upperLetter"/>
      <w:start w:val="1"/>
    </w:lvl>
  </w:abstractNum>
  <w:abstractNum w:abstractNumId="171">
    <w:nsid w:val="E0BB885"/>
    <w:multiLevelType w:val="hybridMultilevel"/>
    <w:lvl w:ilvl="0">
      <w:lvlJc w:val="left"/>
      <w:lvlText w:val="%1."/>
      <w:numFmt w:val="decimal"/>
      <w:start w:val="1"/>
    </w:lvl>
  </w:abstractNum>
  <w:abstractNum w:abstractNumId="172">
    <w:nsid w:val="565976F1"/>
    <w:multiLevelType w:val="hybridMultilevel"/>
    <w:lvl w:ilvl="0">
      <w:lvlJc w:val="left"/>
      <w:lvlText w:val="%1."/>
      <w:numFmt w:val="decimal"/>
      <w:start w:val="2"/>
    </w:lvl>
  </w:abstractNum>
  <w:abstractNum w:abstractNumId="173">
    <w:nsid w:val="64212B8C"/>
    <w:multiLevelType w:val="hybridMultilevel"/>
    <w:lvl w:ilvl="0">
      <w:lvlJc w:val="left"/>
      <w:lvlText w:val="%1."/>
      <w:numFmt w:val="decimal"/>
      <w:start w:val="4"/>
    </w:lvl>
  </w:abstractNum>
  <w:abstractNum w:abstractNumId="174">
    <w:nsid w:val="5C17530C"/>
    <w:multiLevelType w:val="hybridMultilevel"/>
    <w:lvl w:ilvl="0">
      <w:lvlJc w:val="left"/>
      <w:lvlText w:val="%1."/>
      <w:numFmt w:val="decimal"/>
      <w:start w:val="5"/>
    </w:lvl>
  </w:abstractNum>
  <w:abstractNum w:abstractNumId="175">
    <w:nsid w:val="19A52566"/>
    <w:multiLevelType w:val="hybridMultilevel"/>
    <w:lvl w:ilvl="0">
      <w:lvlJc w:val="left"/>
      <w:lvlText w:val="%1"/>
      <w:numFmt w:val="decimal"/>
      <w:start w:val="1"/>
    </w:lvl>
    <w:lvl w:ilvl="1">
      <w:lvlJc w:val="left"/>
      <w:lvlText w:val="%2."/>
      <w:numFmt w:val="lowerRoman"/>
      <w:start w:val="1"/>
    </w:lvl>
  </w:abstractNum>
  <w:abstractNum w:abstractNumId="176">
    <w:nsid w:val="335A1DF1"/>
    <w:multiLevelType w:val="hybridMultilevel"/>
    <w:lvl w:ilvl="0">
      <w:lvlJc w:val="left"/>
      <w:lvlText w:val="%1."/>
      <w:numFmt w:val="decimal"/>
      <w:start w:val="8"/>
    </w:lvl>
    <w:lvl w:ilvl="1">
      <w:lvlJc w:val="left"/>
      <w:lvlText w:val="%2"/>
      <w:numFmt w:val="lowerRoman"/>
      <w:start w:val="1"/>
    </w:lvl>
  </w:abstractNum>
  <w:abstractNum w:abstractNumId="177">
    <w:nsid w:val="28677B7C"/>
    <w:multiLevelType w:val="hybridMultilevel"/>
    <w:lvl w:ilvl="0">
      <w:lvlJc w:val="left"/>
      <w:lvlText w:val="%1."/>
      <w:numFmt w:val="decimal"/>
      <w:start w:val="9"/>
    </w:lvl>
  </w:abstractNum>
  <w:abstractNum w:abstractNumId="178">
    <w:nsid w:val="378D97C0"/>
    <w:multiLevelType w:val="hybridMultilevel"/>
    <w:lvl w:ilvl="0">
      <w:lvlJc w:val="left"/>
      <w:lvlText w:val="%1."/>
      <w:numFmt w:val="decimal"/>
      <w:start w:val="11"/>
    </w:lvl>
    <w:lvl w:ilvl="1">
      <w:lvlJc w:val="left"/>
      <w:lvlText w:val="(%2)"/>
      <w:numFmt w:val="lowerLetter"/>
      <w:start w:val="1"/>
    </w:lvl>
  </w:abstractNum>
  <w:abstractNum w:abstractNumId="179">
    <w:nsid w:val="1D91467C"/>
    <w:multiLevelType w:val="hybridMultilevel"/>
    <w:lvl w:ilvl="0">
      <w:lvlJc w:val="left"/>
      <w:lvlText w:val="(%1)"/>
      <w:numFmt w:val="lowerRoman"/>
      <w:start w:val="1"/>
    </w:lvl>
  </w:abstractNum>
  <w:abstractNum w:abstractNumId="180">
    <w:nsid w:val="316032BB"/>
    <w:multiLevelType w:val="hybridMultilevel"/>
    <w:lvl w:ilvl="0">
      <w:lvlJc w:val="left"/>
      <w:lvlText w:val="%1."/>
      <w:numFmt w:val="decimal"/>
      <w:start w:val="12"/>
    </w:lvl>
  </w:abstractNum>
  <w:abstractNum w:abstractNumId="181">
    <w:nsid w:val="44344C22"/>
    <w:multiLevelType w:val="hybridMultilevel"/>
    <w:lvl w:ilvl="0">
      <w:lvlJc w:val="left"/>
      <w:lvlText w:val="%1."/>
      <w:numFmt w:val="decimal"/>
      <w:start w:val="14"/>
    </w:lvl>
    <w:lvl w:ilvl="1">
      <w:lvlJc w:val="left"/>
      <w:lvlText w:val="(%2)"/>
      <w:numFmt w:val="lowerLetter"/>
      <w:start w:val="1"/>
    </w:lvl>
  </w:abstractNum>
  <w:abstractNum w:abstractNumId="182">
    <w:nsid w:val="13CDFCFC"/>
    <w:multiLevelType w:val="hybridMultilevel"/>
    <w:lvl w:ilvl="0">
      <w:lvlJc w:val="left"/>
      <w:lvlText w:val="%1."/>
      <w:numFmt w:val="decimal"/>
      <w:start w:val="17"/>
    </w:lvl>
  </w:abstractNum>
  <w:abstractNum w:abstractNumId="183">
    <w:nsid w:val="471745E4"/>
    <w:multiLevelType w:val="hybridMultilevel"/>
    <w:lvl w:ilvl="0">
      <w:lvlJc w:val="left"/>
      <w:lvlText w:val="%1."/>
      <w:numFmt w:val="decimal"/>
      <w:start w:val="19"/>
    </w:lvl>
    <w:lvl w:ilvl="1">
      <w:lvlJc w:val="left"/>
      <w:lvlText w:val="%2)"/>
      <w:numFmt w:val="decimal"/>
      <w:start w:val="1"/>
    </w:lvl>
  </w:abstractNum>
  <w:abstractNum w:abstractNumId="184">
    <w:nsid w:val="1DDBC66"/>
    <w:multiLevelType w:val="hybridMultilevel"/>
    <w:lvl w:ilvl="0">
      <w:lvlJc w:val="left"/>
      <w:lvlText w:val="%1."/>
      <w:numFmt w:val="decimal"/>
      <w:start w:val="23"/>
    </w:lvl>
  </w:abstractNum>
  <w:abstractNum w:abstractNumId="185">
    <w:nsid w:val="30AADFDA"/>
    <w:multiLevelType w:val="hybridMultilevel"/>
    <w:lvl w:ilvl="0">
      <w:lvlJc w:val="left"/>
      <w:lvlText w:val="%1."/>
      <w:numFmt w:val="decimal"/>
      <w:start w:val="24"/>
    </w:lvl>
  </w:abstractNum>
  <w:abstractNum w:abstractNumId="186">
    <w:nsid w:val="30EADA61"/>
    <w:multiLevelType w:val="hybridMultilevel"/>
    <w:lvl w:ilvl="0">
      <w:lvlJc w:val="left"/>
      <w:lvlText w:val="%1."/>
      <w:numFmt w:val="decimal"/>
      <w:start w:val="26"/>
    </w:lvl>
  </w:abstractNum>
  <w:abstractNum w:abstractNumId="187">
    <w:nsid w:val="27179C0B"/>
    <w:multiLevelType w:val="hybridMultilevel"/>
    <w:lvl w:ilvl="0">
      <w:lvlJc w:val="left"/>
      <w:lvlText w:val="%1."/>
      <w:numFmt w:val="upperLetter"/>
      <w:start w:val="1"/>
    </w:lvl>
  </w:abstractNum>
  <w:abstractNum w:abstractNumId="188">
    <w:nsid w:val="5E636063"/>
    <w:multiLevelType w:val="hybridMultilevel"/>
    <w:lvl w:ilvl="0">
      <w:lvlJc w:val="left"/>
      <w:lvlText w:val="%1."/>
      <w:numFmt w:val="decimal"/>
      <w:start w:val="1"/>
    </w:lvl>
  </w:abstractNum>
  <w:abstractNum w:abstractNumId="189">
    <w:nsid w:val="215641AF"/>
    <w:multiLevelType w:val="hybridMultilevel"/>
    <w:lvl w:ilvl="0">
      <w:lvlJc w:val="left"/>
      <w:lvlText w:val="%1."/>
      <w:numFmt w:val="decimal"/>
      <w:start w:val="2"/>
    </w:lvl>
  </w:abstractNum>
  <w:abstractNum w:abstractNumId="190">
    <w:nsid w:val="53280662"/>
    <w:multiLevelType w:val="hybridMultilevel"/>
    <w:lvl w:ilvl="0">
      <w:lvlJc w:val="left"/>
      <w:lvlText w:val="%1."/>
      <w:numFmt w:val="decimal"/>
      <w:start w:val="3"/>
    </w:lvl>
  </w:abstractNum>
  <w:abstractNum w:abstractNumId="191">
    <w:nsid w:val="46B24DBC"/>
    <w:multiLevelType w:val="hybridMultilevel"/>
    <w:lvl w:ilvl="0">
      <w:lvlJc w:val="left"/>
      <w:lvlText w:val="%1."/>
      <w:numFmt w:val="decimal"/>
      <w:start w:val="6"/>
    </w:lvl>
  </w:abstractNum>
  <w:abstractNum w:abstractNumId="192">
    <w:nsid w:val="75B52783"/>
    <w:multiLevelType w:val="hybridMultilevel"/>
    <w:lvl w:ilvl="0">
      <w:lvlJc w:val="left"/>
      <w:lvlText w:val="%1."/>
      <w:numFmt w:val="decimal"/>
      <w:start w:val="9"/>
    </w:lvl>
  </w:abstractNum>
  <w:abstractNum w:abstractNumId="193">
    <w:nsid w:val="57CE66B4"/>
    <w:multiLevelType w:val="hybridMultilevel"/>
    <w:lvl w:ilvl="0">
      <w:lvlJc w:val="left"/>
      <w:lvlText w:val="(%1)"/>
      <w:numFmt w:val="lowerLetter"/>
      <w:start w:val="1"/>
    </w:lvl>
  </w:abstractNum>
  <w:abstractNum w:abstractNumId="194">
    <w:nsid w:val="67A70B69"/>
    <w:multiLevelType w:val="hybridMultilevel"/>
    <w:lvl w:ilvl="0">
      <w:lvlJc w:val="left"/>
      <w:lvlText w:val="(%1)"/>
      <w:numFmt w:val="lowerRoman"/>
      <w:start w:val="1"/>
    </w:lvl>
  </w:abstractNum>
  <w:abstractNum w:abstractNumId="195">
    <w:nsid w:val="5953172F"/>
    <w:multiLevelType w:val="hybridMultilevel"/>
    <w:lvl w:ilvl="0">
      <w:lvlJc w:val="left"/>
      <w:lvlText w:val="%1."/>
      <w:numFmt w:val="decimal"/>
      <w:start w:val="13"/>
    </w:lvl>
  </w:abstractNum>
  <w:abstractNum w:abstractNumId="196">
    <w:nsid w:val="27EDFE3A"/>
    <w:multiLevelType w:val="hybridMultilevel"/>
    <w:lvl w:ilvl="0">
      <w:lvlJc w:val="left"/>
      <w:lvlText w:val="%1."/>
      <w:numFmt w:val="decimal"/>
      <w:start w:val="17"/>
    </w:lvl>
    <w:lvl w:ilvl="1">
      <w:lvlJc w:val="left"/>
      <w:lvlText w:val="(%2)"/>
      <w:numFmt w:val="lowerLetter"/>
      <w:start w:val="1"/>
    </w:lvl>
  </w:abstractNum>
  <w:abstractNum w:abstractNumId="197">
    <w:nsid w:val="52AC7DFF"/>
    <w:multiLevelType w:val="hybridMultilevel"/>
    <w:lvl w:ilvl="0">
      <w:lvlJc w:val="left"/>
      <w:lvlText w:val="%1."/>
      <w:numFmt w:val="decimal"/>
      <w:start w:val="18"/>
    </w:lvl>
  </w:abstractNum>
  <w:abstractNum w:abstractNumId="198">
    <w:nsid w:val="C4C3AF"/>
    <w:multiLevelType w:val="hybridMultilevel"/>
    <w:lvl w:ilvl="0">
      <w:lvlJc w:val="left"/>
      <w:lvlText w:val="%1."/>
      <w:numFmt w:val="decimal"/>
      <w:start w:val="19"/>
    </w:lvl>
  </w:abstractNum>
  <w:abstractNum w:abstractNumId="199">
    <w:nsid w:val="44380727"/>
    <w:multiLevelType w:val="hybridMultilevel"/>
    <w:lvl w:ilvl="0">
      <w:lvlJc w:val="left"/>
      <w:lvlText w:val="%1."/>
      <w:numFmt w:val="decimal"/>
      <w:start w:val="23"/>
    </w:lvl>
  </w:abstractNum>
  <w:abstractNum w:abstractNumId="200">
    <w:nsid w:val="6C053B16"/>
    <w:multiLevelType w:val="hybridMultilevel"/>
    <w:lvl w:ilvl="0">
      <w:lvlJc w:val="left"/>
      <w:lvlText w:val="%1."/>
      <w:numFmt w:val="decimal"/>
      <w:start w:val="24"/>
    </w:lvl>
  </w:abstractNum>
  <w:abstractNum w:abstractNumId="201">
    <w:nsid w:val="4F294393"/>
    <w:multiLevelType w:val="hybridMultilevel"/>
    <w:lvl w:ilvl="0">
      <w:lvlJc w:val="left"/>
      <w:lvlText w:val="%1."/>
      <w:numFmt w:val="decimal"/>
      <w:start w:val="26"/>
    </w:lvl>
  </w:abstractNum>
  <w:abstractNum w:abstractNumId="202">
    <w:nsid w:val="5243BFAC"/>
    <w:multiLevelType w:val="hybridMultilevel"/>
    <w:lvl w:ilvl="0">
      <w:lvlJc w:val="left"/>
      <w:lvlText w:val="•"/>
      <w:numFmt w:val="bullet"/>
      <w:start w:val="1"/>
    </w:lvl>
  </w:abstractNum>
  <w:abstractNum w:abstractNumId="203">
    <w:nsid w:val="425EB207"/>
    <w:multiLevelType w:val="hybridMultilevel"/>
    <w:lvl w:ilvl="0">
      <w:lvlJc w:val="left"/>
      <w:lvlText w:val="•"/>
      <w:numFmt w:val="bullet"/>
      <w:start w:val="1"/>
    </w:lvl>
  </w:abstractNum>
  <w:abstractNum w:abstractNumId="204">
    <w:nsid w:val="334A6F1F"/>
    <w:multiLevelType w:val="hybridMultilevel"/>
    <w:lvl w:ilvl="0">
      <w:lvlJc w:val="left"/>
      <w:lvlText w:val="%1."/>
      <w:numFmt w:val="upperLetter"/>
      <w:start w:val="1"/>
    </w:lvl>
  </w:abstractNum>
  <w:abstractNum w:abstractNumId="205">
    <w:nsid w:val="2E5B12B8"/>
    <w:multiLevelType w:val="hybridMultilevel"/>
    <w:lvl w:ilvl="0">
      <w:lvlJc w:val="left"/>
      <w:lvlText w:val="%1."/>
      <w:numFmt w:val="decimal"/>
      <w:start w:val="1"/>
    </w:lvl>
  </w:abstractNum>
  <w:abstractNum w:abstractNumId="206">
    <w:nsid w:val="5C03D76D"/>
    <w:multiLevelType w:val="hybridMultilevel"/>
    <w:lvl w:ilvl="0">
      <w:lvlJc w:val="left"/>
      <w:lvlText w:val="%1."/>
      <w:numFmt w:val="decimal"/>
      <w:start w:val="2"/>
    </w:lvl>
  </w:abstractNum>
  <w:abstractNum w:abstractNumId="207">
    <w:nsid w:val="66A48D11"/>
    <w:multiLevelType w:val="hybridMultilevel"/>
    <w:lvl w:ilvl="0">
      <w:lvlJc w:val="left"/>
      <w:lvlText w:val="%1."/>
      <w:numFmt w:val="decimal"/>
      <w:start w:val="4"/>
    </w:lvl>
  </w:abstractNum>
  <w:abstractNum w:abstractNumId="208">
    <w:nsid w:val="56C28E34"/>
    <w:multiLevelType w:val="hybridMultilevel"/>
    <w:lvl w:ilvl="0">
      <w:lvlJc w:val="left"/>
      <w:lvlText w:val="%1."/>
      <w:numFmt w:val="decimal"/>
      <w:start w:val="7"/>
    </w:lvl>
  </w:abstractNum>
  <w:abstractNum w:abstractNumId="209">
    <w:nsid w:val="13916F2D"/>
    <w:multiLevelType w:val="hybridMultilevel"/>
    <w:lvl w:ilvl="0">
      <w:lvlJc w:val="left"/>
      <w:lvlText w:val="%1."/>
      <w:numFmt w:val="decimal"/>
      <w:start w:val="9"/>
    </w:lvl>
  </w:abstractNum>
  <w:abstractNum w:abstractNumId="210">
    <w:nsid w:val="435D38D"/>
    <w:multiLevelType w:val="hybridMultilevel"/>
    <w:lvl w:ilvl="0">
      <w:lvlJc w:val="left"/>
      <w:lvlText w:val="%1."/>
      <w:numFmt w:val="decimal"/>
      <w:start w:val="11"/>
    </w:lvl>
  </w:abstractNum>
  <w:abstractNum w:abstractNumId="211">
    <w:nsid w:val="822C0EF"/>
    <w:multiLevelType w:val="hybridMultilevel"/>
    <w:lvl w:ilvl="0">
      <w:lvlJc w:val="left"/>
      <w:lvlText w:val="%1."/>
      <w:numFmt w:val="decimal"/>
      <w:start w:val="12"/>
    </w:lvl>
    <w:lvl w:ilvl="1">
      <w:lvlJc w:val="left"/>
      <w:lvlText w:val="(%2)"/>
      <w:numFmt w:val="lowerLetter"/>
      <w:start w:val="1"/>
    </w:lvl>
  </w:abstractNum>
  <w:abstractNum w:abstractNumId="212">
    <w:nsid w:val="57C5BB4F"/>
    <w:multiLevelType w:val="hybridMultilevel"/>
    <w:lvl w:ilvl="0">
      <w:lvlJc w:val="left"/>
      <w:lvlText w:val="(%1)"/>
      <w:numFmt w:val="lowerRoman"/>
      <w:start w:val="1"/>
    </w:lvl>
  </w:abstractNum>
  <w:abstractNum w:abstractNumId="213">
    <w:nsid w:val="1803D089"/>
    <w:multiLevelType w:val="hybridMultilevel"/>
    <w:lvl w:ilvl="0">
      <w:lvlJc w:val="left"/>
      <w:lvlText w:val="%1."/>
      <w:numFmt w:val="decimal"/>
      <w:start w:val="14"/>
    </w:lvl>
  </w:abstractNum>
  <w:abstractNum w:abstractNumId="214">
    <w:nsid w:val="4F3A06D4"/>
    <w:multiLevelType w:val="hybridMultilevel"/>
    <w:lvl w:ilvl="0">
      <w:lvlJc w:val="left"/>
      <w:lvlText w:val="%1."/>
      <w:numFmt w:val="decimal"/>
      <w:start w:val="16"/>
    </w:lvl>
    <w:lvl w:ilvl="1">
      <w:lvlJc w:val="left"/>
      <w:lvlText w:val="(%2)"/>
      <w:numFmt w:val="lowerLetter"/>
      <w:start w:val="1"/>
    </w:lvl>
  </w:abstractNum>
  <w:abstractNum w:abstractNumId="215">
    <w:nsid w:val="59A377B6"/>
    <w:multiLevelType w:val="hybridMultilevel"/>
    <w:lvl w:ilvl="0">
      <w:lvlJc w:val="left"/>
      <w:lvlText w:val="%1."/>
      <w:numFmt w:val="decimal"/>
      <w:start w:val="19"/>
    </w:lvl>
  </w:abstractNum>
  <w:abstractNum w:abstractNumId="216">
    <w:nsid w:val="48AEB063"/>
    <w:multiLevelType w:val="hybridMultilevel"/>
    <w:lvl w:ilvl="0">
      <w:lvlJc w:val="left"/>
      <w:lvlText w:val="%1."/>
      <w:numFmt w:val="decimal"/>
      <w:start w:val="22"/>
    </w:lvl>
  </w:abstractNum>
  <w:abstractNum w:abstractNumId="217">
    <w:nsid w:val="24E135"/>
    <w:multiLevelType w:val="hybridMultilevel"/>
    <w:lvl w:ilvl="0">
      <w:lvlJc w:val="left"/>
      <w:lvlText w:val="%1."/>
      <w:numFmt w:val="decimal"/>
      <w:start w:val="24"/>
    </w:lvl>
  </w:abstractNum>
  <w:abstractNum w:abstractNumId="218">
    <w:nsid w:val="BB13C1"/>
    <w:multiLevelType w:val="hybridMultilevel"/>
    <w:lvl w:ilvl="0">
      <w:lvlJc w:val="left"/>
      <w:lvlText w:val="%1."/>
      <w:numFmt w:val="decimal"/>
      <w:start w:val="25"/>
    </w:lvl>
  </w:abstractNum>
  <w:abstractNum w:abstractNumId="219">
    <w:nsid w:val="271210C7"/>
    <w:multiLevelType w:val="hybridMultilevel"/>
    <w:lvl w:ilvl="0">
      <w:lvlJc w:val="left"/>
      <w:lvlText w:val="%1."/>
      <w:numFmt w:val="decimal"/>
      <w:start w:val="27"/>
    </w:lvl>
  </w:abstractNum>
  <w:abstractNum w:abstractNumId="220">
    <w:nsid w:val="217B22E4"/>
    <w:multiLevelType w:val="hybridMultilevel"/>
    <w:lvl w:ilvl="0">
      <w:lvlJc w:val="left"/>
      <w:lvlText w:val="•"/>
      <w:numFmt w:val="bullet"/>
      <w:start w:val="1"/>
    </w:lvl>
  </w:abstractNum>
  <w:abstractNum w:abstractNumId="221">
    <w:nsid w:val="53E31A24"/>
    <w:multiLevelType w:val="hybridMultilevel"/>
    <w:lvl w:ilvl="0">
      <w:lvlJc w:val="left"/>
      <w:lvlText w:val="•"/>
      <w:numFmt w:val="bullet"/>
      <w:start w:val="1"/>
    </w:lvl>
  </w:abstractNum>
  <w:abstractNum w:abstractNumId="222">
    <w:nsid w:val="6DC45E83"/>
    <w:multiLevelType w:val="hybridMultilevel"/>
    <w:lvl w:ilvl="0">
      <w:lvlJc w:val="left"/>
      <w:lvlText w:val="%1."/>
      <w:numFmt w:val="decimal"/>
      <w:start w:val="1"/>
    </w:lvl>
  </w:abstractNum>
  <w:abstractNum w:abstractNumId="223">
    <w:nsid w:val="17304A67"/>
    <w:multiLevelType w:val="hybridMultilevel"/>
    <w:lvl w:ilvl="0">
      <w:lvlJc w:val="left"/>
      <w:lvlText w:val="%1."/>
      <w:numFmt w:val="decimal"/>
      <w:start w:val="2"/>
    </w:lvl>
  </w:abstractNum>
  <w:abstractNum w:abstractNumId="224">
    <w:nsid w:val="2BB180D8"/>
    <w:multiLevelType w:val="hybridMultilevel"/>
    <w:lvl w:ilvl="0">
      <w:lvlJc w:val="left"/>
      <w:lvlText w:val="%1."/>
      <w:numFmt w:val="decimal"/>
      <w:start w:val="3"/>
    </w:lvl>
  </w:abstractNum>
  <w:abstractNum w:abstractNumId="225">
    <w:nsid w:val="556B69ED"/>
    <w:multiLevelType w:val="hybridMultilevel"/>
    <w:lvl w:ilvl="0">
      <w:lvlJc w:val="left"/>
      <w:lvlText w:val="1"/>
      <w:numFmt w:val="bullet"/>
      <w:start w:val="1"/>
    </w:lvl>
  </w:abstractNum>
  <w:abstractNum w:abstractNumId="226">
    <w:nsid w:val="70836196"/>
    <w:multiLevelType w:val="hybridMultilevel"/>
    <w:lvl w:ilvl="0">
      <w:lvlJc w:val="left"/>
      <w:lvlText w:val="2"/>
      <w:numFmt w:val="bullet"/>
      <w:start w:val="1"/>
    </w:lvl>
  </w:abstractNum>
  <w:abstractNum w:abstractNumId="227">
    <w:nsid w:val="539F7F12"/>
    <w:multiLevelType w:val="hybridMultilevel"/>
    <w:lvl w:ilvl="0">
      <w:lvlJc w:val="left"/>
      <w:lvlText w:val="%1."/>
      <w:numFmt w:val="decimal"/>
      <w:start w:val="4"/>
    </w:lvl>
  </w:abstractNum>
  <w:abstractNum w:abstractNumId="228">
    <w:nsid w:val="2817E7EC"/>
    <w:multiLevelType w:val="hybridMultilevel"/>
    <w:lvl w:ilvl="0">
      <w:lvlJc w:val="left"/>
      <w:lvlText w:val="%1."/>
      <w:numFmt w:val="decimal"/>
      <w:start w:val="5"/>
    </w:lvl>
  </w:abstractNum>
  <w:abstractNum w:abstractNumId="229">
    <w:nsid w:val="71482545"/>
    <w:multiLevelType w:val="hybridMultilevel"/>
    <w:lvl w:ilvl="0">
      <w:lvlJc w:val="left"/>
      <w:lvlText w:val="(%1)"/>
      <w:numFmt w:val="lowerLetter"/>
      <w:start w:val="1"/>
    </w:lvl>
  </w:abstractNum>
  <w:abstractNum w:abstractNumId="230">
    <w:nsid w:val="17D78639"/>
    <w:multiLevelType w:val="hybridMultilevel"/>
    <w:lvl w:ilvl="0">
      <w:lvlJc w:val="left"/>
      <w:lvlText w:val="(%1)"/>
      <w:numFmt w:val="lowerLetter"/>
      <w:start w:val="2"/>
    </w:lvl>
  </w:abstractNum>
  <w:abstractNum w:abstractNumId="231">
    <w:nsid w:val="141D2302"/>
    <w:multiLevelType w:val="hybridMultilevel"/>
    <w:lvl w:ilvl="0">
      <w:lvlJc w:val="left"/>
      <w:lvlText w:val="(%1)"/>
      <w:numFmt w:val="lowerLetter"/>
      <w:start w:val="5"/>
    </w:lvl>
  </w:abstractNum>
  <w:abstractNum w:abstractNumId="232">
    <w:nsid w:val="407168D8"/>
    <w:multiLevelType w:val="hybridMultilevel"/>
    <w:lvl w:ilvl="0">
      <w:lvlJc w:val="left"/>
      <w:lvlText w:val="(%1)"/>
      <w:numFmt w:val="lowerLetter"/>
      <w:start w:val="1"/>
    </w:lvl>
  </w:abstractNum>
  <w:abstractNum w:abstractNumId="233">
    <w:nsid w:val="6A1B45E5"/>
    <w:multiLevelType w:val="hybridMultilevel"/>
    <w:lvl w:ilvl="0">
      <w:lvlJc w:val="left"/>
      <w:lvlText w:val="%1."/>
      <w:numFmt w:val="decimal"/>
      <w:start w:val="6"/>
    </w:lvl>
  </w:abstractNum>
  <w:abstractNum w:abstractNumId="234">
    <w:nsid w:val="567BD50A"/>
    <w:multiLevelType w:val="hybridMultilevel"/>
    <w:lvl w:ilvl="0">
      <w:lvlJc w:val="left"/>
      <w:lvlText w:val="(%1)"/>
      <w:numFmt w:val="lowerLetter"/>
      <w:start w:val="1"/>
    </w:lvl>
  </w:abstractNum>
  <w:abstractNum w:abstractNumId="235">
    <w:nsid w:val="73BBD7F8"/>
    <w:multiLevelType w:val="hybridMultilevel"/>
    <w:lvl w:ilvl="0">
      <w:lvlJc w:val="left"/>
      <w:lvlText w:val="%1."/>
      <w:numFmt w:val="decimal"/>
      <w:start w:val="7"/>
    </w:lvl>
  </w:abstractNum>
  <w:abstractNum w:abstractNumId="236">
    <w:nsid w:val="1876589D"/>
    <w:multiLevelType w:val="hybridMultilevel"/>
    <w:lvl w:ilvl="0">
      <w:lvlJc w:val="left"/>
      <w:lvlText w:val="%1."/>
      <w:numFmt w:val="decimal"/>
      <w:start w:val="10"/>
    </w:lvl>
  </w:abstractNum>
  <w:abstractNum w:abstractNumId="237">
    <w:nsid w:val="327FAC77"/>
    <w:multiLevelType w:val="hybridMultilevel"/>
    <w:lvl w:ilvl="0">
      <w:lvlJc w:val="left"/>
      <w:lvlText w:val="(%1)"/>
      <w:numFmt w:val="lowerLetter"/>
      <w:start w:val="1"/>
    </w:lvl>
  </w:abstractNum>
  <w:abstractNum w:abstractNumId="238">
    <w:nsid w:val="5A606509"/>
    <w:multiLevelType w:val="hybridMultilevel"/>
    <w:lvl w:ilvl="0">
      <w:lvlJc w:val="left"/>
      <w:lvlText w:val="(%1)"/>
      <w:numFmt w:val="lowerLetter"/>
      <w:start w:val="4"/>
    </w:lvl>
  </w:abstractNum>
  <w:abstractNum w:abstractNumId="239">
    <w:nsid w:val="6F38E6D1"/>
    <w:multiLevelType w:val="hybridMultilevel"/>
    <w:lvl w:ilvl="0">
      <w:lvlJc w:val="left"/>
      <w:lvlText w:val="%1."/>
      <w:numFmt w:val="decimal"/>
      <w:start w:val="11"/>
    </w:lvl>
  </w:abstractNum>
  <w:abstractNum w:abstractNumId="240">
    <w:nsid w:val="46111BA5"/>
    <w:multiLevelType w:val="hybridMultilevel"/>
    <w:lvl w:ilvl="0">
      <w:lvlJc w:val="left"/>
      <w:lvlText w:val="(%1)"/>
      <w:numFmt w:val="lowerLetter"/>
      <w:start w:val="1"/>
    </w:lvl>
    <w:lvl w:ilvl="1">
      <w:lvlJc w:val="left"/>
      <w:lvlText w:val="(%2)"/>
      <w:numFmt w:val="lowerRoman"/>
      <w:start w:val="1"/>
    </w:lvl>
  </w:abstractNum>
  <w:abstractNum w:abstractNumId="241">
    <w:nsid w:val="5E963896"/>
    <w:multiLevelType w:val="hybridMultilevel"/>
    <w:lvl w:ilvl="0">
      <w:lvlJc w:val="left"/>
      <w:lvlText w:val="%1"/>
      <w:numFmt w:val="decimal"/>
      <w:start w:val="1"/>
    </w:lvl>
    <w:lvl w:ilvl="1">
      <w:lvlJc w:val="left"/>
      <w:lvlText w:val="(%2)"/>
      <w:numFmt w:val="lowerLetter"/>
      <w:start w:val="5"/>
    </w:lvl>
  </w:abstractNum>
  <w:abstractNum w:abstractNumId="242">
    <w:nsid w:val="775BA7C1"/>
    <w:multiLevelType w:val="hybridMultilevel"/>
    <w:lvl w:ilvl="0">
      <w:lvlJc w:val="left"/>
      <w:lvlText w:val="%1."/>
      <w:numFmt w:val="decimal"/>
      <w:start w:val="12"/>
    </w:lvl>
    <w:lvl w:ilvl="1">
      <w:lvlJc w:val="left"/>
      <w:lvlText w:val="%2"/>
      <w:numFmt w:val="lowerLetter"/>
      <w:start w:val="1"/>
    </w:lvl>
  </w:abstractNum>
  <w:abstractNum w:abstractNumId="243">
    <w:nsid w:val="1DD6D6F4"/>
    <w:multiLevelType w:val="hybridMultilevel"/>
    <w:lvl w:ilvl="0">
      <w:lvlJc w:val="left"/>
      <w:lvlText w:val="%1."/>
      <w:numFmt w:val="decimal"/>
      <w:start w:val="16"/>
    </w:lvl>
  </w:abstractNum>
  <w:abstractNum w:abstractNumId="244">
    <w:nsid w:val="769A091F"/>
    <w:multiLevelType w:val="hybridMultilevel"/>
    <w:lvl w:ilvl="0">
      <w:lvlJc w:val="left"/>
      <w:lvlText w:val="%1."/>
      <w:numFmt w:val="decimal"/>
      <w:start w:val="17"/>
    </w:lvl>
  </w:abstractNum>
  <w:abstractNum w:abstractNumId="245">
    <w:nsid w:val="4695AE95"/>
    <w:multiLevelType w:val="hybridMultilevel"/>
    <w:lvl w:ilvl="0">
      <w:lvlJc w:val="left"/>
      <w:lvlText w:val="%1."/>
      <w:numFmt w:val="decimal"/>
      <w:start w:val="18"/>
    </w:lvl>
  </w:abstractNum>
  <w:abstractNum w:abstractNumId="246">
    <w:nsid w:val="777A4EAA"/>
    <w:multiLevelType w:val="hybridMultilevel"/>
    <w:lvl w:ilvl="0">
      <w:lvlJc w:val="left"/>
      <w:lvlText w:val="%1."/>
      <w:numFmt w:val="decimal"/>
      <w:start w:val="19"/>
    </w:lvl>
  </w:abstractNum>
  <w:abstractNum w:abstractNumId="247">
    <w:nsid w:val="3F48B982"/>
    <w:multiLevelType w:val="hybridMultilevel"/>
    <w:lvl w:ilvl="0">
      <w:lvlJc w:val="left"/>
      <w:lvlText w:val="%1."/>
      <w:numFmt w:val="decimal"/>
      <w:start w:val="20"/>
    </w:lvl>
  </w:abstractNum>
  <w:abstractNum w:abstractNumId="248">
    <w:nsid w:val="46BA8FCA"/>
    <w:multiLevelType w:val="hybridMultilevel"/>
    <w:lvl w:ilvl="0">
      <w:lvlJc w:val="left"/>
      <w:lvlText w:val="(%1)"/>
      <w:numFmt w:val="lowerLetter"/>
      <w:start w:val="3"/>
    </w:lvl>
  </w:abstractNum>
  <w:abstractNum w:abstractNumId="249">
    <w:nsid w:val="7835626C"/>
    <w:multiLevelType w:val="hybridMultilevel"/>
    <w:lvl w:ilvl="0">
      <w:lvlJc w:val="left"/>
      <w:lvlText w:val="(%1)"/>
      <w:numFmt w:val="lowerLetter"/>
      <w:start w:val="2"/>
    </w:lvl>
  </w:abstractNum>
  <w:abstractNum w:abstractNumId="250">
    <w:nsid w:val="665ACA49"/>
    <w:multiLevelType w:val="hybridMultilevel"/>
    <w:lvl w:ilvl="0">
      <w:lvlJc w:val="left"/>
      <w:lvlText w:val="(%1)"/>
      <w:numFmt w:val="decimal"/>
      <w:start w:val="185"/>
    </w:lvl>
  </w:abstractNum>
  <w:abstractNum w:abstractNumId="251">
    <w:nsid w:val="6835B2AE"/>
    <w:multiLevelType w:val="hybridMultilevel"/>
    <w:lvl w:ilvl="0">
      <w:lvlJc w:val="left"/>
      <w:lvlText w:val="%1."/>
      <w:numFmt w:val="decimal"/>
      <w:start w:val="2"/>
    </w:lvl>
  </w:abstractNum>
  <w:abstractNum w:abstractNumId="252">
    <w:nsid w:val="4C187C90"/>
    <w:multiLevelType w:val="hybridMultilevel"/>
    <w:lvl w:ilvl="0">
      <w:lvlJc w:val="left"/>
      <w:lvlText w:val="%1."/>
      <w:numFmt w:val="decimal"/>
      <w:start w:val="1"/>
    </w:lvl>
  </w:abstractNum>
  <w:abstractNum w:abstractNumId="253">
    <w:nsid w:val="541F28CD"/>
    <w:multiLevelType w:val="hybridMultilevel"/>
    <w:lvl w:ilvl="0">
      <w:lvlJc w:val="left"/>
      <w:lvlText w:val="(%1)"/>
      <w:numFmt w:val="lowerLetter"/>
      <w:start w:val="3"/>
    </w:lvl>
  </w:abstractNum>
  <w:abstractNum w:abstractNumId="254">
    <w:nsid w:val="7F65FD16"/>
    <w:multiLevelType w:val="hybridMultilevel"/>
    <w:lvl w:ilvl="0">
      <w:lvlJc w:val="left"/>
      <w:lvlText w:val="(%1)"/>
      <w:numFmt w:val="lowerLetter"/>
      <w:start w:val="2"/>
    </w:lvl>
  </w:abstractNum>
  <w:abstractNum w:abstractNumId="255">
    <w:nsid w:val="77C9FD68"/>
    <w:multiLevelType w:val="hybridMultilevel"/>
    <w:lvl w:ilvl="0">
      <w:lvlJc w:val="left"/>
      <w:lvlText w:val="(%1)"/>
      <w:numFmt w:val="lowerRoman"/>
      <w:start w:val="3"/>
    </w:lvl>
  </w:abstractNum>
  <w:abstractNum w:abstractNumId="256">
    <w:nsid w:val="298A92BA"/>
    <w:multiLevelType w:val="hybridMultilevel"/>
    <w:lvl w:ilvl="0">
      <w:lvlJc w:val="left"/>
      <w:lvlText w:val="(%1)"/>
      <w:numFmt w:val="decimal"/>
      <w:start w:val="185"/>
    </w:lvl>
  </w:abstractNum>
  <w:abstractNum w:abstractNumId="257">
    <w:nsid w:val="6FE95EAC"/>
    <w:multiLevelType w:val="hybridMultilevel"/>
    <w:lvl w:ilvl="0">
      <w:lvlJc w:val="left"/>
      <w:lvlText w:val="(%1)"/>
      <w:numFmt w:val="lowerRoman"/>
      <w:start w:val="3"/>
    </w:lvl>
  </w:abstractNum>
  <w:abstractNum w:abstractNumId="258">
    <w:nsid w:val="4B697C7A"/>
    <w:multiLevelType w:val="hybridMultilevel"/>
    <w:lvl w:ilvl="0">
      <w:lvlJc w:val="left"/>
      <w:lvlText w:val="(%1)"/>
      <w:numFmt w:val="lowerRoman"/>
      <w:start w:val="2"/>
    </w:lvl>
  </w:abstractNum>
  <w:abstractNum w:abstractNumId="259">
    <w:nsid w:val="51A27AA6"/>
    <w:multiLevelType w:val="hybridMultilevel"/>
    <w:lvl w:ilvl="0">
      <w:lvlJc w:val="left"/>
      <w:lvlText w:val="%1."/>
      <w:numFmt w:val="decimal"/>
      <w:start w:val="2"/>
    </w:lvl>
  </w:abstractNum>
  <w:abstractNum w:abstractNumId="260">
    <w:nsid w:val="613183F2"/>
    <w:multiLevelType w:val="hybridMultilevel"/>
    <w:lvl w:ilvl="0">
      <w:lvlJc w:val="left"/>
      <w:lvlText w:val="%1."/>
      <w:numFmt w:val="decimal"/>
      <w:start w:val="3"/>
    </w:lvl>
  </w:abstractNum>
  <w:abstractNum w:abstractNumId="261">
    <w:nsid w:val="634102B4"/>
    <w:multiLevelType w:val="hybridMultilevel"/>
    <w:lvl w:ilvl="0">
      <w:lvlJc w:val="left"/>
      <w:lvlText w:val="%1."/>
      <w:numFmt w:val="decimal"/>
      <w:start w:val="5"/>
    </w:lvl>
  </w:abstractNum>
  <w:abstractNum w:abstractNumId="262">
    <w:nsid w:val="65BF9DA8"/>
    <w:multiLevelType w:val="hybridMultilevel"/>
    <w:lvl w:ilvl="0">
      <w:lvlJc w:val="left"/>
      <w:lvlText w:val="%1."/>
      <w:numFmt w:val="decimal"/>
      <w:start w:val="6"/>
    </w:lvl>
  </w:abstractNum>
  <w:abstractNum w:abstractNumId="263">
    <w:nsid w:val="21A2ECCA"/>
    <w:multiLevelType w:val="hybridMultilevel"/>
    <w:lvl w:ilvl="0">
      <w:lvlJc w:val="left"/>
      <w:lvlText w:val="%1."/>
      <w:numFmt w:val="decimal"/>
      <w:start w:val="7"/>
    </w:lvl>
  </w:abstractNum>
  <w:abstractNum w:abstractNumId="264">
    <w:nsid w:val="4D5C4899"/>
    <w:multiLevelType w:val="hybridMultilevel"/>
    <w:lvl w:ilvl="0">
      <w:lvlJc w:val="left"/>
      <w:lvlText w:val="%1."/>
      <w:numFmt w:val="decimal"/>
      <w:start w:val="8"/>
    </w:lvl>
  </w:abstractNum>
  <w:abstractNum w:abstractNumId="265">
    <w:nsid w:val="3C3B72B2"/>
    <w:multiLevelType w:val="hybridMultilevel"/>
    <w:lvl w:ilvl="0">
      <w:lvlJc w:val="left"/>
      <w:lvlText w:val="%1."/>
      <w:numFmt w:val="decimal"/>
      <w:start w:val="9"/>
    </w:lvl>
  </w:abstractNum>
  <w:abstractNum w:abstractNumId="266">
    <w:nsid w:val="155EC4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60" Type="http://schemas.openxmlformats.org/officeDocument/2006/relationships/image" Target="media/image242.png"/><Relationship Id="rId275" Type="http://schemas.openxmlformats.org/officeDocument/2006/relationships/image" Target="media/image243.png"/><Relationship Id="rId290" Type="http://schemas.openxmlformats.org/officeDocument/2006/relationships/image" Target="media/image244.png"/><Relationship Id="rId301" Type="http://schemas.openxmlformats.org/officeDocument/2006/relationships/image" Target="media/image245.png"/><Relationship Id="rId322" Type="http://schemas.openxmlformats.org/officeDocument/2006/relationships/image" Target="media/image246.png"/><Relationship Id="rId340" Type="http://schemas.openxmlformats.org/officeDocument/2006/relationships/image" Target="media/image247.png"/><Relationship Id="rId352" Type="http://schemas.openxmlformats.org/officeDocument/2006/relationships/image" Target="media/image248.png"/><Relationship Id="rId355" Type="http://schemas.openxmlformats.org/officeDocument/2006/relationships/image" Target="media/image249.png"/><Relationship Id="rId356" Type="http://schemas.openxmlformats.org/officeDocument/2006/relationships/image" Target="media/image250.png"/><Relationship Id="rId357" Type="http://schemas.openxmlformats.org/officeDocument/2006/relationships/image" Target="media/image251.png"/><Relationship Id="rId358" Type="http://schemas.openxmlformats.org/officeDocument/2006/relationships/image" Target="media/image252.png"/><Relationship Id="rId359" Type="http://schemas.openxmlformats.org/officeDocument/2006/relationships/image" Target="media/image253.png"/><Relationship Id="rId360" Type="http://schemas.openxmlformats.org/officeDocument/2006/relationships/image" Target="media/image254.png"/><Relationship Id="rId361" Type="http://schemas.openxmlformats.org/officeDocument/2006/relationships/image" Target="media/image255.png"/><Relationship Id="rId362" Type="http://schemas.openxmlformats.org/officeDocument/2006/relationships/image" Target="media/image256.png"/><Relationship Id="rId363" Type="http://schemas.openxmlformats.org/officeDocument/2006/relationships/image" Target="media/image257.png"/><Relationship Id="rId364" Type="http://schemas.openxmlformats.org/officeDocument/2006/relationships/image" Target="media/image258.png"/><Relationship Id="rId365" Type="http://schemas.openxmlformats.org/officeDocument/2006/relationships/image" Target="media/image259.png"/><Relationship Id="rId366" Type="http://schemas.openxmlformats.org/officeDocument/2006/relationships/image" Target="media/image260.png"/><Relationship Id="rId367" Type="http://schemas.openxmlformats.org/officeDocument/2006/relationships/image" Target="media/image261.png"/><Relationship Id="rId368" Type="http://schemas.openxmlformats.org/officeDocument/2006/relationships/image" Target="media/image262.png"/><Relationship Id="rId369" Type="http://schemas.openxmlformats.org/officeDocument/2006/relationships/image" Target="media/image263.png"/><Relationship Id="rId370" Type="http://schemas.openxmlformats.org/officeDocument/2006/relationships/image" Target="media/image264.png"/><Relationship Id="rId371" Type="http://schemas.openxmlformats.org/officeDocument/2006/relationships/image" Target="media/image265.png"/><Relationship Id="rId372" Type="http://schemas.openxmlformats.org/officeDocument/2006/relationships/image" Target="media/image266.png"/><Relationship Id="rId373" Type="http://schemas.openxmlformats.org/officeDocument/2006/relationships/image" Target="media/image267.png"/><Relationship Id="rId374" Type="http://schemas.openxmlformats.org/officeDocument/2006/relationships/image" Target="media/image268.png"/><Relationship Id="rId375" Type="http://schemas.openxmlformats.org/officeDocument/2006/relationships/image" Target="media/image269.png"/><Relationship Id="rId376" Type="http://schemas.openxmlformats.org/officeDocument/2006/relationships/image" Target="media/image270.png"/><Relationship Id="rId377" Type="http://schemas.openxmlformats.org/officeDocument/2006/relationships/image" Target="media/image271.png"/><Relationship Id="rId378" Type="http://schemas.openxmlformats.org/officeDocument/2006/relationships/image" Target="media/image272.png"/><Relationship Id="rId379" Type="http://schemas.openxmlformats.org/officeDocument/2006/relationships/image" Target="media/image273.png"/><Relationship Id="rId380" Type="http://schemas.openxmlformats.org/officeDocument/2006/relationships/image" Target="media/image274.png"/><Relationship Id="rId381" Type="http://schemas.openxmlformats.org/officeDocument/2006/relationships/image" Target="media/image275.png"/><Relationship Id="rId382" Type="http://schemas.openxmlformats.org/officeDocument/2006/relationships/image" Target="media/image276.png"/><Relationship Id="rId383" Type="http://schemas.openxmlformats.org/officeDocument/2006/relationships/image" Target="media/image277.png"/><Relationship Id="rId384" Type="http://schemas.openxmlformats.org/officeDocument/2006/relationships/image" Target="media/image278.png"/><Relationship Id="rId385" Type="http://schemas.openxmlformats.org/officeDocument/2006/relationships/image" Target="media/image279.png"/><Relationship Id="rId386" Type="http://schemas.openxmlformats.org/officeDocument/2006/relationships/image" Target="media/image280.png"/><Relationship Id="rId387" Type="http://schemas.openxmlformats.org/officeDocument/2006/relationships/image" Target="media/image281.png"/><Relationship Id="rId388" Type="http://schemas.openxmlformats.org/officeDocument/2006/relationships/image" Target="media/image282.png"/><Relationship Id="rId389" Type="http://schemas.openxmlformats.org/officeDocument/2006/relationships/image" Target="media/image283.png"/><Relationship Id="rId390" Type="http://schemas.openxmlformats.org/officeDocument/2006/relationships/image" Target="media/image284.png"/><Relationship Id="rId391" Type="http://schemas.openxmlformats.org/officeDocument/2006/relationships/image" Target="media/image285.png"/><Relationship Id="rId392" Type="http://schemas.openxmlformats.org/officeDocument/2006/relationships/image" Target="media/image286.png"/><Relationship Id="rId393" Type="http://schemas.openxmlformats.org/officeDocument/2006/relationships/image" Target="media/image287.png"/><Relationship Id="rId394" Type="http://schemas.openxmlformats.org/officeDocument/2006/relationships/image" Target="media/image288.png"/><Relationship Id="rId395" Type="http://schemas.openxmlformats.org/officeDocument/2006/relationships/image" Target="media/image289.png"/><Relationship Id="rId396" Type="http://schemas.openxmlformats.org/officeDocument/2006/relationships/image" Target="media/image290.png"/><Relationship Id="rId397" Type="http://schemas.openxmlformats.org/officeDocument/2006/relationships/image" Target="media/image291.png"/><Relationship Id="rId398" Type="http://schemas.openxmlformats.org/officeDocument/2006/relationships/image" Target="media/image292.png"/><Relationship Id="rId399" Type="http://schemas.openxmlformats.org/officeDocument/2006/relationships/image" Target="media/image293.png"/><Relationship Id="rId400" Type="http://schemas.openxmlformats.org/officeDocument/2006/relationships/image" Target="media/image294.png"/><Relationship Id="rId401" Type="http://schemas.openxmlformats.org/officeDocument/2006/relationships/image" Target="media/image295.png"/><Relationship Id="rId402" Type="http://schemas.openxmlformats.org/officeDocument/2006/relationships/image" Target="media/image296.png"/><Relationship Id="rId403" Type="http://schemas.openxmlformats.org/officeDocument/2006/relationships/image" Target="media/image297.png"/><Relationship Id="rId404" Type="http://schemas.openxmlformats.org/officeDocument/2006/relationships/image" Target="media/image298.png"/><Relationship Id="rId405" Type="http://schemas.openxmlformats.org/officeDocument/2006/relationships/image" Target="media/image299.png"/><Relationship Id="rId406" Type="http://schemas.openxmlformats.org/officeDocument/2006/relationships/image" Target="media/image300.png"/><Relationship Id="rId407" Type="http://schemas.openxmlformats.org/officeDocument/2006/relationships/image" Target="media/image301.png"/><Relationship Id="rId408" Type="http://schemas.openxmlformats.org/officeDocument/2006/relationships/image" Target="media/image302.png"/><Relationship Id="rId409" Type="http://schemas.openxmlformats.org/officeDocument/2006/relationships/image" Target="media/image303.png"/><Relationship Id="rId410" Type="http://schemas.openxmlformats.org/officeDocument/2006/relationships/image" Target="media/image304.png"/><Relationship Id="rId411" Type="http://schemas.openxmlformats.org/officeDocument/2006/relationships/image" Target="media/image305.png"/><Relationship Id="rId412" Type="http://schemas.openxmlformats.org/officeDocument/2006/relationships/image" Target="media/image306.png"/><Relationship Id="rId413" Type="http://schemas.openxmlformats.org/officeDocument/2006/relationships/image" Target="media/image307.png"/><Relationship Id="rId414" Type="http://schemas.openxmlformats.org/officeDocument/2006/relationships/image" Target="media/image308.png"/><Relationship Id="rId415" Type="http://schemas.openxmlformats.org/officeDocument/2006/relationships/image" Target="media/image309.png"/><Relationship Id="rId416" Type="http://schemas.openxmlformats.org/officeDocument/2006/relationships/image" Target="media/image310.png"/><Relationship Id="rId417" Type="http://schemas.openxmlformats.org/officeDocument/2006/relationships/image" Target="media/image311.png"/><Relationship Id="rId418" Type="http://schemas.openxmlformats.org/officeDocument/2006/relationships/image" Target="media/image312.png"/><Relationship Id="rId419" Type="http://schemas.openxmlformats.org/officeDocument/2006/relationships/image" Target="media/image313.png"/><Relationship Id="rId420" Type="http://schemas.openxmlformats.org/officeDocument/2006/relationships/image" Target="media/image314.png"/><Relationship Id="rId421" Type="http://schemas.openxmlformats.org/officeDocument/2006/relationships/image" Target="media/image315.png"/><Relationship Id="rId422" Type="http://schemas.openxmlformats.org/officeDocument/2006/relationships/image" Target="media/image316.png"/><Relationship Id="rId423" Type="http://schemas.openxmlformats.org/officeDocument/2006/relationships/image" Target="media/image317.png"/><Relationship Id="rId424" Type="http://schemas.openxmlformats.org/officeDocument/2006/relationships/image" Target="media/image318.png"/><Relationship Id="rId425" Type="http://schemas.openxmlformats.org/officeDocument/2006/relationships/image" Target="media/image319.png"/><Relationship Id="rId426" Type="http://schemas.openxmlformats.org/officeDocument/2006/relationships/image" Target="media/image320.png"/><Relationship Id="rId427" Type="http://schemas.openxmlformats.org/officeDocument/2006/relationships/image" Target="media/image321.png"/><Relationship Id="rId428" Type="http://schemas.openxmlformats.org/officeDocument/2006/relationships/image" Target="media/image322.png"/><Relationship Id="rId429" Type="http://schemas.openxmlformats.org/officeDocument/2006/relationships/image" Target="media/image323.png"/><Relationship Id="rId430" Type="http://schemas.openxmlformats.org/officeDocument/2006/relationships/image" Target="media/image324.png"/><Relationship Id="rId431" Type="http://schemas.openxmlformats.org/officeDocument/2006/relationships/image" Target="media/image325.png"/><Relationship Id="rId432" Type="http://schemas.openxmlformats.org/officeDocument/2006/relationships/image" Target="media/image326.png"/><Relationship Id="rId433" Type="http://schemas.openxmlformats.org/officeDocument/2006/relationships/image" Target="media/image327.png"/><Relationship Id="rId434" Type="http://schemas.openxmlformats.org/officeDocument/2006/relationships/image" Target="media/image328.png"/><Relationship Id="rId435" Type="http://schemas.openxmlformats.org/officeDocument/2006/relationships/image" Target="media/image329.png"/><Relationship Id="rId436" Type="http://schemas.openxmlformats.org/officeDocument/2006/relationships/image" Target="media/image330.png"/><Relationship Id="rId437" Type="http://schemas.openxmlformats.org/officeDocument/2006/relationships/image" Target="media/image331.png"/><Relationship Id="rId438" Type="http://schemas.openxmlformats.org/officeDocument/2006/relationships/image" Target="media/image332.png"/><Relationship Id="rId439" Type="http://schemas.openxmlformats.org/officeDocument/2006/relationships/image" Target="media/image333.png"/><Relationship Id="rId440" Type="http://schemas.openxmlformats.org/officeDocument/2006/relationships/image" Target="media/image334.png"/><Relationship Id="rId441" Type="http://schemas.openxmlformats.org/officeDocument/2006/relationships/image" Target="media/image335.png"/><Relationship Id="rId442" Type="http://schemas.openxmlformats.org/officeDocument/2006/relationships/image" Target="media/image336.png"/><Relationship Id="rId443" Type="http://schemas.openxmlformats.org/officeDocument/2006/relationships/image" Target="media/image337.png"/><Relationship Id="rId444" Type="http://schemas.openxmlformats.org/officeDocument/2006/relationships/image" Target="media/image338.png"/><Relationship Id="rId445" Type="http://schemas.openxmlformats.org/officeDocument/2006/relationships/image" Target="media/image339.png"/><Relationship Id="rId446" Type="http://schemas.openxmlformats.org/officeDocument/2006/relationships/image" Target="media/image340.png"/><Relationship Id="rId447" Type="http://schemas.openxmlformats.org/officeDocument/2006/relationships/image" Target="media/image341.png"/><Relationship Id="rId448" Type="http://schemas.openxmlformats.org/officeDocument/2006/relationships/image" Target="media/image342.png"/><Relationship Id="rId449" Type="http://schemas.openxmlformats.org/officeDocument/2006/relationships/image" Target="media/image343.png"/><Relationship Id="rId450" Type="http://schemas.openxmlformats.org/officeDocument/2006/relationships/image" Target="media/image344.png"/><Relationship Id="rId451" Type="http://schemas.openxmlformats.org/officeDocument/2006/relationships/image" Target="media/image345.png"/><Relationship Id="rId452" Type="http://schemas.openxmlformats.org/officeDocument/2006/relationships/image" Target="media/image346.png"/><Relationship Id="rId453" Type="http://schemas.openxmlformats.org/officeDocument/2006/relationships/image" Target="media/image347.png"/><Relationship Id="rId454" Type="http://schemas.openxmlformats.org/officeDocument/2006/relationships/image" Target="media/image348.png"/><Relationship Id="rId455" Type="http://schemas.openxmlformats.org/officeDocument/2006/relationships/image" Target="media/image349.png"/><Relationship Id="rId456" Type="http://schemas.openxmlformats.org/officeDocument/2006/relationships/image" Target="media/image350.png"/><Relationship Id="rId457" Type="http://schemas.openxmlformats.org/officeDocument/2006/relationships/image" Target="media/image351.png"/><Relationship Id="rId458" Type="http://schemas.openxmlformats.org/officeDocument/2006/relationships/image" Target="media/image352.png"/><Relationship Id="rId459" Type="http://schemas.openxmlformats.org/officeDocument/2006/relationships/image" Target="media/image353.png"/><Relationship Id="rId460" Type="http://schemas.openxmlformats.org/officeDocument/2006/relationships/image" Target="media/image354.png"/><Relationship Id="rId461" Type="http://schemas.openxmlformats.org/officeDocument/2006/relationships/image" Target="media/image355.png"/><Relationship Id="rId462" Type="http://schemas.openxmlformats.org/officeDocument/2006/relationships/image" Target="media/image356.png"/><Relationship Id="rId463" Type="http://schemas.openxmlformats.org/officeDocument/2006/relationships/image" Target="media/image357.png"/><Relationship Id="rId464" Type="http://schemas.openxmlformats.org/officeDocument/2006/relationships/image" Target="media/image358.png"/><Relationship Id="rId465" Type="http://schemas.openxmlformats.org/officeDocument/2006/relationships/image" Target="media/image359.png"/><Relationship Id="rId466" Type="http://schemas.openxmlformats.org/officeDocument/2006/relationships/image" Target="media/image360.png"/><Relationship Id="rId467" Type="http://schemas.openxmlformats.org/officeDocument/2006/relationships/image" Target="media/image361.png"/><Relationship Id="rId468" Type="http://schemas.openxmlformats.org/officeDocument/2006/relationships/image" Target="media/image362.png"/><Relationship Id="rId469" Type="http://schemas.openxmlformats.org/officeDocument/2006/relationships/image" Target="media/image363.png"/><Relationship Id="rId470" Type="http://schemas.openxmlformats.org/officeDocument/2006/relationships/image" Target="media/image364.png"/><Relationship Id="rId471" Type="http://schemas.openxmlformats.org/officeDocument/2006/relationships/image" Target="media/image365.png"/><Relationship Id="rId472" Type="http://schemas.openxmlformats.org/officeDocument/2006/relationships/image" Target="media/image366.png"/><Relationship Id="rId473" Type="http://schemas.openxmlformats.org/officeDocument/2006/relationships/image" Target="media/image367.png"/><Relationship Id="rId474" Type="http://schemas.openxmlformats.org/officeDocument/2006/relationships/image" Target="media/image368.png"/><Relationship Id="rId475" Type="http://schemas.openxmlformats.org/officeDocument/2006/relationships/image" Target="media/image369.png"/><Relationship Id="rId476" Type="http://schemas.openxmlformats.org/officeDocument/2006/relationships/image" Target="media/image370.png"/><Relationship Id="rId477" Type="http://schemas.openxmlformats.org/officeDocument/2006/relationships/image" Target="media/image371.png"/><Relationship Id="rId478" Type="http://schemas.openxmlformats.org/officeDocument/2006/relationships/image" Target="media/image372.png"/><Relationship Id="rId479" Type="http://schemas.openxmlformats.org/officeDocument/2006/relationships/image" Target="media/image373.png"/><Relationship Id="rId480" Type="http://schemas.openxmlformats.org/officeDocument/2006/relationships/image" Target="media/image374.png"/><Relationship Id="rId481" Type="http://schemas.openxmlformats.org/officeDocument/2006/relationships/image" Target="media/image375.png"/><Relationship Id="rId482" Type="http://schemas.openxmlformats.org/officeDocument/2006/relationships/image" Target="media/image376.png"/><Relationship Id="rId483" Type="http://schemas.openxmlformats.org/officeDocument/2006/relationships/image" Target="media/image377.png"/><Relationship Id="rId484" Type="http://schemas.openxmlformats.org/officeDocument/2006/relationships/image" Target="media/image378.png"/><Relationship Id="rId485" Type="http://schemas.openxmlformats.org/officeDocument/2006/relationships/image" Target="media/image379.png"/><Relationship Id="rId486" Type="http://schemas.openxmlformats.org/officeDocument/2006/relationships/image" Target="media/image380.png"/><Relationship Id="rId487" Type="http://schemas.openxmlformats.org/officeDocument/2006/relationships/image" Target="media/image381.png"/><Relationship Id="rId488" Type="http://schemas.openxmlformats.org/officeDocument/2006/relationships/image" Target="media/image382.png"/><Relationship Id="rId489" Type="http://schemas.openxmlformats.org/officeDocument/2006/relationships/image" Target="media/image383.png"/><Relationship Id="rId490" Type="http://schemas.openxmlformats.org/officeDocument/2006/relationships/image" Target="media/image384.png"/><Relationship Id="rId491" Type="http://schemas.openxmlformats.org/officeDocument/2006/relationships/image" Target="media/image385.png"/><Relationship Id="rId492" Type="http://schemas.openxmlformats.org/officeDocument/2006/relationships/image" Target="media/image386.png"/><Relationship Id="rId493" Type="http://schemas.openxmlformats.org/officeDocument/2006/relationships/image" Target="media/image387.png"/><Relationship Id="rId494" Type="http://schemas.openxmlformats.org/officeDocument/2006/relationships/image" Target="media/image388.png"/><Relationship Id="rId495" Type="http://schemas.openxmlformats.org/officeDocument/2006/relationships/image" Target="media/image389.png"/><Relationship Id="rId496" Type="http://schemas.openxmlformats.org/officeDocument/2006/relationships/image" Target="media/image390.png"/><Relationship Id="rId497" Type="http://schemas.openxmlformats.org/officeDocument/2006/relationships/image" Target="media/image391.png"/><Relationship Id="rId498" Type="http://schemas.openxmlformats.org/officeDocument/2006/relationships/image" Target="media/image392.png"/><Relationship Id="rId499" Type="http://schemas.openxmlformats.org/officeDocument/2006/relationships/image" Target="media/image393.png"/><Relationship Id="rId500" Type="http://schemas.openxmlformats.org/officeDocument/2006/relationships/image" Target="media/image394.png"/><Relationship Id="rId501" Type="http://schemas.openxmlformats.org/officeDocument/2006/relationships/image" Target="media/image395.png"/><Relationship Id="rId502" Type="http://schemas.openxmlformats.org/officeDocument/2006/relationships/image" Target="media/image396.png"/><Relationship Id="rId503" Type="http://schemas.openxmlformats.org/officeDocument/2006/relationships/image" Target="media/image397.png"/><Relationship Id="rId504" Type="http://schemas.openxmlformats.org/officeDocument/2006/relationships/image" Target="media/image398.png"/><Relationship Id="rId505" Type="http://schemas.openxmlformats.org/officeDocument/2006/relationships/image" Target="media/image399.png"/><Relationship Id="rId506" Type="http://schemas.openxmlformats.org/officeDocument/2006/relationships/image" Target="media/image400.png"/><Relationship Id="rId507" Type="http://schemas.openxmlformats.org/officeDocument/2006/relationships/image" Target="media/image401.png"/><Relationship Id="rId508" Type="http://schemas.openxmlformats.org/officeDocument/2006/relationships/image" Target="media/image402.png"/><Relationship Id="rId509" Type="http://schemas.openxmlformats.org/officeDocument/2006/relationships/image" Target="media/image403.png"/><Relationship Id="rId510" Type="http://schemas.openxmlformats.org/officeDocument/2006/relationships/image" Target="media/image404.png"/><Relationship Id="rId511" Type="http://schemas.openxmlformats.org/officeDocument/2006/relationships/image" Target="media/image405.png"/><Relationship Id="rId512" Type="http://schemas.openxmlformats.org/officeDocument/2006/relationships/image" Target="media/image406.png"/><Relationship Id="rId513" Type="http://schemas.openxmlformats.org/officeDocument/2006/relationships/image" Target="media/image407.png"/><Relationship Id="rId514" Type="http://schemas.openxmlformats.org/officeDocument/2006/relationships/image" Target="media/image408.png"/><Relationship Id="rId515" Type="http://schemas.openxmlformats.org/officeDocument/2006/relationships/image" Target="media/image409.png"/><Relationship Id="rId516" Type="http://schemas.openxmlformats.org/officeDocument/2006/relationships/image" Target="media/image410.png"/><Relationship Id="rId517" Type="http://schemas.openxmlformats.org/officeDocument/2006/relationships/image" Target="media/image411.png"/><Relationship Id="rId518" Type="http://schemas.openxmlformats.org/officeDocument/2006/relationships/image" Target="media/image412.png"/><Relationship Id="rId519" Type="http://schemas.openxmlformats.org/officeDocument/2006/relationships/image" Target="media/image413.png"/><Relationship Id="rId520" Type="http://schemas.openxmlformats.org/officeDocument/2006/relationships/image" Target="media/image414.png"/><Relationship Id="rId521" Type="http://schemas.openxmlformats.org/officeDocument/2006/relationships/image" Target="media/image415.png"/><Relationship Id="rId522" Type="http://schemas.openxmlformats.org/officeDocument/2006/relationships/image" Target="media/image416.png"/><Relationship Id="rId523" Type="http://schemas.openxmlformats.org/officeDocument/2006/relationships/image" Target="media/image417.png"/><Relationship Id="rId524" Type="http://schemas.openxmlformats.org/officeDocument/2006/relationships/image" Target="media/image418.png"/><Relationship Id="rId525" Type="http://schemas.openxmlformats.org/officeDocument/2006/relationships/image" Target="media/image419.png"/><Relationship Id="rId526" Type="http://schemas.openxmlformats.org/officeDocument/2006/relationships/image" Target="media/image420.png"/><Relationship Id="rId527" Type="http://schemas.openxmlformats.org/officeDocument/2006/relationships/image" Target="media/image421.png"/><Relationship Id="rId528" Type="http://schemas.openxmlformats.org/officeDocument/2006/relationships/image" Target="media/image422.png"/><Relationship Id="rId529" Type="http://schemas.openxmlformats.org/officeDocument/2006/relationships/image" Target="media/image423.png"/><Relationship Id="rId530" Type="http://schemas.openxmlformats.org/officeDocument/2006/relationships/image" Target="media/image424.png"/><Relationship Id="rId531" Type="http://schemas.openxmlformats.org/officeDocument/2006/relationships/image" Target="media/image425.png"/><Relationship Id="rId532" Type="http://schemas.openxmlformats.org/officeDocument/2006/relationships/image" Target="media/image426.png"/><Relationship Id="rId533" Type="http://schemas.openxmlformats.org/officeDocument/2006/relationships/image" Target="media/image427.png"/><Relationship Id="rId534" Type="http://schemas.openxmlformats.org/officeDocument/2006/relationships/image" Target="media/image428.png"/><Relationship Id="rId535" Type="http://schemas.openxmlformats.org/officeDocument/2006/relationships/image" Target="media/image429.png"/><Relationship Id="rId536" Type="http://schemas.openxmlformats.org/officeDocument/2006/relationships/image" Target="media/image430.png"/><Relationship Id="rId537" Type="http://schemas.openxmlformats.org/officeDocument/2006/relationships/image" Target="media/image431.png"/><Relationship Id="rId538" Type="http://schemas.openxmlformats.org/officeDocument/2006/relationships/image" Target="media/image432.png"/><Relationship Id="rId539" Type="http://schemas.openxmlformats.org/officeDocument/2006/relationships/image" Target="media/image433.png"/><Relationship Id="rId540" Type="http://schemas.openxmlformats.org/officeDocument/2006/relationships/image" Target="media/image434.png"/><Relationship Id="rId541" Type="http://schemas.openxmlformats.org/officeDocument/2006/relationships/image" Target="media/image435.png"/><Relationship Id="rId542" Type="http://schemas.openxmlformats.org/officeDocument/2006/relationships/image" Target="media/image436.png"/><Relationship Id="rId543" Type="http://schemas.openxmlformats.org/officeDocument/2006/relationships/image" Target="media/image437.png"/><Relationship Id="rId544" Type="http://schemas.openxmlformats.org/officeDocument/2006/relationships/image" Target="media/image438.png"/><Relationship Id="rId545" Type="http://schemas.openxmlformats.org/officeDocument/2006/relationships/image" Target="media/image439.png"/><Relationship Id="rId546" Type="http://schemas.openxmlformats.org/officeDocument/2006/relationships/image" Target="media/image440.png"/><Relationship Id="rId547" Type="http://schemas.openxmlformats.org/officeDocument/2006/relationships/image" Target="media/image441.png"/><Relationship Id="rId548" Type="http://schemas.openxmlformats.org/officeDocument/2006/relationships/image" Target="media/image442.png"/><Relationship Id="rId549" Type="http://schemas.openxmlformats.org/officeDocument/2006/relationships/image" Target="media/image443.png"/><Relationship Id="rId550" Type="http://schemas.openxmlformats.org/officeDocument/2006/relationships/image" Target="media/image444.png"/><Relationship Id="rId551" Type="http://schemas.openxmlformats.org/officeDocument/2006/relationships/image" Target="media/image445.png"/><Relationship Id="rId552" Type="http://schemas.openxmlformats.org/officeDocument/2006/relationships/image" Target="media/image446.png"/><Relationship Id="rId553" Type="http://schemas.openxmlformats.org/officeDocument/2006/relationships/image" Target="media/image447.png"/><Relationship Id="rId554" Type="http://schemas.openxmlformats.org/officeDocument/2006/relationships/image" Target="media/image448.png"/><Relationship Id="rId555" Type="http://schemas.openxmlformats.org/officeDocument/2006/relationships/image" Target="media/image449.png"/><Relationship Id="rId556" Type="http://schemas.openxmlformats.org/officeDocument/2006/relationships/image" Target="media/image450.png"/><Relationship Id="rId557" Type="http://schemas.openxmlformats.org/officeDocument/2006/relationships/image" Target="media/image451.png"/><Relationship Id="rId558" Type="http://schemas.openxmlformats.org/officeDocument/2006/relationships/image" Target="media/image452.png"/><Relationship Id="rId559" Type="http://schemas.openxmlformats.org/officeDocument/2006/relationships/image" Target="media/image453.png"/><Relationship Id="rId560" Type="http://schemas.openxmlformats.org/officeDocument/2006/relationships/image" Target="media/image454.png"/><Relationship Id="rId561" Type="http://schemas.openxmlformats.org/officeDocument/2006/relationships/image" Target="media/image455.png"/><Relationship Id="rId562" Type="http://schemas.openxmlformats.org/officeDocument/2006/relationships/image" Target="media/image456.png"/><Relationship Id="rId563" Type="http://schemas.openxmlformats.org/officeDocument/2006/relationships/image" Target="media/image457.png"/><Relationship Id="rId564" Type="http://schemas.openxmlformats.org/officeDocument/2006/relationships/image" Target="media/image458.png"/><Relationship Id="rId565" Type="http://schemas.openxmlformats.org/officeDocument/2006/relationships/image" Target="media/image459.png"/><Relationship Id="rId566" Type="http://schemas.openxmlformats.org/officeDocument/2006/relationships/image" Target="media/image460.png"/><Relationship Id="rId567" Type="http://schemas.openxmlformats.org/officeDocument/2006/relationships/image" Target="media/image461.png"/><Relationship Id="rId568" Type="http://schemas.openxmlformats.org/officeDocument/2006/relationships/image" Target="media/image462.png"/><Relationship Id="rId569" Type="http://schemas.openxmlformats.org/officeDocument/2006/relationships/image" Target="media/image463.png"/><Relationship Id="rId570" Type="http://schemas.openxmlformats.org/officeDocument/2006/relationships/image" Target="media/image464.png"/><Relationship Id="rId571" Type="http://schemas.openxmlformats.org/officeDocument/2006/relationships/image" Target="media/image465.png"/><Relationship Id="rId572" Type="http://schemas.openxmlformats.org/officeDocument/2006/relationships/image" Target="media/image466.png"/><Relationship Id="rId573" Type="http://schemas.openxmlformats.org/officeDocument/2006/relationships/image" Target="media/image467.png"/><Relationship Id="rId574" Type="http://schemas.openxmlformats.org/officeDocument/2006/relationships/image" Target="media/image468.png"/><Relationship Id="rId575" Type="http://schemas.openxmlformats.org/officeDocument/2006/relationships/image" Target="media/image469.png"/><Relationship Id="rId576" Type="http://schemas.openxmlformats.org/officeDocument/2006/relationships/image" Target="media/image470.png"/><Relationship Id="rId577" Type="http://schemas.openxmlformats.org/officeDocument/2006/relationships/image" Target="media/image471.png"/><Relationship Id="rId578" Type="http://schemas.openxmlformats.org/officeDocument/2006/relationships/image" Target="media/image472.png"/><Relationship Id="rId579" Type="http://schemas.openxmlformats.org/officeDocument/2006/relationships/image" Target="media/image473.png"/><Relationship Id="rId580" Type="http://schemas.openxmlformats.org/officeDocument/2006/relationships/image" Target="media/image474.png"/><Relationship Id="rId581" Type="http://schemas.openxmlformats.org/officeDocument/2006/relationships/image" Target="media/image475.png"/><Relationship Id="rId249" Type="http://schemas.openxmlformats.org/officeDocument/2006/relationships/hyperlink" Target="http://www.sec.gov/Archives/edgar/data/1847127/000119312522182018/d371785dex41.htm" TargetMode="External"/><Relationship Id="rId250" Type="http://schemas.openxmlformats.org/officeDocument/2006/relationships/hyperlink" Target="http://www.sec.gov/Archives/edgar/data/1472033/000119380522000466/e621422_ex99-a.htm" TargetMode="External"/><Relationship Id="rId251" Type="http://schemas.openxmlformats.org/officeDocument/2006/relationships/hyperlink" Target="http://www.sec.gov/Archives/edgar/data/1884082/000119312522085479/d239003dex42.htm" TargetMode="External"/><Relationship Id="rId252" Type="http://schemas.openxmlformats.org/officeDocument/2006/relationships/hyperlink" Target="http://www.sec.gov/Archives/edgar/data/1884082/000119312522085479/d239003dex44.htm" TargetMode="External"/><Relationship Id="rId253" Type="http://schemas.openxmlformats.org/officeDocument/2006/relationships/hyperlink" Target="http://www.sec.gov/Archives/edgar/data/1884082/000119312522085479/d239003dex46.htm" TargetMode="External"/><Relationship Id="rId254" Type="http://schemas.openxmlformats.org/officeDocument/2006/relationships/hyperlink" Target="http://www.sec.gov/Archives/edgar/data/0001884082/000119312522066540/d239003df4a.htm#tx239003_503" TargetMode="External"/><Relationship Id="rId255" Type="http://schemas.openxmlformats.org/officeDocument/2006/relationships/hyperlink" Target="http://www.sec.gov/Archives/edgar/data/1884082/000119312522156731/d239003df4a.htm#tx239003_503a" TargetMode="External"/><Relationship Id="rId256" Type="http://schemas.openxmlformats.org/officeDocument/2006/relationships/hyperlink" Target="http://www.sec.gov/Archives/edgar/data/1884082/000119312522066540/d239003df4a.htm#tx239003_503" TargetMode="External"/><Relationship Id="rId257" Type="http://schemas.openxmlformats.org/officeDocument/2006/relationships/hyperlink" Target="http://www.sec.gov/Archives/edgar/data/1884082/000119312522156731/d239003df4a.htm#tx239003_501" TargetMode="External"/><Relationship Id="rId258" Type="http://schemas.openxmlformats.org/officeDocument/2006/relationships/hyperlink" Target="http://www.sec.gov/Archives/edgar/data/1884082/000119312522156731/d239003df4a.htm#tx239003_601" TargetMode="External"/><Relationship Id="rId259" Type="http://schemas.openxmlformats.org/officeDocument/2006/relationships/hyperlink" Target="http://www.sec.gov/Archives/edgar/data/1884082/000119312522156731/d239003df4a.htm#tx239003_611" TargetMode="External"/><Relationship Id="rId261" Type="http://schemas.openxmlformats.org/officeDocument/2006/relationships/hyperlink" Target="http://www.sec.gov/Archives/edgar/data/1884082/000119312522156731/d239003df4a.htm#tx239003_1b" TargetMode="External"/><Relationship Id="rId262" Type="http://schemas.openxmlformats.org/officeDocument/2006/relationships/hyperlink" Target="http://www.sec.gov/Archives/edgar/data/1884082/000119312522156731/d239003df4a.htm#tx239003_506" TargetMode="External"/><Relationship Id="rId263" Type="http://schemas.openxmlformats.org/officeDocument/2006/relationships/hyperlink" Target="http://www.sec.gov/Archives/edgar/data/0001884082/000119312522066540/d239003df4a.htm#tx239003_510" TargetMode="External"/><Relationship Id="rId264" Type="http://schemas.openxmlformats.org/officeDocument/2006/relationships/hyperlink" Target="http://www.sec.gov/Archives/edgar/data/0001884082/000119312522066540/d239003df4a.htm#tx239003_509" TargetMode="External"/><Relationship Id="rId265" Type="http://schemas.openxmlformats.org/officeDocument/2006/relationships/hyperlink" Target="http://www.sec.gov/Archives/edgar/data/0001884082/000119312522066540/d239003df4a.htm#tx239003_507" TargetMode="External"/><Relationship Id="rId266" Type="http://schemas.openxmlformats.org/officeDocument/2006/relationships/hyperlink" Target="http://www.sec.gov/Archives/edgar/data/0001884082/000119312522023680/d239003dex105.htm" TargetMode="External"/><Relationship Id="rId267" Type="http://schemas.openxmlformats.org/officeDocument/2006/relationships/hyperlink" Target="http://www.sec.gov/Archives/edgar/data/0001884082/000119312522066540/d239003df4a.htm#tx239003_58" TargetMode="External"/><Relationship Id="rId268" Type="http://schemas.openxmlformats.org/officeDocument/2006/relationships/hyperlink" Target="http://www.sec.gov/Archives/edgar/data/0001884082/000119312522023680/d239003dex108.htm" TargetMode="External"/><Relationship Id="rId269" Type="http://schemas.openxmlformats.org/officeDocument/2006/relationships/hyperlink" Target="http://www.sec.gov/Archives/edgar/data/0001884082/000119312522023680/d239003dex109.htm" TargetMode="External"/><Relationship Id="rId270" Type="http://schemas.openxmlformats.org/officeDocument/2006/relationships/hyperlink" Target="http://www.sec.gov/Archives/edgar/data/1884082/000119312522066540/d239003dex1010.htm" TargetMode="External"/><Relationship Id="rId271" Type="http://schemas.openxmlformats.org/officeDocument/2006/relationships/hyperlink" Target="http://www.sec.gov/Archives/edgar/data/0001884082/000119312522023680/d239003dex1011.htm" TargetMode="External"/><Relationship Id="rId272" Type="http://schemas.openxmlformats.org/officeDocument/2006/relationships/hyperlink" Target="http://www.sec.gov/Archives/edgar/data/0001884082/000119312522023680/d239003dex1012.htm" TargetMode="External"/><Relationship Id="rId273" Type="http://schemas.openxmlformats.org/officeDocument/2006/relationships/hyperlink" Target="http://www.sec.gov/Archives/edgar/data/0001884082/000119312522023680/d239003dex1013.htm" TargetMode="External"/><Relationship Id="rId274" Type="http://schemas.openxmlformats.org/officeDocument/2006/relationships/hyperlink" Target="http://www.sec.gov/Archives/edgar/data/0001884082/000119312522023680/d239003dex1014.htm" TargetMode="External"/><Relationship Id="rId276" Type="http://schemas.openxmlformats.org/officeDocument/2006/relationships/hyperlink" Target="http://www.sec.gov/Archives/edgar/data/0001884082/000119312522023680/d239003dex1015.htm" TargetMode="External"/><Relationship Id="rId277" Type="http://schemas.openxmlformats.org/officeDocument/2006/relationships/hyperlink" Target="http://www.sec.gov/Archives/edgar/data/0001884082/000119312522023680/d239003dex1016.htm" TargetMode="External"/><Relationship Id="rId278" Type="http://schemas.openxmlformats.org/officeDocument/2006/relationships/hyperlink" Target="http://www.sec.gov/Archives/edgar/data/1884082/000119312522066540/d239003dex1017.htm" TargetMode="External"/><Relationship Id="rId279" Type="http://schemas.openxmlformats.org/officeDocument/2006/relationships/hyperlink" Target="http://www.sec.gov/Archives/edgar/data/0001884082/000119312522023680/d239003dex1018.htm" TargetMode="External"/><Relationship Id="rId280" Type="http://schemas.openxmlformats.org/officeDocument/2006/relationships/hyperlink" Target="http://www.sec.gov/Archives/edgar/data/0001884082/000119312522023680/d239003dex1019.htm" TargetMode="External"/><Relationship Id="rId281" Type="http://schemas.openxmlformats.org/officeDocument/2006/relationships/hyperlink" Target="http://www.sec.gov/Archives/edgar/data/0001884082/000119312522023680/d239003dex1020.htm" TargetMode="External"/><Relationship Id="rId282" Type="http://schemas.openxmlformats.org/officeDocument/2006/relationships/hyperlink" Target="http://www.sec.gov/Archives/edgar/data/0001884082/000119312522023680/d239003dex1021.htm" TargetMode="External"/><Relationship Id="rId283" Type="http://schemas.openxmlformats.org/officeDocument/2006/relationships/hyperlink" Target="http://www.sec.gov/Archives/edgar/data/0001884082/000119312522023680/d239003dex1022.htm" TargetMode="External"/><Relationship Id="rId284" Type="http://schemas.openxmlformats.org/officeDocument/2006/relationships/hyperlink" Target="http://www.sec.gov/Archives/edgar/data/0001884082/000119312522023680/d239003dex1023.htm" TargetMode="External"/><Relationship Id="rId285" Type="http://schemas.openxmlformats.org/officeDocument/2006/relationships/hyperlink" Target="http://www.sec.gov/Archives/edgar/data/1884082/000119312522066540/d239003dex1024.htm" TargetMode="External"/><Relationship Id="rId286" Type="http://schemas.openxmlformats.org/officeDocument/2006/relationships/hyperlink" Target="http://www.sec.gov/Archives/edgar/data/0001884082/000119312522023680/d239003dex1025.htm" TargetMode="External"/><Relationship Id="rId287" Type="http://schemas.openxmlformats.org/officeDocument/2006/relationships/hyperlink" Target="http://www.sec.gov/Archives/edgar/data/0001884082/000119312522023680/d239003dex1026.htm" TargetMode="External"/><Relationship Id="rId288" Type="http://schemas.openxmlformats.org/officeDocument/2006/relationships/hyperlink" Target="http://www.sec.gov/Archives/edgar/data/0001884082/000119312522023680/d239003dex1027.htm" TargetMode="External"/><Relationship Id="rId289" Type="http://schemas.openxmlformats.org/officeDocument/2006/relationships/hyperlink" Target="http://www.sec.gov/Archives/edgar/data/0001884082/000119312522023680/d239003dex1028.htm" TargetMode="External"/><Relationship Id="rId291" Type="http://schemas.openxmlformats.org/officeDocument/2006/relationships/hyperlink" Target="http://www.sec.gov/Archives/edgar/data/1884082/000119312522066540/d239003dex1029.htm" TargetMode="External"/><Relationship Id="rId292" Type="http://schemas.openxmlformats.org/officeDocument/2006/relationships/hyperlink" Target="http://www.sec.gov/Archives/edgar/data/1884082/000119312522066540/d239003dex1030.htm" TargetMode="External"/><Relationship Id="rId293" Type="http://schemas.openxmlformats.org/officeDocument/2006/relationships/hyperlink" Target="http://www.sec.gov/Archives/edgar/data/0001884082/000119312522023680/d239003dex1031.htm" TargetMode="External"/><Relationship Id="rId294" Type="http://schemas.openxmlformats.org/officeDocument/2006/relationships/hyperlink" Target="http://www.sec.gov/Archives/edgar/data/0001884082/000119312522023680/d239003dex1032.htm" TargetMode="External"/><Relationship Id="rId295" Type="http://schemas.openxmlformats.org/officeDocument/2006/relationships/hyperlink" Target="http://www.sec.gov/Archives/edgar/data/0001884082/000119312522023680/d239003dex1033.htm" TargetMode="External"/><Relationship Id="rId296" Type="http://schemas.openxmlformats.org/officeDocument/2006/relationships/hyperlink" Target="http://www.sec.gov/Archives/edgar/data/0001884082/000119312522023680/d239003dex1034.htm" TargetMode="External"/><Relationship Id="rId297" Type="http://schemas.openxmlformats.org/officeDocument/2006/relationships/hyperlink" Target="http://www.sec.gov/Archives/edgar/data/0001884082/000119312522023680/d239003dex1035.htm" TargetMode="External"/><Relationship Id="rId298" Type="http://schemas.openxmlformats.org/officeDocument/2006/relationships/hyperlink" Target="http://www.sec.gov/Archives/edgar/data/0001884082/000119312522023680/d239003dex1036.htm" TargetMode="External"/><Relationship Id="rId299" Type="http://schemas.openxmlformats.org/officeDocument/2006/relationships/hyperlink" Target="http://www.sec.gov/Archives/edgar/data/0001884082/000119312522023680/d239003dex1037.htm" TargetMode="External"/><Relationship Id="rId300" Type="http://schemas.openxmlformats.org/officeDocument/2006/relationships/hyperlink" Target="http://www.sec.gov/Archives/edgar/data/0001884082/000119312522023680/d239003dex1038.htm" TargetMode="External"/><Relationship Id="rId302" Type="http://schemas.openxmlformats.org/officeDocument/2006/relationships/hyperlink" Target="http://www.sec.gov/Archives/edgar/data/0001884082/000119312522023680/d239003dex1039.htm" TargetMode="External"/><Relationship Id="rId303" Type="http://schemas.openxmlformats.org/officeDocument/2006/relationships/hyperlink" Target="http://www.sec.gov/Archives/edgar/data/0001884082/000119312522023680/d239003dex1040.htm" TargetMode="External"/><Relationship Id="rId304" Type="http://schemas.openxmlformats.org/officeDocument/2006/relationships/hyperlink" Target="http://www.sec.gov/Archives/edgar/data/0001884082/000119312522023680/d239003dex1041.htm" TargetMode="External"/><Relationship Id="rId305" Type="http://schemas.openxmlformats.org/officeDocument/2006/relationships/hyperlink" Target="http://www.sec.gov/Archives/edgar/data/0001884082/000119312522023680/d239003dex1042.htm" TargetMode="External"/><Relationship Id="rId306" Type="http://schemas.openxmlformats.org/officeDocument/2006/relationships/hyperlink" Target="http://www.sec.gov/Archives/edgar/data/0001884082/000119312522023680/d239003dex1043.htm" TargetMode="External"/><Relationship Id="rId307" Type="http://schemas.openxmlformats.org/officeDocument/2006/relationships/hyperlink" Target="http://www.sec.gov/Archives/edgar/data/0001884082/000119312522023680/d239003dex1044.htm" TargetMode="External"/><Relationship Id="rId308" Type="http://schemas.openxmlformats.org/officeDocument/2006/relationships/hyperlink" Target="http://www.sec.gov/Archives/edgar/data/0001884082/000119312522023680/d239003dex1045.htm" TargetMode="External"/><Relationship Id="rId309" Type="http://schemas.openxmlformats.org/officeDocument/2006/relationships/hyperlink" Target="http://www.sec.gov/Archives/edgar/data/0001884082/000119312522023680/d239003dex1046.htm" TargetMode="External"/><Relationship Id="rId310" Type="http://schemas.openxmlformats.org/officeDocument/2006/relationships/hyperlink" Target="http://www.sec.gov/Archives/edgar/data/0001884082/000119312522023680/d239003dex1047.htm" TargetMode="External"/><Relationship Id="rId311" Type="http://schemas.openxmlformats.org/officeDocument/2006/relationships/hyperlink" Target="http://www.sec.gov/Archives/edgar/data/0001884082/000119312522023680/d239003dex1048.htm" TargetMode="External"/><Relationship Id="rId312" Type="http://schemas.openxmlformats.org/officeDocument/2006/relationships/hyperlink" Target="http://www.sec.gov/Archives/edgar/data/0001884082/000119312522023680/d239003dex1049.htm" TargetMode="External"/><Relationship Id="rId313" Type="http://schemas.openxmlformats.org/officeDocument/2006/relationships/hyperlink" Target="http://www.sec.gov/Archives/edgar/data/0001884082/000119312522023680/d239003dex1050.htm" TargetMode="External"/><Relationship Id="rId314" Type="http://schemas.openxmlformats.org/officeDocument/2006/relationships/hyperlink" Target="http://www.sec.gov/Archives/edgar/data/0001884082/000119312522023680/d239003dex1051.htm" TargetMode="External"/><Relationship Id="rId315" Type="http://schemas.openxmlformats.org/officeDocument/2006/relationships/hyperlink" Target="http://www.sec.gov/Archives/edgar/data/0001884082/000119312522023680/d239003dex1052.htm" TargetMode="External"/><Relationship Id="rId316" Type="http://schemas.openxmlformats.org/officeDocument/2006/relationships/hyperlink" Target="http://www.sec.gov/Archives/edgar/data/0001884082/000119312522023680/d239003dex1053.htm" TargetMode="External"/><Relationship Id="rId317" Type="http://schemas.openxmlformats.org/officeDocument/2006/relationships/hyperlink" Target="http://www.sec.gov/Archives/edgar/data/0001884082/000119312522023680/d239003dex1054.htm" TargetMode="External"/><Relationship Id="rId318" Type="http://schemas.openxmlformats.org/officeDocument/2006/relationships/hyperlink" Target="http://www.sec.gov/Archives/edgar/data/0001884082/000119312522023680/d239003dex1055.htm" TargetMode="External"/><Relationship Id="rId319" Type="http://schemas.openxmlformats.org/officeDocument/2006/relationships/hyperlink" Target="http://www.sec.gov/Archives/edgar/data/0001884082/000119312522023680/d239003dex1056.htm" TargetMode="External"/><Relationship Id="rId320" Type="http://schemas.openxmlformats.org/officeDocument/2006/relationships/hyperlink" Target="http://www.sec.gov/Archives/edgar/data/0001884082/000119312522023680/d239003dex1057.htm" TargetMode="External"/><Relationship Id="rId321" Type="http://schemas.openxmlformats.org/officeDocument/2006/relationships/hyperlink" Target="http://www.sec.gov/Archives/edgar/data/0001884082/000119312522023680/d239003dex1058.htm" TargetMode="External"/><Relationship Id="rId323" Type="http://schemas.openxmlformats.org/officeDocument/2006/relationships/hyperlink" Target="http://www.sec.gov/Archives/edgar/data/0001884082/000119312522023680/d239003dex1059.htm" TargetMode="External"/><Relationship Id="rId324" Type="http://schemas.openxmlformats.org/officeDocument/2006/relationships/hyperlink" Target="http://www.sec.gov/Archives/edgar/data/0001884082/000119312522023680/d239003dex1060.htm" TargetMode="External"/><Relationship Id="rId325" Type="http://schemas.openxmlformats.org/officeDocument/2006/relationships/hyperlink" Target="http://www.sec.gov/Archives/edgar/data/0001884082/000119312522023680/d239003dex1061.htm" TargetMode="External"/><Relationship Id="rId326" Type="http://schemas.openxmlformats.org/officeDocument/2006/relationships/hyperlink" Target="http://www.sec.gov/Archives/edgar/data/0001884082/000119312522023680/d239003dex1062.htm" TargetMode="External"/><Relationship Id="rId327" Type="http://schemas.openxmlformats.org/officeDocument/2006/relationships/hyperlink" Target="http://www.sec.gov/Archives/edgar/data/0001884082/000119312522023680/d239003dex1063.htm" TargetMode="External"/><Relationship Id="rId328" Type="http://schemas.openxmlformats.org/officeDocument/2006/relationships/hyperlink" Target="http://www.sec.gov/Archives/edgar/data/0001884082/000119312522023680/d239003dex1064.htm" TargetMode="External"/><Relationship Id="rId329" Type="http://schemas.openxmlformats.org/officeDocument/2006/relationships/hyperlink" Target="http://www.sec.gov/Archives/edgar/data/0001884082/000119312522023680/d239003dex1065.htm" TargetMode="External"/><Relationship Id="rId330" Type="http://schemas.openxmlformats.org/officeDocument/2006/relationships/hyperlink" Target="http://www.sec.gov/Archives/edgar/data/1884082/000119312522066540/d239003dex1066.htm" TargetMode="External"/><Relationship Id="rId331" Type="http://schemas.openxmlformats.org/officeDocument/2006/relationships/hyperlink" Target="http://www.sec.gov/Archives/edgar/data/0001884082/000119312522023680/d239003dex1067.htm" TargetMode="External"/><Relationship Id="rId332" Type="http://schemas.openxmlformats.org/officeDocument/2006/relationships/hyperlink" Target="http://www.sec.gov/Archives/edgar/data/1884082/000119312522066540/d239003dex1068.htm" TargetMode="External"/><Relationship Id="rId333" Type="http://schemas.openxmlformats.org/officeDocument/2006/relationships/hyperlink" Target="http://www.sec.gov/Archives/edgar/data/0001884082/000119312522023680/d239003dex1069.htm" TargetMode="External"/><Relationship Id="rId334" Type="http://schemas.openxmlformats.org/officeDocument/2006/relationships/hyperlink" Target="http://www.sec.gov/Archives/edgar/data/1884082/000119312522066540/d239003dex1070.htm" TargetMode="External"/><Relationship Id="rId335" Type="http://schemas.openxmlformats.org/officeDocument/2006/relationships/hyperlink" Target="http://www.sec.gov/Archives/edgar/data/1884082/000119312522066540/d239003dex1071.htm" TargetMode="External"/><Relationship Id="rId336" Type="http://schemas.openxmlformats.org/officeDocument/2006/relationships/hyperlink" Target="http://www.sec.gov/Archives/edgar/data/0001884082/000119312522023680/d239003dex1072.htm" TargetMode="External"/><Relationship Id="rId337" Type="http://schemas.openxmlformats.org/officeDocument/2006/relationships/hyperlink" Target="http://www.sec.gov/Archives/edgar/data/1884082/000119312522066540/d239003dex1073.htm" TargetMode="External"/><Relationship Id="rId338" Type="http://schemas.openxmlformats.org/officeDocument/2006/relationships/hyperlink" Target="http://www.sec.gov/Archives/edgar/data/0001884082/000119312522066540/d239003df4a.htm#tx239003_602" TargetMode="External"/><Relationship Id="rId339" Type="http://schemas.openxmlformats.org/officeDocument/2006/relationships/hyperlink" Target="http://www.sec.gov/Archives/edgar/data/0001884082/000119312522066540/d239003df4a.htm#tx239003_603" TargetMode="External"/><Relationship Id="rId341" Type="http://schemas.openxmlformats.org/officeDocument/2006/relationships/hyperlink" Target="http://www.sec.gov/Archives/edgar/data/1884082/000119312522066540/d239003dex1076.htm" TargetMode="External"/><Relationship Id="rId342" Type="http://schemas.openxmlformats.org/officeDocument/2006/relationships/hyperlink" Target="http://www.sec.gov/Archives/edgar/data/0001884082/000119312522066540/d239003df4a.htm#tx239003_511" TargetMode="External"/><Relationship Id="rId343" Type="http://schemas.openxmlformats.org/officeDocument/2006/relationships/hyperlink" Target="http://www.sec.gov/Archives/edgar/data/0001884082/000119312522066540/d239003df4a.htm#anxm2" TargetMode="External"/><Relationship Id="rId344" Type="http://schemas.openxmlformats.org/officeDocument/2006/relationships/hyperlink" Target="http://www.sec.gov/Archives/edgar/data/1884082/000119312522066540/d239003dex1079.htm" TargetMode="External"/><Relationship Id="rId345" Type="http://schemas.openxmlformats.org/officeDocument/2006/relationships/hyperlink" Target="http://www.sec.gov/Archives/edgar/data/1884082/000119312522066540/d239003dex1080.htm" TargetMode="External"/><Relationship Id="rId346" Type="http://schemas.openxmlformats.org/officeDocument/2006/relationships/hyperlink" Target="http://www.sec.gov/Archives/edgar/data/1884082/000119312522066540/d239003dex1081.htm" TargetMode="External"/><Relationship Id="rId347" Type="http://schemas.openxmlformats.org/officeDocument/2006/relationships/hyperlink" Target="http://www.sec.gov/Archives/edgar/data/1884082/000119312522066540/d239003dex1082.htm" TargetMode="External"/><Relationship Id="rId348" Type="http://schemas.openxmlformats.org/officeDocument/2006/relationships/hyperlink" Target="http://www.sec.gov/Archives/edgar/data/1884082/000119312522156731/d239003df4a.htm#ii239003_ag" TargetMode="External"/><Relationship Id="rId349" Type="http://schemas.openxmlformats.org/officeDocument/2006/relationships/hyperlink" Target="http://www.sec.gov/Archives/edgar/data/1884082/000119312522156731/d239003df4a.htm#ii239003_ak" TargetMode="External"/><Relationship Id="rId350" Type="http://schemas.openxmlformats.org/officeDocument/2006/relationships/hyperlink" Target="http://www.sec.gov/Archives/edgar/data/1884082/000119312522085479/d239003dex1085.htm" TargetMode="External"/><Relationship Id="rId351" Type="http://schemas.openxmlformats.org/officeDocument/2006/relationships/hyperlink" Target="http://www.sec.gov/Archives/edgar/data/1884082/000119312522085479/d239003dex1086.htm" TargetMode="External"/><Relationship Id="rId353" Type="http://schemas.openxmlformats.org/officeDocument/2006/relationships/hyperlink" Target="http://www.sec.gov/Archives/edgar/data/1884082/000119312522066540/d239003dex9913.htm" TargetMode="External"/><Relationship Id="rId354" Type="http://schemas.openxmlformats.org/officeDocument/2006/relationships/hyperlink" Target="http://www.sec.gov/Archives/edgar/data/1884082/000119312522066540/d239003dex99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2022-06-29T18:27:07Z</dcterms:created>
  <dcterms:modified xsi:type="dcterms:W3CDTF">2022-06-29T18:27:07Z</dcterms:modified>
</cp:coreProperties>
</file>