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000"/>
        <w:spacing w:after="0"/>
        <w:rPr>
          <w:sz w:val="20"/>
          <w:szCs w:val="20"/>
          <w:color w:val="auto"/>
        </w:rPr>
      </w:pPr>
      <w:r>
        <w:rPr>
          <w:rFonts w:ascii="Arial" w:cs="Arial" w:eastAsia="Arial" w:hAnsi="Arial"/>
          <w:sz w:val="18"/>
          <w:szCs w:val="18"/>
          <w:b w:val="1"/>
          <w:bCs w:val="1"/>
          <w:color w:val="auto"/>
        </w:rPr>
        <w:t>For the month of November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204470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247650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On November 3, 2022, Polestar Automotive Holding UK PLC (“Polestar”), as borrower, entered into the credit agreement in relation to a</w:t>
      </w:r>
    </w:p>
    <w:p>
      <w:pPr>
        <w:spacing w:after="0" w:line="35" w:lineRule="exact"/>
        <w:rPr>
          <w:sz w:val="20"/>
          <w:szCs w:val="20"/>
          <w:color w:val="auto"/>
        </w:rPr>
      </w:pPr>
    </w:p>
    <w:p>
      <w:pPr>
        <w:ind w:left="4" w:right="60"/>
        <w:spacing w:after="0" w:line="286" w:lineRule="auto"/>
        <w:rPr>
          <w:sz w:val="20"/>
          <w:szCs w:val="20"/>
          <w:color w:val="auto"/>
        </w:rPr>
      </w:pPr>
      <w:r>
        <w:rPr>
          <w:rFonts w:ascii="Arial" w:cs="Arial" w:eastAsia="Arial" w:hAnsi="Arial"/>
          <w:sz w:val="16"/>
          <w:szCs w:val="16"/>
          <w:color w:val="auto"/>
        </w:rPr>
        <w:t>USD 800,000,000 term loan facility (the “Term Loan Facility”) with Snita Holding B.V., as original lender and agent (“Snita”). Snita is a wholly-owned subsidiary of Volvo Car AB (publ) and one of Polestar’s affiliates. The Term Loan Facility consists of a term loan denominated in U.S. dollars available for general corporate purposes. The term of the facility is 18 months and the Term Loan Facility is required to be repaid on the final termination date, subject to Snita exercising an option to convert all or part of the loan into shares of Polestar in connection with a QEO at the QEO Conversion Price (such shares, the “Conversion Shares”). A “QEO” refers to an offer of shares (or depositary receipts or other securities representing shares) of any class in the share capital of Polestar, where the proposed capital raising is in an amount equal to at least USD 350,000,000 (or such other amount as the Borrower and Agent may agree from time to time), and in which no fewer than five (or such other number as the Borrower and Agent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Term Loan Facility). Polestar may not reborrow any part of the Term Loan Facility which has been repaid.</w:t>
      </w:r>
    </w:p>
    <w:p>
      <w:pPr>
        <w:spacing w:after="0" w:line="169"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The interest rate applicable to borrowings under the Term Loan Facility is Term SOFR (as described in the Term Loan Facility and subject to a zero floor) plus 4.97%. The interest period of the Term Loan Facility is 6 months and default interest is calculated as an additional 1% on the overdue amount. Polestar may voluntarily prepay loans or reduce commitments under the Term Loan Facility, in whole or in part, subject to minimum amounts and subject to any Break Costs (as defined in the Term Loan Facility), with prior notice but without premium or penalty. Polestar has an obligation to prepay the loan on the occurrence of a change of control or illegality.</w:t>
      </w:r>
    </w:p>
    <w:p>
      <w:pPr>
        <w:spacing w:after="0" w:line="188"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Polestar’s obligations under the Term Loan Facility are not guaranteed or secured. The Term Loan Facility contains customary negative covenants, including, but not limited to, restrictions on Polestar’s ability to make certain acquisitions, loans and guarantees. The Term Loan Facility also contains certain affirmative covenants, including, but not limited to, certain information undertakings and access to senior management.</w:t>
      </w:r>
    </w:p>
    <w:p>
      <w:pPr>
        <w:spacing w:after="0" w:line="14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Term Loan Facility contains certain customary representations and warranties, subject to certain customary materiality, best knowledge and other qualifications, exceptions and baskets, and with certain representations and warranties being repeated, including: (i) status; (ii) binding obligations;</w:t>
      </w:r>
    </w:p>
    <w:p>
      <w:pPr>
        <w:ind w:left="324" w:hanging="324"/>
        <w:spacing w:after="0"/>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non-conflict with constitutional documents, laws or other obligations; (iv) power and authority; (v) validity and admissibility in evidence;</w:t>
      </w:r>
    </w:p>
    <w:p>
      <w:pPr>
        <w:spacing w:after="0" w:line="9" w:lineRule="exact"/>
        <w:rPr>
          <w:rFonts w:ascii="Arial" w:cs="Arial" w:eastAsia="Arial" w:hAnsi="Arial"/>
          <w:sz w:val="18"/>
          <w:szCs w:val="18"/>
          <w:color w:val="auto"/>
        </w:rPr>
      </w:pPr>
    </w:p>
    <w:p>
      <w:pPr>
        <w:ind w:left="304" w:hanging="304"/>
        <w:spacing w:after="0"/>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governing law and enforcement; (vii) ranking; and (viii) financial information.</w:t>
      </w:r>
    </w:p>
    <w:p>
      <w:pPr>
        <w:spacing w:after="0" w:line="211" w:lineRule="exact"/>
        <w:rPr>
          <w:sz w:val="20"/>
          <w:szCs w:val="20"/>
          <w:color w:val="auto"/>
        </w:rPr>
      </w:pPr>
    </w:p>
    <w:p>
      <w:pPr>
        <w:ind w:left="4" w:right="160" w:firstLine="440"/>
        <w:spacing w:after="0" w:line="301" w:lineRule="auto"/>
        <w:rPr>
          <w:sz w:val="20"/>
          <w:szCs w:val="20"/>
          <w:color w:val="auto"/>
        </w:rPr>
      </w:pPr>
      <w:r>
        <w:rPr>
          <w:rFonts w:ascii="Arial" w:cs="Arial" w:eastAsia="Arial" w:hAnsi="Arial"/>
          <w:sz w:val="16"/>
          <w:szCs w:val="16"/>
          <w:color w:val="auto"/>
        </w:rPr>
        <w:t>The Term Loan Facility provides that, upon the occurrence of certain events of default, Polestar’s obligations thereunder may be accelerated. Such events of default include payment defaults to Snita thereunder, material inaccuracies of representations and warranties, covenant defaults, cross-acceleration with respect to our other indebtedness, corporate arrangement, winding-up, liquidation or similar proceedings, creditors’ process affecting assets over a certain minimum amount, and other customary events of default. The Term Loan Facility is governed by English law.</w:t>
      </w:r>
    </w:p>
    <w:p>
      <w:pPr>
        <w:spacing w:after="0" w:line="157"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Polestar has granted Snita customary registration rights with respect to any Conversion Shares that Snita might receive in connection with a QEO and has agreed, within 90 days following a QEO Conversion Date (as defined in the Term Loan Facility), to file a new shelf registration statement on Form F-1 in view of registering the resale of any Conversion Shares and cause such registration statement to become effective as soon as practicable after such filing. Further, should Polestar, its directors and executive officers enter into lock-up agreements in connection with a QEO, Snita or any of its successors under the Term Loan Facility agree to enter into lock-up agreements in a form to be agreed with Polestar and its financial advisors and customary for a follow-on offering, restricting the disposition or hedging of any Conversion Shares being issued in connection with such QEO for a period of 90 days (or such shorter period of time as applicable to Polestar, its directors and executive officers) following such QEO Conversion Date.</w:t>
      </w:r>
    </w:p>
    <w:p>
      <w:pPr>
        <w:spacing w:after="0" w:line="166"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A copy of the Term Loan Facility is included in this Report on Form 6-K as Exhibit 10.1 and the foregoing description of the Term Loan Facility is qualified in its entirety by reference thereto.</w:t>
      </w:r>
    </w:p>
    <w:p>
      <w:pPr>
        <w:spacing w:after="0" w:line="170" w:lineRule="exact"/>
        <w:rPr>
          <w:sz w:val="20"/>
          <w:szCs w:val="20"/>
          <w:color w:val="auto"/>
        </w:rPr>
      </w:pPr>
    </w:p>
    <w:p>
      <w:pPr>
        <w:ind w:left="4" w:right="80" w:firstLine="440"/>
        <w:spacing w:after="0" w:line="263" w:lineRule="auto"/>
        <w:rPr>
          <w:sz w:val="20"/>
          <w:szCs w:val="20"/>
          <w:color w:val="auto"/>
        </w:rPr>
      </w:pPr>
      <w:r>
        <w:rPr>
          <w:rFonts w:ascii="Arial" w:cs="Arial" w:eastAsia="Arial" w:hAnsi="Arial"/>
          <w:sz w:val="18"/>
          <w:szCs w:val="18"/>
          <w:color w:val="auto"/>
        </w:rPr>
        <w:t>Exhibit 10.1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0"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500" w:type="dxa"/>
            <w:vAlign w:val="bottom"/>
            <w:gridSpan w:val="2"/>
          </w:tcPr>
          <w:p>
            <w:pPr>
              <w:jc w:val="center"/>
              <w:ind w:right="45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3"/>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2"/>
                <w:szCs w:val="22"/>
                <w:color w:val="auto"/>
              </w:rPr>
            </w:pPr>
          </w:p>
        </w:tc>
        <w:tc>
          <w:tcPr>
            <w:tcW w:w="95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0000EE"/>
                <w:w w:val="96"/>
              </w:rPr>
              <w:t>Term Loan Facility, dated November 3, 2022, by and between Polestar Automotive Holding UK PLC, as borrower, and Snita</w:t>
            </w: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Holding B.V., as original lender and agent.</w:t>
            </w:r>
          </w:p>
        </w:tc>
        <w:tc>
          <w:tcPr>
            <w:tcW w:w="560" w:type="dxa"/>
            <w:vAlign w:val="bottom"/>
          </w:tcPr>
          <w:p>
            <w:pPr>
              <w:spacing w:after="0"/>
              <w:rPr>
                <w:sz w:val="17"/>
                <w:szCs w:val="17"/>
                <w:color w:val="auto"/>
              </w:rPr>
            </w:pPr>
          </w:p>
        </w:tc>
      </w:tr>
      <w:tr>
        <w:trPr>
          <w:trHeight w:val="385"/>
        </w:trPr>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60" w:type="dxa"/>
            <w:vAlign w:val="bottom"/>
            <w:tcBorders>
              <w:top w:val="single" w:sz="8" w:color="0000EE"/>
            </w:tcBorders>
          </w:tcPr>
          <w:p>
            <w:pPr>
              <w:spacing w:after="0"/>
              <w:rPr>
                <w:sz w:val="24"/>
                <w:szCs w:val="24"/>
                <w:color w:val="auto"/>
              </w:rPr>
            </w:pPr>
          </w:p>
        </w:tc>
        <w:tc>
          <w:tcPr>
            <w:tcW w:w="5940" w:type="dxa"/>
            <w:vAlign w:val="bottom"/>
          </w:tcPr>
          <w:p>
            <w:pPr>
              <w:jc w:val="right"/>
              <w:ind w:right="4830"/>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3, 2022</w:t>
            </w: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Ingenlath</w:t>
            </w:r>
          </w:p>
        </w:tc>
      </w:tr>
      <w:tr>
        <w:trPr>
          <w:trHeight w:val="195"/>
        </w:trPr>
        <w:tc>
          <w:tcPr>
            <w:tcW w:w="3620" w:type="dxa"/>
            <w:vAlign w:val="bottom"/>
          </w:tcPr>
          <w:p>
            <w:pPr>
              <w:spacing w:after="0"/>
              <w:rPr>
                <w:sz w:val="16"/>
                <w:szCs w:val="16"/>
                <w:color w:val="auto"/>
              </w:rPr>
            </w:pPr>
          </w:p>
        </w:tc>
        <w:tc>
          <w:tcPr>
            <w:tcW w:w="2440" w:type="dxa"/>
            <w:vAlign w:val="bottom"/>
          </w:tcPr>
          <w:p>
            <w:pPr>
              <w:ind w:left="190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3620" w:type="dxa"/>
            <w:vAlign w:val="bottom"/>
          </w:tcPr>
          <w:p>
            <w:pPr>
              <w:spacing w:after="0"/>
              <w:rPr>
                <w:sz w:val="20"/>
                <w:szCs w:val="20"/>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432"/>
        </w:trPr>
        <w:tc>
          <w:tcPr>
            <w:tcW w:w="3620" w:type="dxa"/>
            <w:vAlign w:val="bottom"/>
          </w:tcPr>
          <w:p>
            <w:pPr>
              <w:spacing w:after="0"/>
              <w:rPr>
                <w:sz w:val="24"/>
                <w:szCs w:val="24"/>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Johan Malmqvist</w:t>
            </w:r>
          </w:p>
        </w:tc>
      </w:tr>
      <w:tr>
        <w:trPr>
          <w:trHeight w:val="195"/>
        </w:trPr>
        <w:tc>
          <w:tcPr>
            <w:tcW w:w="3620" w:type="dxa"/>
            <w:vAlign w:val="bottom"/>
          </w:tcPr>
          <w:p>
            <w:pPr>
              <w:spacing w:after="0"/>
              <w:rPr>
                <w:sz w:val="16"/>
                <w:szCs w:val="16"/>
                <w:color w:val="auto"/>
              </w:rPr>
            </w:pPr>
          </w:p>
        </w:tc>
        <w:tc>
          <w:tcPr>
            <w:tcW w:w="2440" w:type="dxa"/>
            <w:vAlign w:val="bottom"/>
          </w:tcPr>
          <w:p>
            <w:pPr>
              <w:ind w:left="190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3620" w:type="dxa"/>
            <w:vAlign w:val="bottom"/>
          </w:tcPr>
          <w:p>
            <w:pPr>
              <w:spacing w:after="0"/>
              <w:rPr>
                <w:sz w:val="20"/>
                <w:szCs w:val="20"/>
                <w:color w:val="auto"/>
              </w:rPr>
            </w:pPr>
          </w:p>
        </w:tc>
        <w:tc>
          <w:tcPr>
            <w:tcW w:w="2440" w:type="dxa"/>
            <w:vAlign w:val="bottom"/>
          </w:tcPr>
          <w:p>
            <w:pPr>
              <w:ind w:left="190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364"/>
        </w:trPr>
        <w:tc>
          <w:tcPr>
            <w:tcW w:w="3620" w:type="dxa"/>
            <w:vAlign w:val="bottom"/>
          </w:tcPr>
          <w:p>
            <w:pPr>
              <w:spacing w:after="0"/>
              <w:rPr>
                <w:sz w:val="24"/>
                <w:szCs w:val="24"/>
                <w:color w:val="auto"/>
              </w:rPr>
            </w:pPr>
          </w:p>
        </w:tc>
        <w:tc>
          <w:tcPr>
            <w:tcW w:w="2440" w:type="dxa"/>
            <w:vAlign w:val="bottom"/>
          </w:tcPr>
          <w:p>
            <w:pPr>
              <w:ind w:left="184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CLIFFORD CHANCE LLP</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USD 800,000,000</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FACILITY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3 NOVEMBER 2022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POLESTAR AUTOMOTIVE HOLDING UK PLC</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with</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SNITA HOLDING B.V.</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TERM FACILITY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246380</wp:posOffset>
            </wp:positionV>
            <wp:extent cx="14744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6640" w:type="dxa"/>
            <w:vAlign w:val="bottom"/>
          </w:tcPr>
          <w:p>
            <w:pPr>
              <w:jc w:val="right"/>
              <w:ind w:right="4871"/>
              <w:spacing w:after="0"/>
              <w:rPr>
                <w:sz w:val="20"/>
                <w:szCs w:val="20"/>
                <w:color w:val="auto"/>
              </w:rPr>
            </w:pPr>
            <w:r>
              <w:rPr>
                <w:rFonts w:ascii="Arial" w:cs="Arial" w:eastAsia="Arial" w:hAnsi="Arial"/>
                <w:sz w:val="18"/>
                <w:szCs w:val="18"/>
                <w:b w:val="1"/>
                <w:bCs w:val="1"/>
                <w:color w:val="auto"/>
              </w:rPr>
              <w:t>CONTENTS</w:t>
            </w:r>
          </w:p>
        </w:tc>
      </w:tr>
      <w:tr>
        <w:trPr>
          <w:trHeight w:val="474"/>
        </w:trPr>
        <w:tc>
          <w:tcPr>
            <w:tcW w:w="460" w:type="dxa"/>
            <w:vAlign w:val="bottom"/>
          </w:tcPr>
          <w:p>
            <w:pPr>
              <w:spacing w:after="0"/>
              <w:rPr>
                <w:sz w:val="20"/>
                <w:szCs w:val="20"/>
                <w:color w:val="auto"/>
              </w:rPr>
            </w:pPr>
            <w:r>
              <w:rPr>
                <w:rFonts w:ascii="Arial" w:cs="Arial" w:eastAsia="Arial" w:hAnsi="Arial"/>
                <w:sz w:val="14"/>
                <w:szCs w:val="14"/>
                <w:color w:val="auto"/>
              </w:rPr>
              <w:t>Clause</w:t>
            </w:r>
          </w:p>
        </w:tc>
        <w:tc>
          <w:tcPr>
            <w:tcW w:w="3860" w:type="dxa"/>
            <w:vAlign w:val="bottom"/>
          </w:tcPr>
          <w:p>
            <w:pPr>
              <w:spacing w:after="0"/>
              <w:rPr>
                <w:sz w:val="24"/>
                <w:szCs w:val="24"/>
                <w:color w:val="auto"/>
              </w:rPr>
            </w:pPr>
          </w:p>
        </w:tc>
        <w:tc>
          <w:tcPr>
            <w:tcW w:w="66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309"/>
        </w:trPr>
        <w:tc>
          <w:tcPr>
            <w:tcW w:w="460" w:type="dxa"/>
            <w:vAlign w:val="bottom"/>
          </w:tcPr>
          <w:p>
            <w:pPr>
              <w:spacing w:after="0"/>
              <w:rPr>
                <w:sz w:val="20"/>
                <w:szCs w:val="20"/>
                <w:color w:val="auto"/>
              </w:rPr>
            </w:pPr>
            <w:r>
              <w:rPr>
                <w:rFonts w:ascii="Arial" w:cs="Arial" w:eastAsia="Arial" w:hAnsi="Arial"/>
                <w:sz w:val="18"/>
                <w:szCs w:val="18"/>
                <w:color w:val="auto"/>
              </w:rPr>
              <w:t>1.</w:t>
            </w:r>
          </w:p>
        </w:tc>
        <w:tc>
          <w:tcPr>
            <w:tcW w:w="3860" w:type="dxa"/>
            <w:vAlign w:val="bottom"/>
          </w:tcPr>
          <w:p>
            <w:pPr>
              <w:ind w:left="60"/>
              <w:spacing w:after="0"/>
              <w:rPr>
                <w:sz w:val="20"/>
                <w:szCs w:val="20"/>
                <w:color w:val="auto"/>
              </w:rPr>
            </w:pPr>
            <w:r>
              <w:rPr>
                <w:rFonts w:ascii="Arial" w:cs="Arial" w:eastAsia="Arial" w:hAnsi="Arial"/>
                <w:sz w:val="18"/>
                <w:szCs w:val="18"/>
                <w:color w:val="auto"/>
              </w:rPr>
              <w:t>Definitions and Interpretation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3860" w:type="dxa"/>
            <w:vAlign w:val="bottom"/>
          </w:tcPr>
          <w:p>
            <w:pPr>
              <w:ind w:left="60"/>
              <w:spacing w:after="0"/>
              <w:rPr>
                <w:sz w:val="20"/>
                <w:szCs w:val="20"/>
                <w:color w:val="auto"/>
              </w:rPr>
            </w:pPr>
            <w:r>
              <w:rPr>
                <w:rFonts w:ascii="Arial" w:cs="Arial" w:eastAsia="Arial" w:hAnsi="Arial"/>
                <w:sz w:val="18"/>
                <w:szCs w:val="18"/>
                <w:color w:val="auto"/>
              </w:rPr>
              <w:t>The Facility</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3860" w:type="dxa"/>
            <w:vAlign w:val="bottom"/>
          </w:tcPr>
          <w:p>
            <w:pPr>
              <w:ind w:left="60"/>
              <w:spacing w:after="0"/>
              <w:rPr>
                <w:sz w:val="20"/>
                <w:szCs w:val="20"/>
                <w:color w:val="auto"/>
              </w:rPr>
            </w:pPr>
            <w:r>
              <w:rPr>
                <w:rFonts w:ascii="Arial" w:cs="Arial" w:eastAsia="Arial" w:hAnsi="Arial"/>
                <w:sz w:val="18"/>
                <w:szCs w:val="18"/>
                <w:color w:val="auto"/>
              </w:rPr>
              <w:t>Purpose</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4.</w:t>
            </w:r>
          </w:p>
        </w:tc>
        <w:tc>
          <w:tcPr>
            <w:tcW w:w="3860" w:type="dxa"/>
            <w:vAlign w:val="bottom"/>
          </w:tcPr>
          <w:p>
            <w:pPr>
              <w:ind w:left="60"/>
              <w:spacing w:after="0"/>
              <w:rPr>
                <w:sz w:val="20"/>
                <w:szCs w:val="20"/>
                <w:color w:val="auto"/>
              </w:rPr>
            </w:pPr>
            <w:r>
              <w:rPr>
                <w:rFonts w:ascii="Arial" w:cs="Arial" w:eastAsia="Arial" w:hAnsi="Arial"/>
                <w:sz w:val="18"/>
                <w:szCs w:val="18"/>
                <w:color w:val="auto"/>
              </w:rPr>
              <w:t>Conditions of Utilisation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3860" w:type="dxa"/>
            <w:vAlign w:val="bottom"/>
          </w:tcPr>
          <w:p>
            <w:pPr>
              <w:ind w:left="60"/>
              <w:spacing w:after="0"/>
              <w:rPr>
                <w:sz w:val="20"/>
                <w:szCs w:val="20"/>
                <w:color w:val="auto"/>
              </w:rPr>
            </w:pPr>
            <w:r>
              <w:rPr>
                <w:rFonts w:ascii="Arial" w:cs="Arial" w:eastAsia="Arial" w:hAnsi="Arial"/>
                <w:sz w:val="18"/>
                <w:szCs w:val="18"/>
                <w:color w:val="auto"/>
              </w:rPr>
              <w:t>Utilisation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3860" w:type="dxa"/>
            <w:vAlign w:val="bottom"/>
          </w:tcPr>
          <w:p>
            <w:pPr>
              <w:ind w:left="60"/>
              <w:spacing w:after="0"/>
              <w:rPr>
                <w:sz w:val="20"/>
                <w:szCs w:val="20"/>
                <w:color w:val="auto"/>
              </w:rPr>
            </w:pPr>
            <w:r>
              <w:rPr>
                <w:rFonts w:ascii="Arial" w:cs="Arial" w:eastAsia="Arial" w:hAnsi="Arial"/>
                <w:sz w:val="18"/>
                <w:szCs w:val="18"/>
                <w:color w:val="auto"/>
              </w:rPr>
              <w:t>Repayment</w:t>
            </w:r>
          </w:p>
        </w:tc>
        <w:tc>
          <w:tcPr>
            <w:tcW w:w="6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3860" w:type="dxa"/>
            <w:vAlign w:val="bottom"/>
          </w:tcPr>
          <w:p>
            <w:pPr>
              <w:ind w:left="60"/>
              <w:spacing w:after="0"/>
              <w:rPr>
                <w:sz w:val="20"/>
                <w:szCs w:val="20"/>
                <w:color w:val="auto"/>
              </w:rPr>
            </w:pPr>
            <w:r>
              <w:rPr>
                <w:rFonts w:ascii="Arial" w:cs="Arial" w:eastAsia="Arial" w:hAnsi="Arial"/>
                <w:sz w:val="18"/>
                <w:szCs w:val="18"/>
                <w:color w:val="auto"/>
              </w:rPr>
              <w:t>Prepayment and Cancellation</w:t>
            </w:r>
          </w:p>
        </w:tc>
        <w:tc>
          <w:tcPr>
            <w:tcW w:w="66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3860" w:type="dxa"/>
            <w:vAlign w:val="bottom"/>
          </w:tcPr>
          <w:p>
            <w:pPr>
              <w:ind w:left="60"/>
              <w:spacing w:after="0"/>
              <w:rPr>
                <w:sz w:val="20"/>
                <w:szCs w:val="20"/>
                <w:color w:val="auto"/>
              </w:rPr>
            </w:pPr>
            <w:r>
              <w:rPr>
                <w:rFonts w:ascii="Arial" w:cs="Arial" w:eastAsia="Arial" w:hAnsi="Arial"/>
                <w:sz w:val="18"/>
                <w:szCs w:val="18"/>
                <w:color w:val="auto"/>
              </w:rPr>
              <w:t>Interest</w:t>
            </w:r>
          </w:p>
        </w:tc>
        <w:tc>
          <w:tcPr>
            <w:tcW w:w="6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3860" w:type="dxa"/>
            <w:vAlign w:val="bottom"/>
          </w:tcPr>
          <w:p>
            <w:pPr>
              <w:ind w:left="60"/>
              <w:spacing w:after="0"/>
              <w:rPr>
                <w:sz w:val="20"/>
                <w:szCs w:val="20"/>
                <w:color w:val="auto"/>
              </w:rPr>
            </w:pPr>
            <w:r>
              <w:rPr>
                <w:rFonts w:ascii="Arial" w:cs="Arial" w:eastAsia="Arial" w:hAnsi="Arial"/>
                <w:sz w:val="18"/>
                <w:szCs w:val="18"/>
                <w:color w:val="auto"/>
              </w:rPr>
              <w:t>Interest Periods</w:t>
            </w:r>
          </w:p>
        </w:tc>
        <w:tc>
          <w:tcPr>
            <w:tcW w:w="6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3860" w:type="dxa"/>
            <w:vAlign w:val="bottom"/>
          </w:tcPr>
          <w:p>
            <w:pPr>
              <w:ind w:left="60"/>
              <w:spacing w:after="0"/>
              <w:rPr>
                <w:sz w:val="20"/>
                <w:szCs w:val="20"/>
                <w:color w:val="auto"/>
              </w:rPr>
            </w:pPr>
            <w:r>
              <w:rPr>
                <w:rFonts w:ascii="Arial" w:cs="Arial" w:eastAsia="Arial" w:hAnsi="Arial"/>
                <w:sz w:val="18"/>
                <w:szCs w:val="18"/>
                <w:color w:val="auto"/>
              </w:rPr>
              <w:t>Changes to the Calculation of Interest</w:t>
            </w:r>
          </w:p>
        </w:tc>
        <w:tc>
          <w:tcPr>
            <w:tcW w:w="66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3860" w:type="dxa"/>
            <w:vAlign w:val="bottom"/>
          </w:tcPr>
          <w:p>
            <w:pPr>
              <w:ind w:left="60"/>
              <w:spacing w:after="0"/>
              <w:rPr>
                <w:sz w:val="20"/>
                <w:szCs w:val="20"/>
                <w:color w:val="auto"/>
              </w:rPr>
            </w:pPr>
            <w:r>
              <w:rPr>
                <w:rFonts w:ascii="Arial" w:cs="Arial" w:eastAsia="Arial" w:hAnsi="Arial"/>
                <w:sz w:val="18"/>
                <w:szCs w:val="18"/>
                <w:color w:val="auto"/>
              </w:rPr>
              <w:t>Tax Gross Up and Indemnities</w:t>
            </w:r>
          </w:p>
        </w:tc>
        <w:tc>
          <w:tcPr>
            <w:tcW w:w="6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3860" w:type="dxa"/>
            <w:vAlign w:val="bottom"/>
          </w:tcPr>
          <w:p>
            <w:pPr>
              <w:ind w:left="60"/>
              <w:spacing w:after="0"/>
              <w:rPr>
                <w:sz w:val="20"/>
                <w:szCs w:val="20"/>
                <w:color w:val="auto"/>
              </w:rPr>
            </w:pPr>
            <w:r>
              <w:rPr>
                <w:rFonts w:ascii="Arial" w:cs="Arial" w:eastAsia="Arial" w:hAnsi="Arial"/>
                <w:sz w:val="18"/>
                <w:szCs w:val="18"/>
                <w:color w:val="auto"/>
              </w:rPr>
              <w:t>Increased Costs</w:t>
            </w:r>
          </w:p>
        </w:tc>
        <w:tc>
          <w:tcPr>
            <w:tcW w:w="6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3860" w:type="dxa"/>
            <w:vAlign w:val="bottom"/>
          </w:tcPr>
          <w:p>
            <w:pPr>
              <w:ind w:left="60"/>
              <w:spacing w:after="0"/>
              <w:rPr>
                <w:sz w:val="20"/>
                <w:szCs w:val="20"/>
                <w:color w:val="auto"/>
              </w:rPr>
            </w:pPr>
            <w:r>
              <w:rPr>
                <w:rFonts w:ascii="Arial" w:cs="Arial" w:eastAsia="Arial" w:hAnsi="Arial"/>
                <w:sz w:val="18"/>
                <w:szCs w:val="18"/>
                <w:color w:val="auto"/>
              </w:rPr>
              <w:t>Other Indemnities</w:t>
            </w:r>
          </w:p>
        </w:tc>
        <w:tc>
          <w:tcPr>
            <w:tcW w:w="66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3860" w:type="dxa"/>
            <w:vAlign w:val="bottom"/>
          </w:tcPr>
          <w:p>
            <w:pPr>
              <w:ind w:left="60"/>
              <w:spacing w:after="0"/>
              <w:rPr>
                <w:sz w:val="20"/>
                <w:szCs w:val="20"/>
                <w:color w:val="auto"/>
              </w:rPr>
            </w:pPr>
            <w:r>
              <w:rPr>
                <w:rFonts w:ascii="Arial" w:cs="Arial" w:eastAsia="Arial" w:hAnsi="Arial"/>
                <w:sz w:val="18"/>
                <w:szCs w:val="18"/>
                <w:color w:val="auto"/>
              </w:rPr>
              <w:t>Mitigation by the Lender</w:t>
            </w:r>
          </w:p>
        </w:tc>
        <w:tc>
          <w:tcPr>
            <w:tcW w:w="6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3860" w:type="dxa"/>
            <w:vAlign w:val="bottom"/>
          </w:tcPr>
          <w:p>
            <w:pPr>
              <w:ind w:left="60"/>
              <w:spacing w:after="0"/>
              <w:rPr>
                <w:sz w:val="20"/>
                <w:szCs w:val="20"/>
                <w:color w:val="auto"/>
              </w:rPr>
            </w:pPr>
            <w:r>
              <w:rPr>
                <w:rFonts w:ascii="Arial" w:cs="Arial" w:eastAsia="Arial" w:hAnsi="Arial"/>
                <w:sz w:val="18"/>
                <w:szCs w:val="18"/>
                <w:color w:val="auto"/>
              </w:rPr>
              <w:t>Costs and Expenses</w:t>
            </w:r>
          </w:p>
        </w:tc>
        <w:tc>
          <w:tcPr>
            <w:tcW w:w="66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3860" w:type="dxa"/>
            <w:vAlign w:val="bottom"/>
          </w:tcPr>
          <w:p>
            <w:pPr>
              <w:ind w:left="60"/>
              <w:spacing w:after="0"/>
              <w:rPr>
                <w:sz w:val="20"/>
                <w:szCs w:val="20"/>
                <w:color w:val="auto"/>
              </w:rPr>
            </w:pPr>
            <w:r>
              <w:rPr>
                <w:rFonts w:ascii="Arial" w:cs="Arial" w:eastAsia="Arial" w:hAnsi="Arial"/>
                <w:sz w:val="18"/>
                <w:szCs w:val="18"/>
                <w:color w:val="auto"/>
              </w:rPr>
              <w:t>Representations</w:t>
            </w:r>
          </w:p>
        </w:tc>
        <w:tc>
          <w:tcPr>
            <w:tcW w:w="6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17.</w:t>
            </w:r>
          </w:p>
        </w:tc>
        <w:tc>
          <w:tcPr>
            <w:tcW w:w="3860" w:type="dxa"/>
            <w:vAlign w:val="bottom"/>
          </w:tcPr>
          <w:p>
            <w:pPr>
              <w:ind w:left="60"/>
              <w:spacing w:after="0"/>
              <w:rPr>
                <w:sz w:val="20"/>
                <w:szCs w:val="20"/>
                <w:color w:val="auto"/>
              </w:rPr>
            </w:pPr>
            <w:r>
              <w:rPr>
                <w:rFonts w:ascii="Arial" w:cs="Arial" w:eastAsia="Arial" w:hAnsi="Arial"/>
                <w:sz w:val="18"/>
                <w:szCs w:val="18"/>
                <w:color w:val="auto"/>
              </w:rPr>
              <w:t>Information Undertakings</w:t>
            </w:r>
          </w:p>
        </w:tc>
        <w:tc>
          <w:tcPr>
            <w:tcW w:w="66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18.</w:t>
            </w:r>
          </w:p>
        </w:tc>
        <w:tc>
          <w:tcPr>
            <w:tcW w:w="3860" w:type="dxa"/>
            <w:vAlign w:val="bottom"/>
          </w:tcPr>
          <w:p>
            <w:pPr>
              <w:ind w:left="60"/>
              <w:spacing w:after="0"/>
              <w:rPr>
                <w:sz w:val="20"/>
                <w:szCs w:val="20"/>
                <w:color w:val="auto"/>
              </w:rPr>
            </w:pPr>
            <w:r>
              <w:rPr>
                <w:rFonts w:ascii="Arial" w:cs="Arial" w:eastAsia="Arial" w:hAnsi="Arial"/>
                <w:sz w:val="18"/>
                <w:szCs w:val="18"/>
                <w:color w:val="auto"/>
              </w:rPr>
              <w:t>General Undertakings</w:t>
            </w:r>
          </w:p>
        </w:tc>
        <w:tc>
          <w:tcPr>
            <w:tcW w:w="66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19.</w:t>
            </w:r>
          </w:p>
        </w:tc>
        <w:tc>
          <w:tcPr>
            <w:tcW w:w="3860" w:type="dxa"/>
            <w:vAlign w:val="bottom"/>
          </w:tcPr>
          <w:p>
            <w:pPr>
              <w:ind w:left="60"/>
              <w:spacing w:after="0"/>
              <w:rPr>
                <w:sz w:val="20"/>
                <w:szCs w:val="20"/>
                <w:color w:val="auto"/>
              </w:rPr>
            </w:pPr>
            <w:r>
              <w:rPr>
                <w:rFonts w:ascii="Arial" w:cs="Arial" w:eastAsia="Arial" w:hAnsi="Arial"/>
                <w:sz w:val="18"/>
                <w:szCs w:val="18"/>
                <w:color w:val="auto"/>
              </w:rPr>
              <w:t>Events of Default</w:t>
            </w:r>
          </w:p>
        </w:tc>
        <w:tc>
          <w:tcPr>
            <w:tcW w:w="66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20.</w:t>
            </w:r>
          </w:p>
        </w:tc>
        <w:tc>
          <w:tcPr>
            <w:tcW w:w="3860" w:type="dxa"/>
            <w:vAlign w:val="bottom"/>
          </w:tcPr>
          <w:p>
            <w:pPr>
              <w:ind w:left="60"/>
              <w:spacing w:after="0"/>
              <w:rPr>
                <w:sz w:val="20"/>
                <w:szCs w:val="20"/>
                <w:color w:val="auto"/>
              </w:rPr>
            </w:pPr>
            <w:r>
              <w:rPr>
                <w:rFonts w:ascii="Arial" w:cs="Arial" w:eastAsia="Arial" w:hAnsi="Arial"/>
                <w:sz w:val="18"/>
                <w:szCs w:val="18"/>
                <w:color w:val="auto"/>
              </w:rPr>
              <w:t>Changes to the Lender</w:t>
            </w:r>
          </w:p>
        </w:tc>
        <w:tc>
          <w:tcPr>
            <w:tcW w:w="6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3860" w:type="dxa"/>
            <w:vAlign w:val="bottom"/>
          </w:tcPr>
          <w:p>
            <w:pPr>
              <w:ind w:left="60"/>
              <w:spacing w:after="0"/>
              <w:rPr>
                <w:sz w:val="20"/>
                <w:szCs w:val="20"/>
                <w:color w:val="auto"/>
              </w:rPr>
            </w:pPr>
            <w:r>
              <w:rPr>
                <w:rFonts w:ascii="Arial" w:cs="Arial" w:eastAsia="Arial" w:hAnsi="Arial"/>
                <w:sz w:val="18"/>
                <w:szCs w:val="18"/>
                <w:color w:val="auto"/>
              </w:rPr>
              <w:t>Changes to the Borrower</w:t>
            </w:r>
          </w:p>
        </w:tc>
        <w:tc>
          <w:tcPr>
            <w:tcW w:w="6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3860" w:type="dxa"/>
            <w:vAlign w:val="bottom"/>
          </w:tcPr>
          <w:p>
            <w:pPr>
              <w:ind w:left="60"/>
              <w:spacing w:after="0"/>
              <w:rPr>
                <w:sz w:val="20"/>
                <w:szCs w:val="20"/>
                <w:color w:val="auto"/>
              </w:rPr>
            </w:pPr>
            <w:r>
              <w:rPr>
                <w:rFonts w:ascii="Arial" w:cs="Arial" w:eastAsia="Arial" w:hAnsi="Arial"/>
                <w:sz w:val="18"/>
                <w:szCs w:val="18"/>
                <w:color w:val="auto"/>
              </w:rPr>
              <w:t>Role of the Agent</w:t>
            </w:r>
          </w:p>
        </w:tc>
        <w:tc>
          <w:tcPr>
            <w:tcW w:w="66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3860" w:type="dxa"/>
            <w:vAlign w:val="bottom"/>
          </w:tcPr>
          <w:p>
            <w:pPr>
              <w:ind w:left="60"/>
              <w:spacing w:after="0"/>
              <w:rPr>
                <w:sz w:val="20"/>
                <w:szCs w:val="20"/>
                <w:color w:val="auto"/>
              </w:rPr>
            </w:pPr>
            <w:r>
              <w:rPr>
                <w:rFonts w:ascii="Arial" w:cs="Arial" w:eastAsia="Arial" w:hAnsi="Arial"/>
                <w:sz w:val="18"/>
                <w:szCs w:val="18"/>
                <w:color w:val="auto"/>
              </w:rPr>
              <w:t>Conduct of business by the Finance Parties</w:t>
            </w:r>
          </w:p>
        </w:tc>
        <w:tc>
          <w:tcPr>
            <w:tcW w:w="6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3860" w:type="dxa"/>
            <w:vAlign w:val="bottom"/>
          </w:tcPr>
          <w:p>
            <w:pPr>
              <w:ind w:left="60"/>
              <w:spacing w:after="0"/>
              <w:rPr>
                <w:sz w:val="20"/>
                <w:szCs w:val="20"/>
                <w:color w:val="auto"/>
              </w:rPr>
            </w:pPr>
            <w:r>
              <w:rPr>
                <w:rFonts w:ascii="Arial" w:cs="Arial" w:eastAsia="Arial" w:hAnsi="Arial"/>
                <w:sz w:val="18"/>
                <w:szCs w:val="18"/>
                <w:color w:val="auto"/>
              </w:rPr>
              <w:t>Payment Mechanics</w:t>
            </w:r>
          </w:p>
        </w:tc>
        <w:tc>
          <w:tcPr>
            <w:tcW w:w="6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3860" w:type="dxa"/>
            <w:vAlign w:val="bottom"/>
          </w:tcPr>
          <w:p>
            <w:pPr>
              <w:ind w:left="60"/>
              <w:spacing w:after="0"/>
              <w:rPr>
                <w:sz w:val="20"/>
                <w:szCs w:val="20"/>
                <w:color w:val="auto"/>
              </w:rPr>
            </w:pPr>
            <w:r>
              <w:rPr>
                <w:rFonts w:ascii="Arial" w:cs="Arial" w:eastAsia="Arial" w:hAnsi="Arial"/>
                <w:sz w:val="18"/>
                <w:szCs w:val="18"/>
                <w:color w:val="auto"/>
              </w:rPr>
              <w:t>Set-off</w:t>
            </w:r>
          </w:p>
        </w:tc>
        <w:tc>
          <w:tcPr>
            <w:tcW w:w="6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26.</w:t>
            </w:r>
          </w:p>
        </w:tc>
        <w:tc>
          <w:tcPr>
            <w:tcW w:w="3860" w:type="dxa"/>
            <w:vAlign w:val="bottom"/>
          </w:tcPr>
          <w:p>
            <w:pPr>
              <w:ind w:left="60"/>
              <w:spacing w:after="0"/>
              <w:rPr>
                <w:sz w:val="20"/>
                <w:szCs w:val="20"/>
                <w:color w:val="auto"/>
              </w:rPr>
            </w:pPr>
            <w:r>
              <w:rPr>
                <w:rFonts w:ascii="Arial" w:cs="Arial" w:eastAsia="Arial" w:hAnsi="Arial"/>
                <w:sz w:val="18"/>
                <w:szCs w:val="18"/>
                <w:color w:val="auto"/>
              </w:rPr>
              <w:t>Notices</w:t>
            </w:r>
          </w:p>
        </w:tc>
        <w:tc>
          <w:tcPr>
            <w:tcW w:w="66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27.</w:t>
            </w:r>
          </w:p>
        </w:tc>
        <w:tc>
          <w:tcPr>
            <w:tcW w:w="3860" w:type="dxa"/>
            <w:vAlign w:val="bottom"/>
          </w:tcPr>
          <w:p>
            <w:pPr>
              <w:ind w:left="60"/>
              <w:spacing w:after="0"/>
              <w:rPr>
                <w:sz w:val="20"/>
                <w:szCs w:val="20"/>
                <w:color w:val="auto"/>
              </w:rPr>
            </w:pPr>
            <w:r>
              <w:rPr>
                <w:rFonts w:ascii="Arial" w:cs="Arial" w:eastAsia="Arial" w:hAnsi="Arial"/>
                <w:sz w:val="18"/>
                <w:szCs w:val="18"/>
                <w:color w:val="auto"/>
              </w:rPr>
              <w:t>Calculations and Certificates</w:t>
            </w:r>
          </w:p>
        </w:tc>
        <w:tc>
          <w:tcPr>
            <w:tcW w:w="66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28.</w:t>
            </w:r>
          </w:p>
        </w:tc>
        <w:tc>
          <w:tcPr>
            <w:tcW w:w="3860" w:type="dxa"/>
            <w:vAlign w:val="bottom"/>
          </w:tcPr>
          <w:p>
            <w:pPr>
              <w:ind w:left="60"/>
              <w:spacing w:after="0"/>
              <w:rPr>
                <w:sz w:val="20"/>
                <w:szCs w:val="20"/>
                <w:color w:val="auto"/>
              </w:rPr>
            </w:pPr>
            <w:r>
              <w:rPr>
                <w:rFonts w:ascii="Arial" w:cs="Arial" w:eastAsia="Arial" w:hAnsi="Arial"/>
                <w:sz w:val="18"/>
                <w:szCs w:val="18"/>
                <w:color w:val="auto"/>
              </w:rPr>
              <w:t>Partial Invalidity</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29.</w:t>
            </w:r>
          </w:p>
        </w:tc>
        <w:tc>
          <w:tcPr>
            <w:tcW w:w="3860" w:type="dxa"/>
            <w:vAlign w:val="bottom"/>
          </w:tcPr>
          <w:p>
            <w:pPr>
              <w:ind w:left="60"/>
              <w:spacing w:after="0"/>
              <w:rPr>
                <w:sz w:val="20"/>
                <w:szCs w:val="20"/>
                <w:color w:val="auto"/>
              </w:rPr>
            </w:pPr>
            <w:r>
              <w:rPr>
                <w:rFonts w:ascii="Arial" w:cs="Arial" w:eastAsia="Arial" w:hAnsi="Arial"/>
                <w:sz w:val="18"/>
                <w:szCs w:val="18"/>
                <w:color w:val="auto"/>
              </w:rPr>
              <w:t>Remedies and Waivers</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30.</w:t>
            </w:r>
          </w:p>
        </w:tc>
        <w:tc>
          <w:tcPr>
            <w:tcW w:w="386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3860" w:type="dxa"/>
            <w:vAlign w:val="bottom"/>
          </w:tcPr>
          <w:p>
            <w:pPr>
              <w:ind w:left="60"/>
              <w:spacing w:after="0"/>
              <w:rPr>
                <w:sz w:val="20"/>
                <w:szCs w:val="20"/>
                <w:color w:val="auto"/>
              </w:rPr>
            </w:pPr>
            <w:r>
              <w:rPr>
                <w:rFonts w:ascii="Arial" w:cs="Arial" w:eastAsia="Arial" w:hAnsi="Arial"/>
                <w:sz w:val="18"/>
                <w:szCs w:val="18"/>
                <w:color w:val="auto"/>
              </w:rPr>
              <w:t>Confidential Information</w:t>
            </w:r>
          </w:p>
        </w:tc>
        <w:tc>
          <w:tcPr>
            <w:tcW w:w="66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3860" w:type="dxa"/>
            <w:vAlign w:val="bottom"/>
          </w:tcPr>
          <w:p>
            <w:pPr>
              <w:ind w:left="60"/>
              <w:spacing w:after="0"/>
              <w:rPr>
                <w:sz w:val="20"/>
                <w:szCs w:val="20"/>
                <w:color w:val="auto"/>
              </w:rPr>
            </w:pPr>
            <w:r>
              <w:rPr>
                <w:rFonts w:ascii="Arial" w:cs="Arial" w:eastAsia="Arial" w:hAnsi="Arial"/>
                <w:sz w:val="18"/>
                <w:szCs w:val="18"/>
                <w:color w:val="auto"/>
              </w:rPr>
              <w:t>Confidentiality of Funding Rates</w:t>
            </w:r>
          </w:p>
        </w:tc>
        <w:tc>
          <w:tcPr>
            <w:tcW w:w="66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38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6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386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6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64"/>
        </w:trPr>
        <w:tc>
          <w:tcPr>
            <w:tcW w:w="46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6640" w:type="dxa"/>
            <w:vAlign w:val="bottom"/>
          </w:tcPr>
          <w:p>
            <w:pPr>
              <w:jc w:val="right"/>
              <w:ind w:right="5231"/>
              <w:spacing w:after="0"/>
              <w:rPr>
                <w:sz w:val="20"/>
                <w:szCs w:val="20"/>
                <w:color w:val="auto"/>
              </w:rPr>
            </w:pPr>
            <w:r>
              <w:rPr>
                <w:rFonts w:ascii="Arial" w:cs="Arial" w:eastAsia="Arial" w:hAnsi="Arial"/>
                <w:sz w:val="18"/>
                <w:szCs w:val="18"/>
                <w:color w:val="auto"/>
              </w:rPr>
              <w:t>- i -</w:t>
            </w:r>
          </w:p>
        </w:tc>
      </w:tr>
    </w:tbl>
    <w:p>
      <w:pPr>
        <w:jc w:val="right"/>
        <w:ind w:right="5231"/>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35. Enforcement</w:t>
            </w:r>
          </w:p>
        </w:tc>
        <w:tc>
          <w:tcPr>
            <w:tcW w:w="63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1</w:t>
            </w:r>
          </w:p>
        </w:tc>
        <w:tc>
          <w:tcPr>
            <w:tcW w:w="3780" w:type="dxa"/>
            <w:vAlign w:val="bottom"/>
          </w:tcPr>
          <w:p>
            <w:pPr>
              <w:ind w:left="20"/>
              <w:spacing w:after="0"/>
              <w:rPr>
                <w:sz w:val="20"/>
                <w:szCs w:val="20"/>
                <w:color w:val="auto"/>
              </w:rPr>
            </w:pPr>
            <w:r>
              <w:rPr>
                <w:rFonts w:ascii="Arial" w:cs="Arial" w:eastAsia="Arial" w:hAnsi="Arial"/>
                <w:sz w:val="18"/>
                <w:szCs w:val="18"/>
                <w:color w:val="auto"/>
              </w:rPr>
              <w:t>Conditions Precedent to Initial Utilisation</w:t>
            </w:r>
          </w:p>
        </w:tc>
        <w:tc>
          <w:tcPr>
            <w:tcW w:w="63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2</w:t>
            </w:r>
          </w:p>
        </w:tc>
        <w:tc>
          <w:tcPr>
            <w:tcW w:w="3780" w:type="dxa"/>
            <w:vAlign w:val="bottom"/>
          </w:tcPr>
          <w:p>
            <w:pPr>
              <w:ind w:left="20"/>
              <w:spacing w:after="0"/>
              <w:rPr>
                <w:sz w:val="20"/>
                <w:szCs w:val="20"/>
                <w:color w:val="auto"/>
              </w:rPr>
            </w:pPr>
            <w:r>
              <w:rPr>
                <w:rFonts w:ascii="Arial" w:cs="Arial" w:eastAsia="Arial" w:hAnsi="Arial"/>
                <w:sz w:val="18"/>
                <w:szCs w:val="18"/>
                <w:color w:val="auto"/>
              </w:rPr>
              <w:t>Utilisation Request</w:t>
            </w:r>
          </w:p>
        </w:tc>
        <w:tc>
          <w:tcPr>
            <w:tcW w:w="63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3</w:t>
            </w:r>
          </w:p>
        </w:tc>
        <w:tc>
          <w:tcPr>
            <w:tcW w:w="3780" w:type="dxa"/>
            <w:vAlign w:val="bottom"/>
          </w:tcPr>
          <w:p>
            <w:pPr>
              <w:ind w:left="20"/>
              <w:spacing w:after="0"/>
              <w:rPr>
                <w:sz w:val="20"/>
                <w:szCs w:val="20"/>
                <w:color w:val="auto"/>
              </w:rPr>
            </w:pPr>
            <w:r>
              <w:rPr>
                <w:rFonts w:ascii="Arial" w:cs="Arial" w:eastAsia="Arial" w:hAnsi="Arial"/>
                <w:sz w:val="18"/>
                <w:szCs w:val="18"/>
                <w:color w:val="auto"/>
              </w:rPr>
              <w:t>Form of Compliance Certificate</w:t>
            </w:r>
          </w:p>
        </w:tc>
        <w:tc>
          <w:tcPr>
            <w:tcW w:w="6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4</w:t>
            </w:r>
          </w:p>
        </w:tc>
        <w:tc>
          <w:tcPr>
            <w:tcW w:w="3780" w:type="dxa"/>
            <w:vAlign w:val="bottom"/>
          </w:tcPr>
          <w:p>
            <w:pPr>
              <w:ind w:left="20"/>
              <w:spacing w:after="0"/>
              <w:rPr>
                <w:sz w:val="20"/>
                <w:szCs w:val="20"/>
                <w:color w:val="auto"/>
              </w:rPr>
            </w:pPr>
            <w:r>
              <w:rPr>
                <w:rFonts w:ascii="Arial" w:cs="Arial" w:eastAsia="Arial" w:hAnsi="Arial"/>
                <w:sz w:val="18"/>
                <w:szCs w:val="18"/>
                <w:color w:val="auto"/>
              </w:rPr>
              <w:t>Reference Rate Terms</w:t>
            </w:r>
          </w:p>
        </w:tc>
        <w:tc>
          <w:tcPr>
            <w:tcW w:w="63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65"/>
        </w:trPr>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360" w:type="dxa"/>
            <w:vAlign w:val="bottom"/>
          </w:tcPr>
          <w:p>
            <w:pPr>
              <w:jc w:val="right"/>
              <w:ind w:right="5210"/>
              <w:spacing w:after="0"/>
              <w:rPr>
                <w:sz w:val="20"/>
                <w:szCs w:val="20"/>
                <w:color w:val="auto"/>
              </w:rPr>
            </w:pPr>
            <w:r>
              <w:rPr>
                <w:rFonts w:ascii="Arial" w:cs="Arial" w:eastAsia="Arial" w:hAnsi="Arial"/>
                <w:sz w:val="18"/>
                <w:szCs w:val="18"/>
                <w:color w:val="auto"/>
              </w:rPr>
              <w:t>- ii -</w:t>
            </w:r>
          </w:p>
        </w:tc>
      </w:tr>
    </w:tbl>
    <w:p>
      <w:pPr>
        <w:jc w:val="right"/>
        <w:ind w:right="5210"/>
        <w:spacing w:after="0"/>
        <w:rPr>
          <w:sz w:val="20"/>
          <w:szCs w:val="20"/>
          <w:color w:val="auto"/>
        </w:rPr>
        <w:sectPr>
          <w:pgSz w:w="11900" w:h="16838" w:orient="portrait"/>
          <w:cols w:equalWidth="0" w:num="1">
            <w:col w:w="10960"/>
          </w:cols>
          <w:pgMar w:left="440" w:top="274"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is dated 3 November 2022 and made between:</w:t>
      </w:r>
    </w:p>
    <w:p>
      <w:pPr>
        <w:spacing w:after="0" w:line="131" w:lineRule="exact"/>
        <w:rPr>
          <w:sz w:val="20"/>
          <w:szCs w:val="20"/>
          <w:color w:val="auto"/>
        </w:rPr>
      </w:pPr>
    </w:p>
    <w:p>
      <w:pPr>
        <w:ind w:left="424" w:right="220" w:hanging="424"/>
        <w:spacing w:after="0" w:line="282"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POLESTAR AUTOMOTIVE HOLDING UK PLC</w:t>
      </w:r>
      <w:r>
        <w:rPr>
          <w:rFonts w:ascii="Arial" w:cs="Arial" w:eastAsia="Arial" w:hAnsi="Arial"/>
          <w:sz w:val="18"/>
          <w:szCs w:val="18"/>
          <w:color w:val="auto"/>
        </w:rPr>
        <w:t>, a public limited company registered in England and Wales with number 13624182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SNITA HOLDING B.V.</w:t>
      </w:r>
      <w:r>
        <w:rPr>
          <w:rFonts w:ascii="Arial" w:cs="Arial" w:eastAsia="Arial" w:hAnsi="Arial"/>
          <w:sz w:val="18"/>
          <w:szCs w:val="18"/>
          <w:color w:val="auto"/>
        </w:rPr>
        <w:t>, a private company (</w:t>
      </w:r>
      <w:r>
        <w:rPr>
          <w:rFonts w:ascii="Arial" w:cs="Arial" w:eastAsia="Arial" w:hAnsi="Arial"/>
          <w:sz w:val="18"/>
          <w:szCs w:val="18"/>
          <w:i w:val="1"/>
          <w:iCs w:val="1"/>
          <w:color w:val="auto"/>
        </w:rPr>
        <w:t>besloten vennootschap</w:t>
      </w:r>
      <w:r>
        <w:rPr>
          <w:rFonts w:ascii="Arial" w:cs="Arial" w:eastAsia="Arial" w:hAnsi="Arial"/>
          <w:sz w:val="18"/>
          <w:szCs w:val="18"/>
          <w:color w:val="auto"/>
        </w:rPr>
        <w:t>) incorporated under Dutch law and registered with the Trade Register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Dutch Chamber of Commerce under number 33225475 as lender (the “</w:t>
      </w:r>
      <w:r>
        <w:rPr>
          <w:rFonts w:ascii="Arial" w:cs="Arial" w:eastAsia="Arial" w:hAnsi="Arial"/>
          <w:sz w:val="18"/>
          <w:szCs w:val="18"/>
          <w:b w:val="1"/>
          <w:bCs w:val="1"/>
          <w:color w:val="auto"/>
        </w:rPr>
        <w:t>Original Lender</w:t>
      </w:r>
      <w:r>
        <w:rPr>
          <w:rFonts w:ascii="Arial" w:cs="Arial" w:eastAsia="Arial" w:hAnsi="Arial"/>
          <w:sz w:val="18"/>
          <w:szCs w:val="18"/>
          <w:color w:val="auto"/>
        </w:rPr>
        <w:t>”); and</w:t>
      </w:r>
    </w:p>
    <w:p>
      <w:pPr>
        <w:spacing w:after="0" w:line="67" w:lineRule="exact"/>
        <w:rPr>
          <w:rFonts w:ascii="Arial" w:cs="Arial" w:eastAsia="Arial" w:hAnsi="Arial"/>
          <w:sz w:val="18"/>
          <w:szCs w:val="18"/>
          <w:color w:val="auto"/>
        </w:rPr>
      </w:pPr>
    </w:p>
    <w:p>
      <w:pPr>
        <w:ind w:left="424" w:hanging="424"/>
        <w:spacing w:after="0" w:line="282"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SNITA HOLDING B.V.</w:t>
      </w:r>
      <w:r>
        <w:rPr>
          <w:rFonts w:ascii="Arial" w:cs="Arial" w:eastAsia="Arial" w:hAnsi="Arial"/>
          <w:sz w:val="18"/>
          <w:szCs w:val="18"/>
          <w:color w:val="auto"/>
        </w:rPr>
        <w:t>, a private company (</w:t>
      </w:r>
      <w:r>
        <w:rPr>
          <w:rFonts w:ascii="Arial" w:cs="Arial" w:eastAsia="Arial" w:hAnsi="Arial"/>
          <w:sz w:val="18"/>
          <w:szCs w:val="18"/>
          <w:i w:val="1"/>
          <w:iCs w:val="1"/>
          <w:color w:val="auto"/>
        </w:rPr>
        <w:t>besloten vennootschap</w:t>
      </w:r>
      <w:r>
        <w:rPr>
          <w:rFonts w:ascii="Arial" w:cs="Arial" w:eastAsia="Arial" w:hAnsi="Arial"/>
          <w:sz w:val="18"/>
          <w:szCs w:val="18"/>
          <w:color w:val="auto"/>
        </w:rPr>
        <w:t>) incorporated under Dutch law and registered with the Trade Register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Dutch Chamber of Commerce under number 33225475 as facility agent (the “</w:t>
      </w:r>
      <w:r>
        <w:rPr>
          <w:rFonts w:ascii="Arial" w:cs="Arial" w:eastAsia="Arial" w:hAnsi="Arial"/>
          <w:sz w:val="18"/>
          <w:szCs w:val="18"/>
          <w:b w:val="1"/>
          <w:bCs w:val="1"/>
          <w:color w:val="auto"/>
        </w:rPr>
        <w:t>Agent</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Business Day</w:t>
      </w:r>
      <w:r>
        <w:rPr>
          <w:rFonts w:ascii="Arial" w:cs="Arial" w:eastAsia="Arial" w:hAnsi="Arial"/>
          <w:sz w:val="18"/>
          <w:szCs w:val="18"/>
          <w:color w:val="auto"/>
        </w:rPr>
        <w:t>” means any day specified as such in the Reference Rate Terms.</w:t>
      </w:r>
    </w:p>
    <w:p>
      <w:pPr>
        <w:spacing w:after="0" w:line="117" w:lineRule="exact"/>
        <w:rPr>
          <w:sz w:val="20"/>
          <w:szCs w:val="20"/>
          <w:color w:val="auto"/>
        </w:rPr>
      </w:pPr>
    </w:p>
    <w:p>
      <w:pPr>
        <w:ind w:left="444"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Term Rate</w:t>
      </w:r>
      <w:r>
        <w:rPr>
          <w:rFonts w:ascii="Arial" w:cs="Arial" w:eastAsia="Arial" w:hAnsi="Arial"/>
          <w:sz w:val="18"/>
          <w:szCs w:val="18"/>
          <w:color w:val="auto"/>
        </w:rPr>
        <w:t>” means any rate specified as such in the Reference Rate Terms.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Term Rate Adjustment</w:t>
      </w:r>
      <w:r>
        <w:rPr>
          <w:rFonts w:ascii="Arial" w:cs="Arial" w:eastAsia="Arial" w:hAnsi="Arial"/>
          <w:sz w:val="18"/>
          <w:szCs w:val="18"/>
          <w:color w:val="auto"/>
        </w:rPr>
        <w:t>” means any rate which is either:</w:t>
      </w:r>
    </w:p>
    <w:p>
      <w:pPr>
        <w:spacing w:after="0" w:line="135" w:lineRule="exact"/>
        <w:rPr>
          <w:sz w:val="20"/>
          <w:szCs w:val="20"/>
          <w:color w:val="auto"/>
        </w:rPr>
      </w:pPr>
    </w:p>
    <w:p>
      <w:pPr>
        <w:ind w:left="964" w:hanging="532"/>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specified as such in the Reference Rate Terms; or</w:t>
      </w:r>
    </w:p>
    <w:p>
      <w:pPr>
        <w:spacing w:after="0" w:line="130" w:lineRule="exact"/>
        <w:rPr>
          <w:rFonts w:ascii="Arial" w:cs="Arial" w:eastAsia="Arial" w:hAnsi="Arial"/>
          <w:sz w:val="18"/>
          <w:szCs w:val="18"/>
          <w:color w:val="auto"/>
        </w:rPr>
      </w:pPr>
    </w:p>
    <w:p>
      <w:pPr>
        <w:ind w:left="964" w:right="60" w:hanging="532"/>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determined by the Agent (or by any other Finance Party which agrees to determine that rate in place of the Agent) in accordance with the methodology specified in the Reference Rate Terms.</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117" w:lineRule="exact"/>
        <w:rPr>
          <w:sz w:val="20"/>
          <w:szCs w:val="20"/>
          <w:color w:val="auto"/>
        </w:rPr>
      </w:pPr>
    </w:p>
    <w:p>
      <w:pPr>
        <w:ind w:left="444"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date of this Agreement to and including the date falling three Months before the Termination Date.</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the amount of the Facility minus:</w:t>
      </w:r>
    </w:p>
    <w:p>
      <w:pPr>
        <w:spacing w:after="0" w:line="135" w:lineRule="exact"/>
        <w:rPr>
          <w:sz w:val="20"/>
          <w:szCs w:val="20"/>
          <w:color w:val="auto"/>
        </w:rPr>
      </w:pPr>
    </w:p>
    <w:p>
      <w:pPr>
        <w:ind w:left="964" w:hanging="532"/>
        <w:spacing w:after="0"/>
        <w:tabs>
          <w:tab w:leader="none" w:pos="9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any outstanding Loans;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relation to any proposed Utilisation, the amount of any Loans that are due to be made on or before the proposed Utilisation Date.</w:t>
      </w:r>
    </w:p>
    <w:p>
      <w:pPr>
        <w:spacing w:after="0" w:line="169" w:lineRule="exact"/>
        <w:rPr>
          <w:rFonts w:ascii="Arial" w:cs="Arial" w:eastAsia="Arial" w:hAnsi="Arial"/>
          <w:sz w:val="17"/>
          <w:szCs w:val="17"/>
          <w:color w:val="auto"/>
        </w:rPr>
      </w:pPr>
    </w:p>
    <w:p>
      <w:pPr>
        <w:ind w:left="5464" w:hanging="106"/>
        <w:spacing w:after="0"/>
        <w:tabs>
          <w:tab w:leader="none" w:pos="5464" w:val="left"/>
        </w:tabs>
        <w:numPr>
          <w:ilvl w:val="1"/>
          <w:numId w:val="6"/>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0904"/>
          </w:cols>
          <w:pgMar w:left="436" w:top="270" w:right="559" w:bottom="1440" w:gutter="0" w:footer="0" w:header="0"/>
        </w:sectPr>
      </w:pPr>
    </w:p>
    <w:bookmarkStart w:id="8" w:name="page9"/>
    <w:bookmarkEnd w:id="8"/>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35" w:lineRule="exact"/>
        <w:rPr>
          <w:sz w:val="20"/>
          <w:szCs w:val="20"/>
          <w:color w:val="auto"/>
        </w:rPr>
      </w:pPr>
    </w:p>
    <w:p>
      <w:pPr>
        <w:ind w:left="532" w:right="140" w:hanging="532"/>
        <w:spacing w:after="0" w:line="263"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interest (excluding Margin) which the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spacing w:after="0" w:line="75" w:lineRule="exact"/>
        <w:rPr>
          <w:rFonts w:ascii="Arial" w:cs="Arial" w:eastAsia="Arial" w:hAnsi="Arial"/>
          <w:sz w:val="18"/>
          <w:szCs w:val="18"/>
          <w:color w:val="auto"/>
        </w:rPr>
      </w:pPr>
    </w:p>
    <w:p>
      <w:pPr>
        <w:ind w:left="552"/>
        <w:spacing w:after="0"/>
        <w:rPr>
          <w:rFonts w:ascii="Arial" w:cs="Arial" w:eastAsia="Arial" w:hAnsi="Arial"/>
          <w:sz w:val="18"/>
          <w:szCs w:val="18"/>
          <w:color w:val="auto"/>
        </w:rPr>
      </w:pPr>
      <w:r>
        <w:rPr>
          <w:rFonts w:ascii="Arial" w:cs="Arial" w:eastAsia="Arial" w:hAnsi="Arial"/>
          <w:sz w:val="18"/>
          <w:szCs w:val="18"/>
          <w:color w:val="auto"/>
        </w:rPr>
        <w:t>exceeds:</w:t>
      </w:r>
    </w:p>
    <w:p>
      <w:pPr>
        <w:spacing w:after="0" w:line="130" w:lineRule="exact"/>
        <w:rPr>
          <w:rFonts w:ascii="Arial" w:cs="Arial" w:eastAsia="Arial" w:hAnsi="Arial"/>
          <w:sz w:val="18"/>
          <w:szCs w:val="18"/>
          <w:color w:val="auto"/>
        </w:rPr>
      </w:pPr>
    </w:p>
    <w:p>
      <w:pPr>
        <w:ind w:left="532" w:right="20" w:hanging="532"/>
        <w:spacing w:after="0" w:line="263" w:lineRule="auto"/>
        <w:tabs>
          <w:tab w:leader="none" w:pos="53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72" w:lineRule="exact"/>
        <w:rPr>
          <w:sz w:val="20"/>
          <w:szCs w:val="20"/>
          <w:color w:val="auto"/>
        </w:rPr>
      </w:pPr>
    </w:p>
    <w:p>
      <w:pPr>
        <w:ind w:left="12"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Amsterdam, London, Stockholm and New York and, in relation to the fixing of an interest rate in relation to a Loan, which is an Additional Business Day relating to that Loan or Unpaid Sum.</w:t>
      </w:r>
    </w:p>
    <w:p>
      <w:pPr>
        <w:spacing w:after="0" w:line="68" w:lineRule="exact"/>
        <w:rPr>
          <w:sz w:val="20"/>
          <w:szCs w:val="20"/>
          <w:color w:val="auto"/>
        </w:rPr>
      </w:pPr>
    </w:p>
    <w:p>
      <w:pPr>
        <w:ind w:left="12"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Cashflow Forecast</w:t>
      </w:r>
      <w:r>
        <w:rPr>
          <w:rFonts w:ascii="Arial" w:cs="Arial" w:eastAsia="Arial" w:hAnsi="Arial"/>
          <w:sz w:val="18"/>
          <w:szCs w:val="18"/>
          <w:color w:val="auto"/>
        </w:rPr>
        <w:t>” means the cashflow forecast most recently delivered to the Agent in accordance with Clause 17.2 (</w:t>
      </w:r>
      <w:r>
        <w:rPr>
          <w:rFonts w:ascii="Arial" w:cs="Arial" w:eastAsia="Arial" w:hAnsi="Arial"/>
          <w:sz w:val="18"/>
          <w:szCs w:val="18"/>
          <w:i w:val="1"/>
          <w:iCs w:val="1"/>
          <w:color w:val="auto"/>
        </w:rPr>
        <w:t>Cashflow Forecast</w:t>
      </w:r>
      <w:r>
        <w:rPr>
          <w:rFonts w:ascii="Arial" w:cs="Arial" w:eastAsia="Arial" w:hAnsi="Arial"/>
          <w:sz w:val="18"/>
          <w:szCs w:val="18"/>
          <w:color w:val="auto"/>
        </w:rPr>
        <w:t>) (or, if none, the Original Cashflow Forecast).</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3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17" w:lineRule="exact"/>
        <w:rPr>
          <w:sz w:val="20"/>
          <w:szCs w:val="20"/>
          <w:color w:val="auto"/>
        </w:rPr>
      </w:pPr>
    </w:p>
    <w:p>
      <w:pPr>
        <w:ind w:left="12"/>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all information relating to the Borrower,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the Borrower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93" w:lineRule="exact"/>
        <w:rPr>
          <w:sz w:val="20"/>
          <w:szCs w:val="20"/>
          <w:color w:val="auto"/>
        </w:rPr>
      </w:pPr>
    </w:p>
    <w:p>
      <w:pPr>
        <w:ind w:left="532" w:hanging="532"/>
        <w:spacing w:after="0"/>
        <w:tabs>
          <w:tab w:leader="none" w:pos="5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30" w:lineRule="exact"/>
        <w:rPr>
          <w:rFonts w:ascii="Arial" w:cs="Arial" w:eastAsia="Arial" w:hAnsi="Arial"/>
          <w:sz w:val="18"/>
          <w:szCs w:val="18"/>
          <w:color w:val="auto"/>
        </w:rPr>
      </w:pPr>
    </w:p>
    <w:p>
      <w:pPr>
        <w:ind w:left="992" w:right="860" w:hanging="439"/>
        <w:spacing w:after="0" w:line="277" w:lineRule="auto"/>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31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the Borrower or any of its advisers; or</w:t>
      </w:r>
    </w:p>
    <w:p>
      <w:pPr>
        <w:spacing w:after="0" w:line="130" w:lineRule="exact"/>
        <w:rPr>
          <w:rFonts w:ascii="Arial" w:cs="Arial" w:eastAsia="Arial" w:hAnsi="Arial"/>
          <w:sz w:val="18"/>
          <w:szCs w:val="18"/>
          <w:color w:val="auto"/>
        </w:rPr>
      </w:pPr>
    </w:p>
    <w:p>
      <w:pPr>
        <w:ind w:left="992" w:right="120" w:hanging="439"/>
        <w:spacing w:after="0" w:line="259" w:lineRule="auto"/>
        <w:tabs>
          <w:tab w:leader="none" w:pos="9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or is lawfully obtained by that Finance Party after that date, from a source which is, as far as that Finance Party is aware, unconnected with the Borrower and which, in either case, as far as that Finance Party is aware, has not been obtained in breach of, and is not otherwise subject to, any obligation of confidentiality; and</w:t>
      </w:r>
    </w:p>
    <w:p>
      <w:pPr>
        <w:spacing w:after="0" w:line="119" w:lineRule="exact"/>
        <w:rPr>
          <w:rFonts w:ascii="Arial" w:cs="Arial" w:eastAsia="Arial" w:hAnsi="Arial"/>
          <w:sz w:val="18"/>
          <w:szCs w:val="18"/>
          <w:color w:val="auto"/>
        </w:rPr>
      </w:pPr>
    </w:p>
    <w:p>
      <w:pPr>
        <w:ind w:left="5032" w:hanging="106"/>
        <w:spacing w:after="0"/>
        <w:tabs>
          <w:tab w:leader="none" w:pos="5032" w:val="left"/>
        </w:tabs>
        <w:numPr>
          <w:ilvl w:val="2"/>
          <w:numId w:val="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52"/>
          </w:cols>
          <w:pgMar w:left="868" w:top="270" w:right="479" w:bottom="1440" w:gutter="0" w:footer="0" w:header="0"/>
        </w:sectPr>
      </w:pPr>
    </w:p>
    <w:bookmarkStart w:id="9" w:name="page10"/>
    <w:bookmarkEnd w:id="9"/>
    <w:p>
      <w:pPr>
        <w:ind w:left="532" w:hanging="532"/>
        <w:spacing w:after="0"/>
        <w:tabs>
          <w:tab w:leader="none" w:pos="532"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Funding Rate.</w:t>
      </w:r>
    </w:p>
    <w:p>
      <w:pPr>
        <w:spacing w:after="0" w:line="113" w:lineRule="exact"/>
        <w:rPr>
          <w:sz w:val="20"/>
          <w:szCs w:val="20"/>
          <w:color w:val="auto"/>
        </w:rPr>
      </w:pPr>
    </w:p>
    <w:p>
      <w:pPr>
        <w:ind w:left="12"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the Borrower and the Agent.</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Right</w:t>
      </w:r>
      <w:r>
        <w:rPr>
          <w:rFonts w:ascii="Arial" w:cs="Arial" w:eastAsia="Arial" w:hAnsi="Arial"/>
          <w:sz w:val="18"/>
          <w:szCs w:val="18"/>
          <w:color w:val="auto"/>
        </w:rPr>
        <w:t>” has the meaning given to it in Clause 6.2 (</w:t>
      </w:r>
      <w:r>
        <w:rPr>
          <w:rFonts w:ascii="Arial" w:cs="Arial" w:eastAsia="Arial" w:hAnsi="Arial"/>
          <w:sz w:val="18"/>
          <w:szCs w:val="18"/>
          <w:i w:val="1"/>
          <w:iCs w:val="1"/>
          <w:color w:val="auto"/>
        </w:rPr>
        <w:t>Lender debt-for-equity option</w:t>
      </w:r>
      <w:r>
        <w:rPr>
          <w:rFonts w:ascii="Arial" w:cs="Arial" w:eastAsia="Arial" w:hAnsi="Arial"/>
          <w:sz w:val="18"/>
          <w:szCs w:val="18"/>
          <w:color w:val="auto"/>
        </w:rPr>
        <w:t>).</w:t>
      </w:r>
    </w:p>
    <w:p>
      <w:pPr>
        <w:spacing w:after="0" w:line="117" w:lineRule="exact"/>
        <w:rPr>
          <w:sz w:val="20"/>
          <w:szCs w:val="20"/>
          <w:color w:val="auto"/>
        </w:rPr>
      </w:pPr>
    </w:p>
    <w:p>
      <w:pPr>
        <w:ind w:left="12"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Shares</w:t>
      </w:r>
      <w:r>
        <w:rPr>
          <w:rFonts w:ascii="Arial" w:cs="Arial" w:eastAsia="Arial" w:hAnsi="Arial"/>
          <w:sz w:val="18"/>
          <w:szCs w:val="18"/>
          <w:color w:val="auto"/>
        </w:rPr>
        <w:t xml:space="preserve">” means shares of the same class, bearing the same rights and entitlements, and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shares offered to investors pursuant to the terms of the QEO.</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Principal Amount</w:t>
      </w:r>
      <w:r>
        <w:rPr>
          <w:rFonts w:ascii="Arial" w:cs="Arial" w:eastAsia="Arial" w:hAnsi="Arial"/>
          <w:sz w:val="18"/>
          <w:szCs w:val="18"/>
          <w:color w:val="auto"/>
        </w:rPr>
        <w:t>” has the meaning given to it in Clause 6.2 (</w:t>
      </w:r>
      <w:r>
        <w:rPr>
          <w:rFonts w:ascii="Arial" w:cs="Arial" w:eastAsia="Arial" w:hAnsi="Arial"/>
          <w:sz w:val="18"/>
          <w:szCs w:val="18"/>
          <w:i w:val="1"/>
          <w:iCs w:val="1"/>
          <w:color w:val="auto"/>
        </w:rPr>
        <w:t>Lender debt-for-equity option</w:t>
      </w:r>
      <w:r>
        <w:rPr>
          <w:rFonts w:ascii="Arial" w:cs="Arial" w:eastAsia="Arial" w:hAnsi="Arial"/>
          <w:sz w:val="18"/>
          <w:szCs w:val="18"/>
          <w:color w:val="auto"/>
        </w:rPr>
        <w:t>).</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Rate</w:t>
      </w:r>
      <w:r>
        <w:rPr>
          <w:rFonts w:ascii="Arial" w:cs="Arial" w:eastAsia="Arial" w:hAnsi="Arial"/>
          <w:sz w:val="18"/>
          <w:szCs w:val="18"/>
          <w:color w:val="auto"/>
        </w:rPr>
        <w:t>” means the rate specified as such in the Reference Rate Terms.</w:t>
      </w:r>
    </w:p>
    <w:p>
      <w:pPr>
        <w:spacing w:after="0" w:line="117" w:lineRule="exact"/>
        <w:rPr>
          <w:sz w:val="20"/>
          <w:szCs w:val="20"/>
          <w:color w:val="auto"/>
        </w:rPr>
      </w:pPr>
    </w:p>
    <w:p>
      <w:pPr>
        <w:jc w:val="both"/>
        <w:ind w:left="1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68"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Recipients</w:t>
      </w:r>
      <w:r>
        <w:rPr>
          <w:rFonts w:ascii="Arial" w:cs="Arial" w:eastAsia="Arial" w:hAnsi="Arial"/>
          <w:sz w:val="18"/>
          <w:szCs w:val="18"/>
          <w:color w:val="auto"/>
        </w:rPr>
        <w:t>” means:</w:t>
      </w:r>
    </w:p>
    <w:p>
      <w:pPr>
        <w:spacing w:after="0" w:line="135" w:lineRule="exact"/>
        <w:rPr>
          <w:sz w:val="20"/>
          <w:szCs w:val="20"/>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Pär Arvidsson (</w:t>
      </w:r>
      <w:r>
        <w:rPr>
          <w:rFonts w:ascii="Arial" w:cs="Arial" w:eastAsia="Arial" w:hAnsi="Arial"/>
          <w:sz w:val="18"/>
          <w:szCs w:val="18"/>
          <w:u w:val="single" w:color="auto"/>
          <w:color w:val="auto"/>
        </w:rPr>
        <w:t>par.arvidsson@volvocars.com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Anna Gunnarsson (</w:t>
      </w:r>
      <w:r>
        <w:rPr>
          <w:rFonts w:ascii="Arial" w:cs="Arial" w:eastAsia="Arial" w:hAnsi="Arial"/>
          <w:sz w:val="18"/>
          <w:szCs w:val="18"/>
          <w:u w:val="single" w:color="auto"/>
          <w:color w:val="auto"/>
        </w:rPr>
        <w:t>anna.gunnarsson@volvocars.com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Daniel Aspenberg (</w:t>
      </w:r>
      <w:r>
        <w:rPr>
          <w:rFonts w:ascii="Arial" w:cs="Arial" w:eastAsia="Arial" w:hAnsi="Arial"/>
          <w:sz w:val="18"/>
          <w:szCs w:val="18"/>
          <w:u w:val="single" w:color="auto"/>
          <w:color w:val="auto"/>
        </w:rPr>
        <w:t>Daniel.aspenberg@volvocars.com</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2" w:right="5560" w:hanging="12"/>
        <w:spacing w:after="0" w:line="431" w:lineRule="auto"/>
        <w:tabs>
          <w:tab w:leader="none" w:pos="544" w:val="left"/>
        </w:tabs>
        <w:numPr>
          <w:ilvl w:val="0"/>
          <w:numId w:val="10"/>
        </w:numPr>
        <w:rPr>
          <w:rFonts w:ascii="Arial" w:cs="Arial" w:eastAsia="Arial" w:hAnsi="Arial"/>
          <w:sz w:val="16"/>
          <w:szCs w:val="16"/>
          <w:color w:val="auto"/>
        </w:rPr>
      </w:pPr>
      <w:r>
        <w:rPr>
          <w:rFonts w:ascii="Arial" w:cs="Arial" w:eastAsia="Arial" w:hAnsi="Arial"/>
          <w:sz w:val="16"/>
          <w:szCs w:val="16"/>
          <w:color w:val="auto"/>
        </w:rPr>
        <w:t>Rosmarie Söderbom (</w:t>
      </w:r>
      <w:r>
        <w:rPr>
          <w:rFonts w:ascii="Arial" w:cs="Arial" w:eastAsia="Arial" w:hAnsi="Arial"/>
          <w:sz w:val="16"/>
          <w:szCs w:val="16"/>
          <w:u w:val="single" w:color="auto"/>
          <w:color w:val="auto"/>
        </w:rPr>
        <w:t>Rosmarie.soderbom@volvocars.com</w:t>
      </w:r>
      <w:r>
        <w:rPr>
          <w:rFonts w:ascii="Arial" w:cs="Arial" w:eastAsia="Arial" w:hAnsi="Arial"/>
          <w:sz w:val="16"/>
          <w:szCs w:val="16"/>
          <w:color w:val="auto"/>
        </w:rPr>
        <w:t>). “</w:t>
      </w:r>
      <w:r>
        <w:rPr>
          <w:rFonts w:ascii="Arial" w:cs="Arial" w:eastAsia="Arial" w:hAnsi="Arial"/>
          <w:sz w:val="16"/>
          <w:szCs w:val="16"/>
          <w:b w:val="1"/>
          <w:bCs w:val="1"/>
          <w:color w:val="auto"/>
        </w:rPr>
        <w:t>Disruption Event</w:t>
      </w:r>
      <w:r>
        <w:rPr>
          <w:rFonts w:ascii="Arial" w:cs="Arial" w:eastAsia="Arial" w:hAnsi="Arial"/>
          <w:sz w:val="16"/>
          <w:szCs w:val="16"/>
          <w:color w:val="auto"/>
        </w:rPr>
        <w:t>” means either or both of:</w:t>
      </w:r>
    </w:p>
    <w:p>
      <w:pPr>
        <w:spacing w:after="0" w:line="1" w:lineRule="exact"/>
        <w:rPr>
          <w:sz w:val="20"/>
          <w:szCs w:val="20"/>
          <w:color w:val="auto"/>
        </w:rPr>
      </w:pPr>
    </w:p>
    <w:p>
      <w:pPr>
        <w:ind w:left="532" w:right="160" w:hanging="532"/>
        <w:spacing w:after="0" w:line="311" w:lineRule="auto"/>
        <w:tabs>
          <w:tab w:leader="none" w:pos="5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54" w:lineRule="exact"/>
        <w:rPr>
          <w:rFonts w:ascii="Arial" w:cs="Arial" w:eastAsia="Arial" w:hAnsi="Arial"/>
          <w:sz w:val="16"/>
          <w:szCs w:val="16"/>
          <w:color w:val="auto"/>
        </w:rPr>
      </w:pPr>
    </w:p>
    <w:p>
      <w:pPr>
        <w:ind w:left="532" w:right="440" w:hanging="532"/>
        <w:spacing w:after="0" w:line="277" w:lineRule="auto"/>
        <w:tabs>
          <w:tab w:leader="none" w:pos="5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57" w:lineRule="exact"/>
        <w:rPr>
          <w:rFonts w:ascii="Arial" w:cs="Arial" w:eastAsia="Arial" w:hAnsi="Arial"/>
          <w:sz w:val="18"/>
          <w:szCs w:val="18"/>
          <w:color w:val="auto"/>
        </w:rPr>
      </w:pPr>
    </w:p>
    <w:p>
      <w:pPr>
        <w:ind w:left="5032" w:hanging="106"/>
        <w:spacing w:after="0"/>
        <w:tabs>
          <w:tab w:leader="none" w:pos="5032" w:val="left"/>
        </w:tabs>
        <w:numPr>
          <w:ilvl w:val="2"/>
          <w:numId w:val="1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452"/>
          </w:cols>
          <w:pgMar w:left="868" w:top="274" w:right="579" w:bottom="1440" w:gutter="0" w:footer="0" w:header="0"/>
        </w:sectPr>
      </w:pPr>
    </w:p>
    <w:bookmarkStart w:id="10" w:name="page11"/>
    <w:bookmarkEnd w:id="10"/>
    <w:p>
      <w:pPr>
        <w:ind w:left="1000" w:hanging="439"/>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from communicating with other Parties in accordance with the terms of the Finance Documents,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 which (in either such case) is not caused by, and is beyond the control of, the Party whose operations are disrupted.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in an aggregate amount of USD 800,000,000 made available under this Agreement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 to the extent not cancelled or reduced under this Agreement.</w:t>
      </w:r>
    </w:p>
    <w:p>
      <w:pPr>
        <w:spacing w:after="0" w:line="54"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 Office</w:t>
      </w:r>
      <w:r>
        <w:rPr>
          <w:rFonts w:ascii="Arial" w:cs="Arial" w:eastAsia="Arial" w:hAnsi="Arial"/>
          <w:sz w:val="18"/>
          <w:szCs w:val="18"/>
          <w:color w:val="auto"/>
        </w:rPr>
        <w:t>” means the office or offices identified with the Lender’s signature below or such other office as it may from time to time select by notice to the Borrower as the office or offices through which it will perform its obligations under this Agreement.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540" w:right="660" w:hanging="532"/>
        <w:spacing w:after="0" w:line="34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540" w:right="560" w:hanging="532"/>
        <w:spacing w:after="0" w:line="308" w:lineRule="auto"/>
        <w:tabs>
          <w:tab w:leader="none" w:pos="5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540" w:right="220" w:hanging="53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75"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this Agreement and any other document designated as such by the Agent and the Borrower.</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any of the Agent or any Lender.</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600"/>
          </w:cols>
          <w:pgMar w:left="860" w:top="274" w:right="4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(without double counting) any indebtedness for or in respect of:</w:t>
      </w:r>
    </w:p>
    <w:p>
      <w:pPr>
        <w:spacing w:after="0" w:line="135" w:lineRule="exact"/>
        <w:rPr>
          <w:sz w:val="20"/>
          <w:szCs w:val="20"/>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moneys borrowed;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acceptance credit (including any dematerialised equivalent);</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bond, note, debenture, loan stock or other security (other than Trade Instruments);</w:t>
      </w:r>
    </w:p>
    <w:p>
      <w:pPr>
        <w:spacing w:after="0" w:line="130" w:lineRule="exact"/>
        <w:rPr>
          <w:rFonts w:ascii="Arial" w:cs="Arial" w:eastAsia="Arial" w:hAnsi="Arial"/>
          <w:sz w:val="18"/>
          <w:szCs w:val="18"/>
          <w:color w:val="auto"/>
        </w:rPr>
      </w:pPr>
    </w:p>
    <w:p>
      <w:pPr>
        <w:ind w:left="540" w:hanging="532"/>
        <w:spacing w:after="0" w:line="286"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as applied to the most recent Financial Statements as the date of this Agreement, have been treated as an operating lease);</w:t>
      </w:r>
    </w:p>
    <w:p>
      <w:pPr>
        <w:spacing w:after="0" w:line="70" w:lineRule="exact"/>
        <w:rPr>
          <w:rFonts w:ascii="Arial" w:cs="Arial" w:eastAsia="Arial" w:hAnsi="Arial"/>
          <w:sz w:val="17"/>
          <w:szCs w:val="17"/>
          <w:color w:val="auto"/>
        </w:rPr>
      </w:pPr>
    </w:p>
    <w:p>
      <w:pPr>
        <w:ind w:left="540" w:hanging="532"/>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130" w:lineRule="exact"/>
        <w:rPr>
          <w:rFonts w:ascii="Arial" w:cs="Arial" w:eastAsia="Arial" w:hAnsi="Arial"/>
          <w:sz w:val="18"/>
          <w:szCs w:val="18"/>
          <w:color w:val="auto"/>
        </w:rPr>
      </w:pPr>
    </w:p>
    <w:p>
      <w:pPr>
        <w:ind w:left="540" w:right="2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acquisition cost of any asset or service to the extent payable before or after its acquisition or possession by the party liable where the advance or deferred payment:</w:t>
      </w:r>
    </w:p>
    <w:p>
      <w:pPr>
        <w:spacing w:after="0" w:line="75" w:lineRule="exact"/>
        <w:rPr>
          <w:rFonts w:ascii="Arial" w:cs="Arial" w:eastAsia="Arial" w:hAnsi="Arial"/>
          <w:sz w:val="18"/>
          <w:szCs w:val="18"/>
          <w:color w:val="auto"/>
        </w:rPr>
      </w:pPr>
    </w:p>
    <w:p>
      <w:pPr>
        <w:ind w:left="1000" w:right="100" w:hanging="439"/>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arranged primarily as a method of raising finance or of financing the acquisition of that asset or service or the construction of that asset or service; or</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is due more than 210 days after the date of acquisition or supply;</w:t>
      </w:r>
    </w:p>
    <w:p>
      <w:pPr>
        <w:spacing w:after="0" w:line="130" w:lineRule="exact"/>
        <w:rPr>
          <w:rFonts w:ascii="Arial" w:cs="Arial" w:eastAsia="Arial" w:hAnsi="Arial"/>
          <w:sz w:val="18"/>
          <w:szCs w:val="18"/>
          <w:color w:val="auto"/>
        </w:rPr>
      </w:pPr>
    </w:p>
    <w:p>
      <w:pPr>
        <w:ind w:left="540" w:right="140" w:hanging="532"/>
        <w:spacing w:after="0" w:line="342" w:lineRule="auto"/>
        <w:tabs>
          <w:tab w:leader="none" w:pos="5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purpose of Clause 19.4 (</w:t>
      </w:r>
      <w:r>
        <w:rPr>
          <w:rFonts w:ascii="Arial" w:cs="Arial" w:eastAsia="Arial" w:hAnsi="Arial"/>
          <w:sz w:val="16"/>
          <w:szCs w:val="16"/>
          <w:i w:val="1"/>
          <w:iCs w:val="1"/>
          <w:color w:val="auto"/>
        </w:rPr>
        <w:t>Cross default</w:t>
      </w:r>
      <w:r>
        <w:rPr>
          <w:rFonts w:ascii="Arial" w:cs="Arial" w:eastAsia="Arial" w:hAnsi="Arial"/>
          <w:sz w:val="16"/>
          <w:szCs w:val="16"/>
          <w:color w:val="auto"/>
        </w:rPr>
        <w:t>) only, any gains or losses realised on the termination of any Treasury Transaction to the extent not settled on its due date and only where such early settlement has been caused by a default (however described) of the Borrower;</w:t>
      </w:r>
    </w:p>
    <w:p>
      <w:pPr>
        <w:spacing w:after="0" w:line="29" w:lineRule="exact"/>
        <w:rPr>
          <w:rFonts w:ascii="Arial" w:cs="Arial" w:eastAsia="Arial" w:hAnsi="Arial"/>
          <w:sz w:val="16"/>
          <w:szCs w:val="16"/>
          <w:color w:val="auto"/>
        </w:rPr>
      </w:pPr>
    </w:p>
    <w:p>
      <w:pPr>
        <w:ind w:left="540" w:right="1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counter-indemnity obligation in respect of any guarantee, indemnity, bond, letter of credit or any other instrument issued by a bank or financial institution in respect of an underlying liability other than Trade Instruments; or</w:t>
      </w:r>
    </w:p>
    <w:p>
      <w:pPr>
        <w:spacing w:after="0" w:line="75" w:lineRule="exact"/>
        <w:rPr>
          <w:rFonts w:ascii="Arial" w:cs="Arial" w:eastAsia="Arial" w:hAnsi="Arial"/>
          <w:sz w:val="18"/>
          <w:szCs w:val="18"/>
          <w:color w:val="auto"/>
        </w:rPr>
      </w:pPr>
    </w:p>
    <w:p>
      <w:pPr>
        <w:ind w:left="540" w:right="820" w:hanging="532"/>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guarantee, indemnity or similar assurance against financial loss of any person in respect of any item referred to in the above paragraphs.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means the period commencing on the day after one Quarter Date and ending on the next Quarter Date.</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Funding Rate</w:t>
      </w:r>
      <w:r>
        <w:rPr>
          <w:rFonts w:ascii="Arial" w:cs="Arial" w:eastAsia="Arial" w:hAnsi="Arial"/>
          <w:sz w:val="17"/>
          <w:szCs w:val="17"/>
          <w:color w:val="auto"/>
        </w:rPr>
        <w:t>” means any individual rate notified by the Lender to the Agent pursuant to paragraph (a)(ii) of Clause 10.3 (</w:t>
      </w:r>
      <w:r>
        <w:rPr>
          <w:rFonts w:ascii="Arial" w:cs="Arial" w:eastAsia="Arial" w:hAnsi="Arial"/>
          <w:sz w:val="17"/>
          <w:szCs w:val="17"/>
          <w:i w:val="1"/>
          <w:iCs w:val="1"/>
          <w:color w:val="auto"/>
        </w:rPr>
        <w:t>Cost of funds</w:t>
      </w:r>
      <w:r>
        <w:rPr>
          <w:rFonts w:ascii="Arial" w:cs="Arial" w:eastAsia="Arial" w:hAnsi="Arial"/>
          <w:sz w:val="17"/>
          <w:szCs w:val="17"/>
          <w:color w:val="auto"/>
        </w:rPr>
        <w:t>).</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Kingdom including IFRS.</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580"/>
          </w:cols>
          <w:pgMar w:left="860" w:top="270" w:right="45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17"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UK- adopted international accounting standards within the meaning of section 474(1) of the Companies Act 2006 to the extent applicable to the relevant financial statements.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date falling every six Months from the date of this Agreement (whilst any Loan is outstanding).</w:t>
      </w:r>
    </w:p>
    <w:p>
      <w:pPr>
        <w:spacing w:after="0" w:line="117" w:lineRule="exact"/>
        <w:rPr>
          <w:sz w:val="20"/>
          <w:szCs w:val="20"/>
          <w:color w:val="auto"/>
        </w:rPr>
      </w:pPr>
    </w:p>
    <w:p>
      <w:pPr>
        <w:ind w:left="2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Interpolated Alternative Term Rate</w:t>
      </w:r>
      <w:r>
        <w:rPr>
          <w:rFonts w:ascii="Arial" w:cs="Arial" w:eastAsia="Arial" w:hAnsi="Arial"/>
          <w:sz w:val="16"/>
          <w:szCs w:val="16"/>
          <w:color w:val="auto"/>
        </w:rPr>
        <w:t>” means, in relation to any Loan, the rate (rounded to the same number of decimal places as the relevant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Alternative Term Rate) which results from interpolating on a linear basis between:</w:t>
      </w:r>
    </w:p>
    <w:p>
      <w:pPr>
        <w:spacing w:after="0" w:line="116"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00" w:right="460" w:hanging="439"/>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applicable Alternative Term Rate (as of the Quotation Time) for the longest period (for which that Alternative Term Rate is available) which is less than the Interest Period of that Loan; or</w:t>
      </w:r>
    </w:p>
    <w:p>
      <w:pPr>
        <w:spacing w:after="0" w:line="75"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no such Alternative Term Rate is available for a period which is less than the Interest Period of that Loan, the applicable Overnight Rate (if any) for the Overnight Reference Day; and</w:t>
      </w:r>
    </w:p>
    <w:p>
      <w:pPr>
        <w:spacing w:after="0" w:line="62"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the applicable Alternative Term Rate (as of the Quotation Time) for the shortest period (for which that Alternative Term Rate is available) which exceeds the Interest Period of that Loan.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Interpolated Primary Term Rate</w:t>
      </w:r>
      <w:r>
        <w:rPr>
          <w:rFonts w:ascii="Arial" w:cs="Arial" w:eastAsia="Arial" w:hAnsi="Arial"/>
          <w:sz w:val="17"/>
          <w:szCs w:val="17"/>
          <w:color w:val="auto"/>
        </w:rPr>
        <w:t>” means, in relation to any Loan, the rate (rounded to the same number of decimal places as the relevant</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Primary Term Rate) which results from interpolating on a linear basis between:</w:t>
      </w:r>
    </w:p>
    <w:p>
      <w:pPr>
        <w:spacing w:after="0" w:line="116"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000" w:right="160" w:hanging="43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applicable Primary Term Rate (as of the Quotation Time) for the longest period (for which that Primary Term Rate is available) which is less than the Interest Period of that Loan; or</w:t>
      </w:r>
    </w:p>
    <w:p>
      <w:pPr>
        <w:spacing w:after="0" w:line="75" w:lineRule="exact"/>
        <w:rPr>
          <w:rFonts w:ascii="Arial" w:cs="Arial" w:eastAsia="Arial" w:hAnsi="Arial"/>
          <w:sz w:val="18"/>
          <w:szCs w:val="18"/>
          <w:color w:val="auto"/>
        </w:rPr>
      </w:pPr>
    </w:p>
    <w:p>
      <w:pPr>
        <w:ind w:left="1000" w:right="240" w:hanging="439"/>
        <w:spacing w:after="0" w:line="277" w:lineRule="auto"/>
        <w:tabs>
          <w:tab w:leader="none" w:pos="10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no such Primary Term Rate is available for a period which is less than the Interest Period of that Loan, the applicable Overnight Rate (if any) for the Overnight Reference Day; and</w:t>
      </w:r>
    </w:p>
    <w:p>
      <w:pPr>
        <w:spacing w:after="0" w:line="75" w:lineRule="exact"/>
        <w:rPr>
          <w:rFonts w:ascii="Arial" w:cs="Arial" w:eastAsia="Arial" w:hAnsi="Arial"/>
          <w:sz w:val="18"/>
          <w:szCs w:val="18"/>
          <w:color w:val="auto"/>
        </w:rPr>
      </w:pPr>
    </w:p>
    <w:p>
      <w:pPr>
        <w:ind w:left="540" w:right="80" w:hanging="532"/>
        <w:spacing w:after="0" w:line="277"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applicable Primary Term Rate (as of the Quotation Time) for the shortest period (for which that Primary Term Rate is available) which exceeds the Interest Period of that Loan.</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Income Tax Act 2007.</w:t>
      </w:r>
    </w:p>
    <w:p>
      <w:pPr>
        <w:spacing w:after="0" w:line="16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580"/>
          </w:cols>
          <w:pgMar w:left="860" w:top="270" w:right="45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135" w:lineRule="exact"/>
        <w:rPr>
          <w:sz w:val="20"/>
          <w:szCs w:val="20"/>
          <w:color w:val="auto"/>
        </w:rPr>
      </w:pPr>
    </w:p>
    <w:p>
      <w:pPr>
        <w:ind w:left="540" w:right="60" w:hanging="532"/>
        <w:spacing w:after="0" w:line="277"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principle that certain remedies may be granted or refused at the discretion of a court and the limitation of enforcement by laws relating to bankruptcy, insolvency, reorganisation and other laws generally affecting the rights of creditors;</w:t>
      </w:r>
    </w:p>
    <w:p>
      <w:pPr>
        <w:spacing w:after="0" w:line="75" w:lineRule="exact"/>
        <w:rPr>
          <w:rFonts w:ascii="Arial" w:cs="Arial" w:eastAsia="Arial" w:hAnsi="Arial"/>
          <w:sz w:val="18"/>
          <w:szCs w:val="18"/>
          <w:color w:val="auto"/>
        </w:rPr>
      </w:pPr>
    </w:p>
    <w:p>
      <w:pPr>
        <w:ind w:left="540" w:hanging="532"/>
        <w:spacing w:after="0" w:line="342" w:lineRule="auto"/>
        <w:tabs>
          <w:tab w:leader="none" w:pos="5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time barring of claims under applicable limitation laws (including the English Limitation Acts), defences of set-off or counterclaim and the possibility that an undertaking to assume liability for or indemnify a person against non-payment of UK stamp duty may be void; and</w:t>
      </w:r>
    </w:p>
    <w:p>
      <w:pPr>
        <w:spacing w:after="0" w:line="29" w:lineRule="exact"/>
        <w:rPr>
          <w:rFonts w:ascii="Arial" w:cs="Arial" w:eastAsia="Arial" w:hAnsi="Arial"/>
          <w:sz w:val="16"/>
          <w:szCs w:val="16"/>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35"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Original Lender; and</w:t>
      </w:r>
    </w:p>
    <w:p>
      <w:pPr>
        <w:spacing w:after="0" w:line="130" w:lineRule="exact"/>
        <w:rPr>
          <w:rFonts w:ascii="Arial" w:cs="Arial" w:eastAsia="Arial" w:hAnsi="Arial"/>
          <w:sz w:val="18"/>
          <w:szCs w:val="18"/>
          <w:color w:val="auto"/>
        </w:rPr>
      </w:pPr>
    </w:p>
    <w:p>
      <w:pPr>
        <w:ind w:left="20" w:right="2340" w:hanging="12"/>
        <w:spacing w:after="0" w:line="420" w:lineRule="auto"/>
        <w:tabs>
          <w:tab w:leader="none" w:pos="5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entity which has become a Party as a “Lender” in accordance with Clause 20 (</w:t>
      </w:r>
      <w:r>
        <w:rPr>
          <w:rFonts w:ascii="Arial" w:cs="Arial" w:eastAsia="Arial" w:hAnsi="Arial"/>
          <w:sz w:val="16"/>
          <w:szCs w:val="16"/>
          <w:i w:val="1"/>
          <w:iCs w:val="1"/>
          <w:color w:val="auto"/>
        </w:rPr>
        <w:t>Changes to the Lender</w:t>
      </w:r>
      <w:r>
        <w:rPr>
          <w:rFonts w:ascii="Arial" w:cs="Arial" w:eastAsia="Arial" w:hAnsi="Arial"/>
          <w:sz w:val="16"/>
          <w:szCs w:val="16"/>
          <w:color w:val="auto"/>
        </w:rPr>
        <w:t>), which in each case has not ceased to be a Party as such in accordance with the terms of this Agreement.</w:t>
      </w:r>
    </w:p>
    <w:p>
      <w:pPr>
        <w:ind w:left="20"/>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17" w:lineRule="exact"/>
        <w:rPr>
          <w:rFonts w:ascii="Arial" w:cs="Arial" w:eastAsia="Arial" w:hAnsi="Arial"/>
          <w:sz w:val="16"/>
          <w:szCs w:val="16"/>
          <w:color w:val="auto"/>
        </w:rPr>
      </w:pPr>
    </w:p>
    <w:p>
      <w:pPr>
        <w:ind w:left="20" w:right="1360"/>
        <w:spacing w:after="0" w:line="375" w:lineRule="auto"/>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or to be made under the Facility or the principal amount outstanding for the time being of that loan. “</w:t>
      </w:r>
      <w:r>
        <w:rPr>
          <w:rFonts w:ascii="Arial" w:cs="Arial" w:eastAsia="Arial" w:hAnsi="Arial"/>
          <w:sz w:val="18"/>
          <w:szCs w:val="18"/>
          <w:b w:val="1"/>
          <w:bCs w:val="1"/>
          <w:color w:val="auto"/>
        </w:rPr>
        <w:t>Margin</w:t>
      </w:r>
      <w:r>
        <w:rPr>
          <w:rFonts w:ascii="Arial" w:cs="Arial" w:eastAsia="Arial" w:hAnsi="Arial"/>
          <w:sz w:val="18"/>
          <w:szCs w:val="18"/>
          <w:color w:val="auto"/>
        </w:rPr>
        <w:t>” means 4.97 per cent. per annum.</w:t>
      </w:r>
    </w:p>
    <w:p>
      <w:pPr>
        <w:spacing w:after="0" w:line="1" w:lineRule="exact"/>
        <w:rPr>
          <w:sz w:val="20"/>
          <w:szCs w:val="20"/>
          <w:color w:val="auto"/>
        </w:rPr>
      </w:pPr>
    </w:p>
    <w:p>
      <w:pPr>
        <w:ind w:lef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means any event or condition that (individually or in aggregate) has a material adverse effect on the ability of the Borrower to perform its payment obligations under the Finance Documents taking into account all other relevant circumstances, including (i) any insurance, warranty, or other claim or indemnification in respect of such event or circumstances held by the Borrower (and having regard to the creditworthiness of each insurer, warrantor or indemnifier) and (ii) any commitment by any person to provide any additional contribution, subscription of equity or other amount directly or indirectly to the Borrower (and having regard to the creditworthiness of the person and the latest date by which such payment is committed to be made).</w:t>
      </w:r>
    </w:p>
    <w:p>
      <w:pPr>
        <w:spacing w:after="0" w:line="79" w:lineRule="exact"/>
        <w:rPr>
          <w:sz w:val="20"/>
          <w:szCs w:val="20"/>
          <w:color w:val="auto"/>
        </w:rPr>
      </w:pPr>
    </w:p>
    <w:p>
      <w:pPr>
        <w:ind w:left="20" w:right="1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in relation to an Interest Period (or any other period for the accrual of commission or fees), a period starting on one day in a calendar month and ending on the numerically corresponding day in the next calendar month, subject to adjustment in accordance with the rules specified as Business Day Conventions in the Reference Rate Terms.</w:t>
      </w:r>
    </w:p>
    <w:p>
      <w:pPr>
        <w:spacing w:after="0" w:line="68"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Cashflow Forecast</w:t>
      </w:r>
      <w:r>
        <w:rPr>
          <w:rFonts w:ascii="Arial" w:cs="Arial" w:eastAsia="Arial" w:hAnsi="Arial"/>
          <w:sz w:val="18"/>
          <w:szCs w:val="18"/>
          <w:color w:val="auto"/>
        </w:rPr>
        <w:t>” means the cashflow forecast for the Borrower delivered pursuant to Clause 18.5 (</w:t>
      </w:r>
      <w:r>
        <w:rPr>
          <w:rFonts w:ascii="Arial" w:cs="Arial" w:eastAsia="Arial" w:hAnsi="Arial"/>
          <w:sz w:val="18"/>
          <w:szCs w:val="18"/>
          <w:i w:val="1"/>
          <w:iCs w:val="1"/>
          <w:color w:val="auto"/>
        </w:rPr>
        <w:t>Condition subsequent</w:t>
      </w:r>
      <w:r>
        <w:rPr>
          <w:rFonts w:ascii="Arial" w:cs="Arial" w:eastAsia="Arial" w:hAnsi="Arial"/>
          <w:sz w:val="18"/>
          <w:szCs w:val="18"/>
          <w:color w:val="auto"/>
        </w:rPr>
        <w:t>) in respect of each Financial Quarter from (and including) January 2023 to (and including) June 2024, prepared by the Borrower in form and substance satisfactory to the Agent.</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560"/>
          </w:cols>
          <w:pgMar w:left="860" w:top="270" w:right="479" w:bottom="1440" w:gutter="0" w:footer="0" w:header="0"/>
        </w:sectPr>
      </w:pPr>
    </w:p>
    <w:bookmarkStart w:id="14" w:name="page15"/>
    <w:bookmarkEnd w:id="14"/>
    <w:p>
      <w:pPr>
        <w:ind w:left="4" w:right="1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Original Jurisdiction</w:t>
      </w:r>
      <w:r>
        <w:rPr>
          <w:rFonts w:ascii="Arial" w:cs="Arial" w:eastAsia="Arial" w:hAnsi="Arial"/>
          <w:sz w:val="18"/>
          <w:szCs w:val="18"/>
          <w:color w:val="auto"/>
        </w:rPr>
        <w:t>” means, in relation to the Borrower, the jurisdiction under whose laws the Borrower is incorporated as at the date of this Agreement.</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means the rate (if any) specified as such in the Reference Rate Terms.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Reference Day</w:t>
      </w:r>
      <w:r>
        <w:rPr>
          <w:rFonts w:ascii="Arial" w:cs="Arial" w:eastAsia="Arial" w:hAnsi="Arial"/>
          <w:sz w:val="18"/>
          <w:szCs w:val="18"/>
          <w:color w:val="auto"/>
        </w:rPr>
        <w:t>” means the day (if any) specified as such in the Reference Rate Terms.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Term Rate</w:t>
      </w:r>
      <w:r>
        <w:rPr>
          <w:rFonts w:ascii="Arial" w:cs="Arial" w:eastAsia="Arial" w:hAnsi="Arial"/>
          <w:sz w:val="18"/>
          <w:szCs w:val="18"/>
          <w:color w:val="auto"/>
        </w:rPr>
        <w:t>” means the rate specified as such in the Reference Rate Terms.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Prevailing Rate</w:t>
      </w:r>
      <w:r>
        <w:rPr>
          <w:rFonts w:ascii="Arial" w:cs="Arial" w:eastAsia="Arial" w:hAnsi="Arial"/>
          <w:sz w:val="16"/>
          <w:szCs w:val="16"/>
          <w:color w:val="auto"/>
        </w:rPr>
        <w:t>” means, in respect of the conversion of any currency into U.S. dollars, the rate of exchange of such currency into U.S. dollars</w:t>
      </w:r>
    </w:p>
    <w:p>
      <w:pPr>
        <w:spacing w:after="0" w:line="50" w:lineRule="exact"/>
        <w:rPr>
          <w:sz w:val="20"/>
          <w:szCs w:val="20"/>
          <w:color w:val="auto"/>
        </w:rPr>
      </w:pPr>
    </w:p>
    <w:p>
      <w:pPr>
        <w:jc w:val="both"/>
        <w:ind w:left="4" w:right="220" w:hanging="4"/>
        <w:spacing w:after="0" w:line="273" w:lineRule="auto"/>
        <w:tabs>
          <w:tab w:leader="none" w:pos="2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appearing on or derived from screen page FXC on the Bloomberg screen (or any successor screen page) at 10.00 a.m. (London time) on the QEO Pricing Date or (b) if that page is not available or that rate of exchange does not appear on that page on the QEO Pricing Date, the closing rate for the purchase of U.S. dollars with such other currency, expressed as the number of U.S. dollars per unit of such currency on the QEO Pricing Date, as referenced by a bank of international repute selected by the Lender.</w:t>
      </w:r>
    </w:p>
    <w:p>
      <w:pPr>
        <w:spacing w:after="0" w:line="64" w:lineRule="exact"/>
        <w:rPr>
          <w:sz w:val="20"/>
          <w:szCs w:val="20"/>
          <w:color w:val="auto"/>
        </w:rPr>
      </w:pPr>
    </w:p>
    <w:p>
      <w:pPr>
        <w:ind w:left="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w:t>
      </w:r>
      <w:r>
        <w:rPr>
          <w:rFonts w:ascii="Arial" w:cs="Arial" w:eastAsia="Arial" w:hAnsi="Arial"/>
          <w:sz w:val="18"/>
          <w:szCs w:val="18"/>
          <w:color w:val="auto"/>
        </w:rPr>
        <w:t>” means an offer of shares (or depositary receipts or other securities representing shares) of any class in the share capital of the Borrower, where the proposed capital raising is in an amount equal to at least USD 350,000,000 (or such other amount as the Borrower and Agent may agree from time to time), and in which no fewer than five institutional investors (or such other number as the Borrower and Agent may agree from time to time) participate in the offering.</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Conversion Date</w:t>
      </w:r>
      <w:r>
        <w:rPr>
          <w:rFonts w:ascii="Arial" w:cs="Arial" w:eastAsia="Arial" w:hAnsi="Arial"/>
          <w:sz w:val="18"/>
          <w:szCs w:val="18"/>
          <w:color w:val="auto"/>
        </w:rPr>
        <w:t>” means the date on which the relevant shares are delivered to investors pursuant to the terms of the QEO.</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QEO Conversion Price</w:t>
      </w:r>
      <w:r>
        <w:rPr>
          <w:rFonts w:ascii="Arial" w:cs="Arial" w:eastAsia="Arial" w:hAnsi="Arial"/>
          <w:sz w:val="16"/>
          <w:szCs w:val="16"/>
          <w:color w:val="auto"/>
        </w:rPr>
        <w:t>” means the price per share at which the relevant shares are offered for sale pursuant to the QEO, converted into U.S.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dollars (if the offering price is not in U.S. dollars) at the Prevailing Rate.</w:t>
      </w:r>
    </w:p>
    <w:p>
      <w:pPr>
        <w:spacing w:after="0" w:line="99" w:lineRule="exact"/>
        <w:rPr>
          <w:sz w:val="20"/>
          <w:szCs w:val="20"/>
          <w:color w:val="auto"/>
        </w:rPr>
      </w:pPr>
    </w:p>
    <w:p>
      <w:pPr>
        <w:ind w:left="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Exercise Notice</w:t>
      </w:r>
      <w:r>
        <w:rPr>
          <w:rFonts w:ascii="Arial" w:cs="Arial" w:eastAsia="Arial" w:hAnsi="Arial"/>
          <w:sz w:val="18"/>
          <w:szCs w:val="18"/>
          <w:color w:val="auto"/>
        </w:rPr>
        <w:t>” means a notice duly completed and delivered by the Lender to the Borrower specifying that a particular principal amount of one or more outstanding Loan(s) is/are subject to conversion (such amount not to exceed the amount which corresponds to maintaining (as a proportion) the Lender’s shareholding in the Borrower).</w:t>
      </w:r>
    </w:p>
    <w:p>
      <w:pPr>
        <w:spacing w:after="0" w:line="68"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Election Period</w:t>
      </w:r>
      <w:r>
        <w:rPr>
          <w:rFonts w:ascii="Arial" w:cs="Arial" w:eastAsia="Arial" w:hAnsi="Arial"/>
          <w:sz w:val="18"/>
          <w:szCs w:val="18"/>
          <w:color w:val="auto"/>
        </w:rPr>
        <w:t>” means a period of at least five Business Days, commencing on the date on which the Borrower notifies the Lender of the proposed QEO.</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QEO Pricing Date</w:t>
      </w:r>
      <w:r>
        <w:rPr>
          <w:rFonts w:ascii="Arial" w:cs="Arial" w:eastAsia="Arial" w:hAnsi="Arial"/>
          <w:sz w:val="17"/>
          <w:szCs w:val="17"/>
          <w:color w:val="auto"/>
        </w:rPr>
        <w:t>” means the date on which the price at which shares are offered for subscription or purchase in the QEO is determined.</w:t>
      </w:r>
    </w:p>
    <w:p>
      <w:pPr>
        <w:spacing w:after="0" w:line="1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means each of 31 March, 30 June, 30 September and 31 December.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the day specified as such in the Reference Rate Terms.</w:t>
      </w:r>
    </w:p>
    <w:p>
      <w:pPr>
        <w:spacing w:after="0" w:line="162" w:lineRule="exact"/>
        <w:rPr>
          <w:sz w:val="20"/>
          <w:szCs w:val="20"/>
          <w:color w:val="auto"/>
        </w:rPr>
      </w:pPr>
    </w:p>
    <w:p>
      <w:pPr>
        <w:ind w:left="4924"/>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544"/>
          </w:cols>
          <w:pgMar w:left="876" w:top="270"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Quotation Time</w:t>
      </w:r>
      <w:r>
        <w:rPr>
          <w:rFonts w:ascii="Arial" w:cs="Arial" w:eastAsia="Arial" w:hAnsi="Arial"/>
          <w:sz w:val="18"/>
          <w:szCs w:val="18"/>
          <w:color w:val="auto"/>
        </w:rPr>
        <w:t>” means the relevant time specified as such in the Reference Rate Terms.</w:t>
      </w:r>
    </w:p>
    <w:p>
      <w:pPr>
        <w:spacing w:after="0" w:line="11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Quoted Tenor</w:t>
      </w:r>
      <w:r>
        <w:rPr>
          <w:rFonts w:ascii="Arial" w:cs="Arial" w:eastAsia="Arial" w:hAnsi="Arial"/>
          <w:sz w:val="18"/>
          <w:szCs w:val="18"/>
          <w:color w:val="auto"/>
        </w:rPr>
        <w:t>” means, in relation to a Primary Term Rate or an Alternative Term Rate, any period for which that rate is customarily displayed on the relevant page or screen of an information service.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 Terms</w:t>
      </w:r>
      <w:r>
        <w:rPr>
          <w:rFonts w:ascii="Arial" w:cs="Arial" w:eastAsia="Arial" w:hAnsi="Arial"/>
          <w:sz w:val="18"/>
          <w:szCs w:val="18"/>
          <w:color w:val="auto"/>
        </w:rPr>
        <w:t>” means the terms set out in Schedule 4 (</w:t>
      </w:r>
      <w:r>
        <w:rPr>
          <w:rFonts w:ascii="Arial" w:cs="Arial" w:eastAsia="Arial" w:hAnsi="Arial"/>
          <w:sz w:val="18"/>
          <w:szCs w:val="18"/>
          <w:i w:val="1"/>
          <w:iCs w:val="1"/>
          <w:color w:val="auto"/>
        </w:rPr>
        <w:t>Reference Rate Terms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has the meaning given to it in Clause 18.7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Fund</w:t>
      </w:r>
      <w:r>
        <w:rPr>
          <w:rFonts w:ascii="Arial" w:cs="Arial" w:eastAsia="Arial" w:hAnsi="Arial"/>
          <w:sz w:val="18"/>
          <w:szCs w:val="18"/>
          <w:color w:val="auto"/>
        </w:rPr>
        <w:t>” in relation to a fund (the “</w:t>
      </w:r>
      <w:r>
        <w:rPr>
          <w:rFonts w:ascii="Arial" w:cs="Arial" w:eastAsia="Arial" w:hAnsi="Arial"/>
          <w:sz w:val="18"/>
          <w:szCs w:val="18"/>
          <w:b w:val="1"/>
          <w:bCs w:val="1"/>
          <w:color w:val="auto"/>
        </w:rPr>
        <w:t>first fund</w:t>
      </w:r>
      <w:r>
        <w:rPr>
          <w:rFonts w:ascii="Arial" w:cs="Arial" w:eastAsia="Arial" w:hAnsi="Arial"/>
          <w:sz w:val="18"/>
          <w:szCs w:val="18"/>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Clearing System</w:t>
      </w:r>
      <w:r>
        <w:rPr>
          <w:rFonts w:ascii="Arial" w:cs="Arial" w:eastAsia="Arial" w:hAnsi="Arial"/>
          <w:sz w:val="18"/>
          <w:szCs w:val="18"/>
          <w:color w:val="auto"/>
        </w:rPr>
        <w:t>” means Deposit Trust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Market</w:t>
      </w:r>
      <w:r>
        <w:rPr>
          <w:rFonts w:ascii="Arial" w:cs="Arial" w:eastAsia="Arial" w:hAnsi="Arial"/>
          <w:sz w:val="18"/>
          <w:szCs w:val="18"/>
          <w:color w:val="auto"/>
        </w:rPr>
        <w:t>” means the market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the Termination Date.</w:t>
      </w:r>
    </w:p>
    <w:p>
      <w:pPr>
        <w:spacing w:after="0" w:line="11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Clauses 16.1 (</w:t>
      </w:r>
      <w:r>
        <w:rPr>
          <w:rFonts w:ascii="Arial" w:cs="Arial" w:eastAsia="Arial" w:hAnsi="Arial"/>
          <w:sz w:val="18"/>
          <w:szCs w:val="18"/>
          <w:i w:val="1"/>
          <w:iCs w:val="1"/>
          <w:color w:val="auto"/>
        </w:rPr>
        <w:t>Status</w:t>
      </w:r>
      <w:r>
        <w:rPr>
          <w:rFonts w:ascii="Arial" w:cs="Arial" w:eastAsia="Arial" w:hAnsi="Arial"/>
          <w:sz w:val="18"/>
          <w:szCs w:val="18"/>
          <w:color w:val="auto"/>
        </w:rPr>
        <w:t>) to 16.6 (</w:t>
      </w:r>
      <w:r>
        <w:rPr>
          <w:rFonts w:ascii="Arial" w:cs="Arial" w:eastAsia="Arial" w:hAnsi="Arial"/>
          <w:sz w:val="18"/>
          <w:szCs w:val="18"/>
          <w:i w:val="1"/>
          <w:iCs w:val="1"/>
          <w:color w:val="auto"/>
        </w:rPr>
        <w:t>Governing law and enforcement</w:t>
      </w:r>
      <w:r>
        <w:rPr>
          <w:rFonts w:ascii="Arial" w:cs="Arial" w:eastAsia="Arial" w:hAnsi="Arial"/>
          <w:sz w:val="18"/>
          <w:szCs w:val="18"/>
          <w:color w:val="auto"/>
        </w:rPr>
        <w:t>) and Clauses 16.10 (</w:t>
      </w:r>
      <w:r>
        <w:rPr>
          <w:rFonts w:ascii="Arial" w:cs="Arial" w:eastAsia="Arial" w:hAnsi="Arial"/>
          <w:sz w:val="18"/>
          <w:szCs w:val="18"/>
          <w:i w:val="1"/>
          <w:iCs w:val="1"/>
          <w:color w:val="auto"/>
        </w:rPr>
        <w:t>Cashflow Forecast</w:t>
      </w:r>
      <w:r>
        <w:rPr>
          <w:rFonts w:ascii="Arial" w:cs="Arial" w:eastAsia="Arial" w:hAnsi="Arial"/>
          <w:sz w:val="18"/>
          <w:szCs w:val="18"/>
          <w:color w:val="auto"/>
        </w:rPr>
        <w:t>) to 16.12 (</w:t>
      </w:r>
      <w:r>
        <w:rPr>
          <w:rFonts w:ascii="Arial" w:cs="Arial" w:eastAsia="Arial" w:hAnsi="Arial"/>
          <w:sz w:val="18"/>
          <w:szCs w:val="18"/>
          <w:i w:val="1"/>
          <w:iCs w:val="1"/>
          <w:color w:val="auto"/>
        </w:rPr>
        <w:t>Pari passu ranking</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Day</w:t>
      </w:r>
      <w:r>
        <w:rPr>
          <w:rFonts w:ascii="Arial" w:cs="Arial" w:eastAsia="Arial" w:hAnsi="Arial"/>
          <w:sz w:val="18"/>
          <w:szCs w:val="18"/>
          <w:color w:val="auto"/>
        </w:rPr>
        <w:t>” means the day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Time</w:t>
      </w:r>
      <w:r>
        <w:rPr>
          <w:rFonts w:ascii="Arial" w:cs="Arial" w:eastAsia="Arial" w:hAnsi="Arial"/>
          <w:sz w:val="18"/>
          <w:szCs w:val="18"/>
          <w:color w:val="auto"/>
        </w:rPr>
        <w:t>” means the relevant time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has the meaning given to it in clause 18.7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ind w:right="40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undertaking within the meaning of section 1162 of the Companies Act 2006 which for this purpose shall be treated as including any person the shares or ownership interests in which are subject to Security and where the legal title to the shares or ownership interests so secured are registered in the name of the secured party or its nominee pursuant to such Security.</w:t>
      </w:r>
    </w:p>
    <w:p>
      <w:pPr>
        <w:spacing w:after="0" w:line="5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560"/>
          </w:cols>
          <w:pgMar w:left="880" w:top="270" w:right="459" w:bottom="1440" w:gutter="0" w:footer="0" w:header="0"/>
        </w:sectPr>
      </w:pPr>
    </w:p>
    <w:bookmarkStart w:id="16" w:name="page17"/>
    <w:bookmarkEnd w:id="16"/>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Term Reference Rate</w:t>
      </w:r>
      <w:r>
        <w:rPr>
          <w:rFonts w:ascii="Arial" w:cs="Arial" w:eastAsia="Arial" w:hAnsi="Arial"/>
          <w:sz w:val="18"/>
          <w:szCs w:val="18"/>
          <w:color w:val="auto"/>
        </w:rPr>
        <w:t>” means, in relation to a Loan:</w:t>
      </w:r>
    </w:p>
    <w:p>
      <w:pPr>
        <w:spacing w:after="0" w:line="135" w:lineRule="exact"/>
        <w:rPr>
          <w:sz w:val="20"/>
          <w:szCs w:val="20"/>
          <w:color w:val="auto"/>
        </w:rPr>
      </w:pPr>
    </w:p>
    <w:p>
      <w:pPr>
        <w:ind w:left="532" w:hanging="532"/>
        <w:spacing w:after="0"/>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Primary Term Rate as of the Quotation Time for a period equal in length to the Interest Period of that Loan; or</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Interest calculation if no Primary Term Rate</w:t>
      </w:r>
      <w:r>
        <w:rPr>
          <w:rFonts w:ascii="Arial" w:cs="Arial" w:eastAsia="Arial" w:hAnsi="Arial"/>
          <w:sz w:val="18"/>
          <w:szCs w:val="18"/>
          <w:color w:val="auto"/>
        </w:rPr>
        <w:t>),</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and if, in either case, that rate is less than zero, the Term Reference Rate shall be deemed to be zero.</w:t>
      </w:r>
    </w:p>
    <w:p>
      <w:pPr>
        <w:spacing w:after="0" w:line="113"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falling 18 Months from the date of this Agreement.</w:t>
      </w:r>
    </w:p>
    <w:p>
      <w:pPr>
        <w:spacing w:after="0" w:line="117" w:lineRule="exact"/>
        <w:rPr>
          <w:sz w:val="20"/>
          <w:szCs w:val="20"/>
          <w:color w:val="auto"/>
        </w:rPr>
      </w:pPr>
    </w:p>
    <w:p>
      <w:pPr>
        <w:ind w:left="12"/>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Instruments</w:t>
      </w:r>
      <w:r>
        <w:rPr>
          <w:rFonts w:ascii="Arial" w:cs="Arial" w:eastAsia="Arial" w:hAnsi="Arial"/>
          <w:sz w:val="18"/>
          <w:szCs w:val="18"/>
          <w:color w:val="auto"/>
        </w:rPr>
        <w:t>” means any performance bonds, advance payment bonds or documentary letters of credit issued in respect of the obligations of the Borrower arising in the ordinary course of business of the Borrower.</w:t>
      </w:r>
    </w:p>
    <w:p>
      <w:pPr>
        <w:spacing w:after="0" w:line="54" w:lineRule="exact"/>
        <w:rPr>
          <w:sz w:val="20"/>
          <w:szCs w:val="20"/>
          <w:color w:val="auto"/>
        </w:rPr>
      </w:pPr>
    </w:p>
    <w:p>
      <w:pPr>
        <w:ind w:left="12" w:right="2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Transaction</w:t>
      </w:r>
      <w:r>
        <w:rPr>
          <w:rFonts w:ascii="Arial" w:cs="Arial" w:eastAsia="Arial" w:hAnsi="Arial"/>
          <w:sz w:val="16"/>
          <w:szCs w:val="16"/>
          <w:color w:val="auto"/>
        </w:rPr>
        <w:t>” means any derivative transaction entered into in connection with protection against or benefit from fluctuation in any rate or price entered into in connection with treasury operations conducted as part of the ordinary course of business of the Borrower.</w:t>
      </w:r>
    </w:p>
    <w:p>
      <w:pPr>
        <w:spacing w:after="0" w:line="8"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the Borrower under the Finance Documents.</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the Facility.</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the relevant Loan is to be made.</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relevant form set out in Schedule 2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35" w:lineRule="exact"/>
        <w:rPr>
          <w:sz w:val="20"/>
          <w:szCs w:val="20"/>
          <w:color w:val="auto"/>
        </w:rPr>
      </w:pPr>
    </w:p>
    <w:p>
      <w:pPr>
        <w:ind w:left="532" w:hanging="532"/>
        <w:spacing w:after="0"/>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value added tax imposed by the Value Added Tax Act 1994;</w:t>
      </w:r>
    </w:p>
    <w:p>
      <w:pPr>
        <w:spacing w:after="0" w:line="130" w:lineRule="exact"/>
        <w:rPr>
          <w:rFonts w:ascii="Arial" w:cs="Arial" w:eastAsia="Arial" w:hAnsi="Arial"/>
          <w:sz w:val="18"/>
          <w:szCs w:val="18"/>
          <w:color w:val="auto"/>
        </w:rPr>
      </w:pPr>
    </w:p>
    <w:p>
      <w:pPr>
        <w:ind w:left="532" w:right="20" w:hanging="532"/>
        <w:spacing w:after="0" w:line="277"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75" w:lineRule="exact"/>
        <w:rPr>
          <w:rFonts w:ascii="Arial" w:cs="Arial" w:eastAsia="Arial" w:hAnsi="Arial"/>
          <w:sz w:val="18"/>
          <w:szCs w:val="18"/>
          <w:color w:val="auto"/>
        </w:rPr>
      </w:pPr>
    </w:p>
    <w:p>
      <w:pPr>
        <w:ind w:left="532" w:right="80" w:hanging="532"/>
        <w:spacing w:after="0" w:line="277" w:lineRule="auto"/>
        <w:tabs>
          <w:tab w:leader="none" w:pos="5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tax of a similar nature, whether imposed in the United Kingdom or in a member state of the European Union in substitution for, or levied in addition to, such tax referred to in paragraphs (a) or (b) above, or imposed elsewhere.</w:t>
      </w:r>
    </w:p>
    <w:p>
      <w:pPr>
        <w:spacing w:after="0" w:line="102" w:lineRule="exact"/>
        <w:rPr>
          <w:rFonts w:ascii="Arial" w:cs="Arial" w:eastAsia="Arial" w:hAnsi="Arial"/>
          <w:sz w:val="18"/>
          <w:szCs w:val="18"/>
          <w:color w:val="auto"/>
        </w:rPr>
      </w:pPr>
    </w:p>
    <w:p>
      <w:pPr>
        <w:ind w:left="4992" w:hanging="111"/>
        <w:spacing w:after="0"/>
        <w:tabs>
          <w:tab w:leader="none" w:pos="4992" w:val="left"/>
        </w:tabs>
        <w:numPr>
          <w:ilvl w:val="1"/>
          <w:numId w:val="2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512"/>
          </w:cols>
          <w:pgMar w:left="868" w:top="270" w:right="519" w:bottom="1440" w:gutter="0" w:footer="0" w:header="0"/>
        </w:sectPr>
      </w:pPr>
    </w:p>
    <w:bookmarkStart w:id="17" w:name="page18"/>
    <w:bookmarkEnd w:id="17"/>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960" w:hanging="53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26" w:lineRule="exact"/>
        <w:rPr>
          <w:rFonts w:ascii="Arial" w:cs="Arial" w:eastAsia="Arial" w:hAnsi="Arial"/>
          <w:sz w:val="18"/>
          <w:szCs w:val="18"/>
          <w:color w:val="auto"/>
        </w:rPr>
      </w:pPr>
    </w:p>
    <w:p>
      <w:pPr>
        <w:ind w:left="1420" w:right="40" w:hanging="439"/>
        <w:spacing w:after="0" w:line="347" w:lineRule="auto"/>
        <w:tabs>
          <w:tab w:leader="none" w:pos="14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Agent</w:t>
      </w:r>
      <w:r>
        <w:rPr>
          <w:rFonts w:ascii="Arial" w:cs="Arial" w:eastAsia="Arial" w:hAnsi="Arial"/>
          <w:sz w:val="16"/>
          <w:szCs w:val="16"/>
          <w:color w:val="auto"/>
        </w:rPr>
        <w:t>”, any “</w:t>
      </w:r>
      <w:r>
        <w:rPr>
          <w:rFonts w:ascii="Arial" w:cs="Arial" w:eastAsia="Arial" w:hAnsi="Arial"/>
          <w:sz w:val="16"/>
          <w:szCs w:val="16"/>
          <w:b w:val="1"/>
          <w:bCs w:val="1"/>
          <w:color w:val="auto"/>
        </w:rPr>
        <w:t>Finance Party</w:t>
      </w:r>
      <w:r>
        <w:rPr>
          <w:rFonts w:ascii="Arial" w:cs="Arial" w:eastAsia="Arial" w:hAnsi="Arial"/>
          <w:sz w:val="16"/>
          <w:szCs w:val="16"/>
          <w:color w:val="auto"/>
        </w:rPr>
        <w:t>”, any “</w:t>
      </w:r>
      <w:r>
        <w:rPr>
          <w:rFonts w:ascii="Arial" w:cs="Arial" w:eastAsia="Arial" w:hAnsi="Arial"/>
          <w:sz w:val="16"/>
          <w:szCs w:val="16"/>
          <w:b w:val="1"/>
          <w:bCs w:val="1"/>
          <w:color w:val="auto"/>
        </w:rPr>
        <w:t>Lender</w:t>
      </w:r>
      <w:r>
        <w:rPr>
          <w:rFonts w:ascii="Arial" w:cs="Arial" w:eastAsia="Arial" w:hAnsi="Arial"/>
          <w:sz w:val="16"/>
          <w:szCs w:val="16"/>
          <w:color w:val="auto"/>
        </w:rPr>
        <w:t>”, the “</w:t>
      </w:r>
      <w:r>
        <w:rPr>
          <w:rFonts w:ascii="Arial" w:cs="Arial" w:eastAsia="Arial" w:hAnsi="Arial"/>
          <w:sz w:val="16"/>
          <w:szCs w:val="16"/>
          <w:b w:val="1"/>
          <w:bCs w:val="1"/>
          <w:color w:val="auto"/>
        </w:rPr>
        <w:t>Borrower</w:t>
      </w:r>
      <w:r>
        <w:rPr>
          <w:rFonts w:ascii="Arial" w:cs="Arial" w:eastAsia="Arial" w:hAnsi="Arial"/>
          <w:sz w:val="16"/>
          <w:szCs w:val="16"/>
          <w:color w:val="auto"/>
        </w:rPr>
        <w:t>” or any “</w:t>
      </w:r>
      <w:r>
        <w:rPr>
          <w:rFonts w:ascii="Arial" w:cs="Arial" w:eastAsia="Arial" w:hAnsi="Arial"/>
          <w:sz w:val="16"/>
          <w:szCs w:val="16"/>
          <w:b w:val="1"/>
          <w:bCs w:val="1"/>
          <w:color w:val="auto"/>
        </w:rPr>
        <w:t>Party</w:t>
      </w:r>
      <w:r>
        <w:rPr>
          <w:rFonts w:ascii="Arial" w:cs="Arial" w:eastAsia="Arial" w:hAnsi="Arial"/>
          <w:sz w:val="16"/>
          <w:szCs w:val="16"/>
          <w:color w:val="auto"/>
        </w:rPr>
        <w:t>” shall be construed so as to include its successors in title, permitted assigns and permitted transferees to, or of, its rights and/or obligations under the Finance Documents;</w:t>
      </w:r>
    </w:p>
    <w:p>
      <w:pPr>
        <w:spacing w:after="0" w:line="21" w:lineRule="exact"/>
        <w:rPr>
          <w:rFonts w:ascii="Arial" w:cs="Arial" w:eastAsia="Arial" w:hAnsi="Arial"/>
          <w:sz w:val="16"/>
          <w:szCs w:val="16"/>
          <w:color w:val="auto"/>
        </w:rPr>
      </w:pPr>
    </w:p>
    <w:p>
      <w:pPr>
        <w:ind w:left="1420" w:hanging="439"/>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1420" w:right="380" w:hanging="439"/>
        <w:spacing w:after="0" w:line="314" w:lineRule="auto"/>
        <w:tabs>
          <w:tab w:leader="none" w:pos="1420"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Lender’s “</w:t>
      </w:r>
      <w:r>
        <w:rPr>
          <w:rFonts w:ascii="Arial" w:cs="Arial" w:eastAsia="Arial" w:hAnsi="Arial"/>
          <w:sz w:val="16"/>
          <w:szCs w:val="16"/>
          <w:b w:val="1"/>
          <w:bCs w:val="1"/>
          <w:color w:val="auto"/>
        </w:rPr>
        <w:t>cost of funds</w:t>
      </w:r>
      <w:r>
        <w:rPr>
          <w:rFonts w:ascii="Arial" w:cs="Arial" w:eastAsia="Arial" w:hAnsi="Arial"/>
          <w:sz w:val="16"/>
          <w:szCs w:val="16"/>
          <w:color w:val="auto"/>
        </w:rPr>
        <w:t>” in relation to its participation in a Loan is a reference to the average cost (determined either on an actual or a notional basis) which the Lender would incur if it were to fund, from whatever source(s) it may reasonably select, an amount equal to the amount of that participation in that Loan for a period equal in length to the Interest Period of that Loan;</w:t>
      </w:r>
    </w:p>
    <w:p>
      <w:pPr>
        <w:spacing w:after="0" w:line="47" w:lineRule="exact"/>
        <w:rPr>
          <w:rFonts w:ascii="Arial" w:cs="Arial" w:eastAsia="Arial" w:hAnsi="Arial"/>
          <w:sz w:val="16"/>
          <w:szCs w:val="16"/>
          <w:color w:val="auto"/>
        </w:rPr>
      </w:pPr>
    </w:p>
    <w:p>
      <w:pPr>
        <w:ind w:left="1420" w:right="620" w:hanging="439"/>
        <w:spacing w:after="0" w:line="282"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replaced or restated;</w:t>
      </w:r>
    </w:p>
    <w:p>
      <w:pPr>
        <w:spacing w:after="0" w:line="67" w:lineRule="exact"/>
        <w:rPr>
          <w:rFonts w:ascii="Arial" w:cs="Arial" w:eastAsia="Arial" w:hAnsi="Arial"/>
          <w:sz w:val="18"/>
          <w:szCs w:val="18"/>
          <w:color w:val="auto"/>
        </w:rPr>
      </w:pPr>
    </w:p>
    <w:p>
      <w:pPr>
        <w:ind w:left="1420" w:hanging="439"/>
        <w:spacing w:after="0" w:line="282"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67" w:lineRule="exact"/>
        <w:rPr>
          <w:rFonts w:ascii="Arial" w:cs="Arial" w:eastAsia="Arial" w:hAnsi="Arial"/>
          <w:sz w:val="18"/>
          <w:szCs w:val="18"/>
          <w:color w:val="auto"/>
        </w:rPr>
      </w:pPr>
    </w:p>
    <w:p>
      <w:pPr>
        <w:ind w:left="1420" w:right="20" w:hanging="439"/>
        <w:spacing w:after="0" w:line="312" w:lineRule="auto"/>
        <w:tabs>
          <w:tab w:leader="none" w:pos="1420" w:val="left"/>
        </w:tabs>
        <w:numPr>
          <w:ilvl w:val="1"/>
          <w:numId w:val="23"/>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b w:val="1"/>
          <w:bCs w:val="1"/>
          <w:color w:val="auto"/>
        </w:rPr>
        <w:t>person</w:t>
      </w:r>
      <w:r>
        <w:rPr>
          <w:rFonts w:ascii="Arial" w:cs="Arial" w:eastAsia="Arial" w:hAnsi="Arial"/>
          <w:sz w:val="17"/>
          <w:szCs w:val="17"/>
          <w:color w:val="auto"/>
        </w:rPr>
        <w:t>” includes any individual, firm, company, corporation, government, state or agency of a state or any association, trust, joint venture, consortium, partnership or other entity (whether or not having separate legal personality);</w:t>
      </w:r>
    </w:p>
    <w:p>
      <w:pPr>
        <w:spacing w:after="0" w:line="45" w:lineRule="exact"/>
        <w:rPr>
          <w:rFonts w:ascii="Arial" w:cs="Arial" w:eastAsia="Arial" w:hAnsi="Arial"/>
          <w:sz w:val="17"/>
          <w:szCs w:val="17"/>
          <w:color w:val="auto"/>
        </w:rPr>
      </w:pPr>
    </w:p>
    <w:p>
      <w:pPr>
        <w:jc w:val="both"/>
        <w:ind w:left="1420" w:right="180" w:hanging="439"/>
        <w:spacing w:after="0" w:line="266" w:lineRule="auto"/>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from time to time;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126" w:lineRule="exact"/>
        <w:rPr>
          <w:rFonts w:ascii="Arial" w:cs="Arial" w:eastAsia="Arial" w:hAnsi="Arial"/>
          <w:sz w:val="18"/>
          <w:szCs w:val="18"/>
          <w:color w:val="auto"/>
        </w:rPr>
      </w:pPr>
    </w:p>
    <w:p>
      <w:pPr>
        <w:ind w:left="960" w:right="260" w:hanging="532"/>
        <w:spacing w:after="0" w:line="282"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determination of the extent to which a rate is “</w:t>
      </w:r>
      <w:r>
        <w:rPr>
          <w:rFonts w:ascii="Arial" w:cs="Arial" w:eastAsia="Arial" w:hAnsi="Arial"/>
          <w:sz w:val="18"/>
          <w:szCs w:val="18"/>
          <w:b w:val="1"/>
          <w:bCs w:val="1"/>
          <w:color w:val="auto"/>
        </w:rPr>
        <w:t>for a period equal in length</w:t>
      </w:r>
      <w:r>
        <w:rPr>
          <w:rFonts w:ascii="Arial" w:cs="Arial" w:eastAsia="Arial" w:hAnsi="Arial"/>
          <w:sz w:val="18"/>
          <w:szCs w:val="18"/>
          <w:color w:val="auto"/>
        </w:rPr>
        <w:t>” to an Interest Period shall disregard any inconsistency arising from the last day of that Interest Period being determined pursuant to the terms of this Agreement.</w:t>
      </w:r>
    </w:p>
    <w:p>
      <w:pPr>
        <w:spacing w:after="0" w:line="71" w:lineRule="exact"/>
        <w:rPr>
          <w:rFonts w:ascii="Arial" w:cs="Arial" w:eastAsia="Arial" w:hAnsi="Arial"/>
          <w:sz w:val="18"/>
          <w:szCs w:val="18"/>
          <w:color w:val="auto"/>
        </w:rPr>
      </w:pPr>
    </w:p>
    <w:p>
      <w:pPr>
        <w:ind w:left="960" w:hanging="532"/>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02" w:lineRule="exact"/>
        <w:rPr>
          <w:rFonts w:ascii="Arial" w:cs="Arial" w:eastAsia="Arial" w:hAnsi="Arial"/>
          <w:sz w:val="18"/>
          <w:szCs w:val="18"/>
          <w:color w:val="auto"/>
        </w:rPr>
      </w:pPr>
    </w:p>
    <w:p>
      <w:pPr>
        <w:ind w:left="5420" w:hanging="108"/>
        <w:spacing w:after="0"/>
        <w:tabs>
          <w:tab w:leader="none" w:pos="54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0"/>
          </w:cols>
          <w:pgMar w:left="440" w:top="270" w:right="459" w:bottom="1440" w:gutter="0" w:footer="0" w:header="0"/>
        </w:sectPr>
      </w:pPr>
    </w:p>
    <w:bookmarkStart w:id="18" w:name="page19"/>
    <w:bookmarkEnd w:id="18"/>
    <w:p>
      <w:pPr>
        <w:ind w:left="964" w:hanging="532"/>
        <w:spacing w:after="0"/>
        <w:tabs>
          <w:tab w:leader="none" w:pos="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reference in this Agreement to a page or screen of an information service displaying a rate shall include: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replacement page of that information service which displays that rate;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appropriate page of such other information service which displays that rate from time to time in place of that information service,</w:t>
      </w:r>
    </w:p>
    <w:p>
      <w:pPr>
        <w:spacing w:after="0" w:line="140" w:lineRule="exact"/>
        <w:rPr>
          <w:sz w:val="20"/>
          <w:szCs w:val="20"/>
          <w:color w:val="auto"/>
        </w:rPr>
      </w:pPr>
    </w:p>
    <w:p>
      <w:pPr>
        <w:ind w:left="984" w:right="100"/>
        <w:spacing w:after="0" w:line="277" w:lineRule="auto"/>
        <w:rPr>
          <w:sz w:val="20"/>
          <w:szCs w:val="20"/>
          <w:color w:val="auto"/>
        </w:rPr>
      </w:pPr>
      <w:r>
        <w:rPr>
          <w:rFonts w:ascii="Arial" w:cs="Arial" w:eastAsia="Arial" w:hAnsi="Arial"/>
          <w:sz w:val="18"/>
          <w:szCs w:val="18"/>
          <w:color w:val="auto"/>
        </w:rPr>
        <w:t>and, if such page or service ceases to be available, shall include any other page or service displaying that rate specified by the Agent after consultation with the Borrower.</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Currency symbols and definitions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and “</w:t>
      </w:r>
      <w:r>
        <w:rPr>
          <w:rFonts w:ascii="Arial" w:cs="Arial" w:eastAsia="Arial" w:hAnsi="Arial"/>
          <w:sz w:val="18"/>
          <w:szCs w:val="18"/>
          <w:b w:val="1"/>
          <w:bCs w:val="1"/>
          <w:color w:val="auto"/>
        </w:rPr>
        <w:t>dollars</w:t>
      </w:r>
      <w:r>
        <w:rPr>
          <w:rFonts w:ascii="Arial" w:cs="Arial" w:eastAsia="Arial" w:hAnsi="Arial"/>
          <w:sz w:val="18"/>
          <w:szCs w:val="18"/>
          <w:color w:val="auto"/>
        </w:rPr>
        <w:t>” denote the lawful currency of the United States of America.</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Third party rights</w:t>
      </w:r>
    </w:p>
    <w:p>
      <w:pPr>
        <w:spacing w:after="0" w:line="121" w:lineRule="exact"/>
        <w:rPr>
          <w:sz w:val="20"/>
          <w:szCs w:val="20"/>
          <w:color w:val="auto"/>
        </w:rPr>
      </w:pPr>
    </w:p>
    <w:p>
      <w:pPr>
        <w:ind w:left="444" w:right="200"/>
        <w:spacing w:after="0" w:line="277" w:lineRule="auto"/>
        <w:rPr>
          <w:sz w:val="20"/>
          <w:szCs w:val="20"/>
          <w:color w:val="auto"/>
        </w:rPr>
      </w:pPr>
      <w:r>
        <w:rPr>
          <w:rFonts w:ascii="Arial" w:cs="Arial" w:eastAsia="Arial" w:hAnsi="Arial"/>
          <w:sz w:val="18"/>
          <w:szCs w:val="18"/>
          <w:color w:val="auto"/>
        </w:rPr>
        <w:t>A person who is not a Party has no right under the Contracts (Rights of Third Parties) Act 1999 to enforce or to enjoy the benefit of any term of this Agreement.</w:t>
      </w:r>
    </w:p>
    <w:p>
      <w:pPr>
        <w:spacing w:after="0" w:line="315"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The Facility</w:t>
      </w:r>
    </w:p>
    <w:p>
      <w:pPr>
        <w:spacing w:after="0" w:line="121" w:lineRule="exact"/>
        <w:rPr>
          <w:sz w:val="20"/>
          <w:szCs w:val="20"/>
          <w:color w:val="auto"/>
        </w:rPr>
      </w:pPr>
    </w:p>
    <w:p>
      <w:pPr>
        <w:ind w:left="444" w:right="720"/>
        <w:spacing w:after="0" w:line="277" w:lineRule="auto"/>
        <w:rPr>
          <w:sz w:val="20"/>
          <w:szCs w:val="20"/>
          <w:color w:val="auto"/>
        </w:rPr>
      </w:pPr>
      <w:r>
        <w:rPr>
          <w:rFonts w:ascii="Arial" w:cs="Arial" w:eastAsia="Arial" w:hAnsi="Arial"/>
          <w:sz w:val="18"/>
          <w:szCs w:val="18"/>
          <w:color w:val="auto"/>
        </w:rPr>
        <w:t>Subject to the terms of this Agreement, the Lender makes available to the Borrower a dollar term loan facility in an aggregate amount of USD 800,000,000.</w:t>
      </w:r>
    </w:p>
    <w:p>
      <w:pPr>
        <w:spacing w:after="0" w:line="315" w:lineRule="exact"/>
        <w:rPr>
          <w:sz w:val="20"/>
          <w:szCs w:val="20"/>
          <w:color w:val="auto"/>
        </w:rPr>
      </w:pPr>
    </w:p>
    <w:p>
      <w:pPr>
        <w:ind w:left="424" w:hanging="424"/>
        <w:spacing w:after="0"/>
        <w:tabs>
          <w:tab w:leader="none" w:pos="42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shall apply all amounts borrowed by it under the Facility towards its general corporate purposes.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370"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Borrower may not deliver a Utilisation Request unless the Agent has received all of the documents and other evidence listed in Schedule 1</w:t>
      </w:r>
    </w:p>
    <w:p>
      <w:pPr>
        <w:spacing w:after="0" w:line="46" w:lineRule="exact"/>
        <w:rPr>
          <w:sz w:val="20"/>
          <w:szCs w:val="20"/>
          <w:color w:val="auto"/>
        </w:rPr>
      </w:pPr>
    </w:p>
    <w:p>
      <w:pPr>
        <w:ind w:left="444" w:right="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The Agent shall notify the Borrower and the Lender promptly upon being so satisfied.</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84"/>
          </w:cols>
          <w:pgMar w:left="436" w:top="270" w:right="479" w:bottom="1440" w:gutter="0" w:footer="0" w:header="0"/>
        </w:sectPr>
      </w:pPr>
    </w:p>
    <w:bookmarkStart w:id="19" w:name="page20"/>
    <w:bookmarkEnd w:id="19"/>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color w:val="auto"/>
        </w:rPr>
        <w:t>Further conditions precedent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Lender will only be obliged to comply with Clause 5.4 (</w:t>
      </w:r>
      <w:r>
        <w:rPr>
          <w:rFonts w:ascii="Arial" w:cs="Arial" w:eastAsia="Arial" w:hAnsi="Arial"/>
          <w:sz w:val="17"/>
          <w:szCs w:val="17"/>
          <w:i w:val="1"/>
          <w:iCs w:val="1"/>
          <w:color w:val="auto"/>
        </w:rPr>
        <w:t>Making of a Loan</w:t>
      </w:r>
      <w:r>
        <w:rPr>
          <w:rFonts w:ascii="Arial" w:cs="Arial" w:eastAsia="Arial" w:hAnsi="Arial"/>
          <w:sz w:val="17"/>
          <w:szCs w:val="17"/>
          <w:color w:val="auto"/>
        </w:rPr>
        <w:t>) if on the date of the Utilisation Request and on the proposed</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Utilisation Date:</w:t>
      </w:r>
    </w:p>
    <w:p>
      <w:pPr>
        <w:spacing w:after="0" w:line="116" w:lineRule="exact"/>
        <w:rPr>
          <w:sz w:val="20"/>
          <w:szCs w:val="20"/>
          <w:color w:val="auto"/>
        </w:rPr>
      </w:pPr>
    </w:p>
    <w:p>
      <w:pPr>
        <w:ind w:left="964" w:hanging="532"/>
        <w:spacing w:after="0"/>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Loan;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Repeating Representations to be made by the Borrower are true in all material respects.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b w:val="1"/>
          <w:bCs w:val="1"/>
          <w:color w:val="auto"/>
        </w:rPr>
        <w:t>UTILISATION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35" w:lineRule="exact"/>
        <w:rPr>
          <w:sz w:val="20"/>
          <w:szCs w:val="20"/>
          <w:color w:val="auto"/>
        </w:rPr>
      </w:pPr>
    </w:p>
    <w:p>
      <w:pPr>
        <w:ind w:left="964" w:right="20" w:hanging="532"/>
        <w:spacing w:after="0" w:line="277" w:lineRule="auto"/>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Borrower may utilise the Facility by delivery to the Agent of a duly completed Utilisation Request not later than 9.30 a.m. on the date falling five Business Days prior to the proposed Utilisation Date.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more than one Utilisation Request may be delivered in any calendar month.</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135" w:lineRule="exact"/>
        <w:rPr>
          <w:sz w:val="20"/>
          <w:szCs w:val="20"/>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964" w:hanging="532"/>
        <w:spacing w:after="0"/>
        <w:tabs>
          <w:tab w:leader="none" w:pos="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of the proposed Loan must be an amount which is not more than USD 150,000,000 or if less, the Available Facility and which is a minimum of USD 50,000,000 or if less, the Available Facility.</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Making of a Loan</w:t>
      </w:r>
    </w:p>
    <w:p>
      <w:pPr>
        <w:spacing w:after="0" w:line="121"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If the conditions set out in this Agreement have been met, the Lender shall make its participation in each Loan available by the Utilisation Date through its Facility Office.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Cancellation of Facility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amount of the Facility which, at that time, is unutilised shall be immediately cancelled at the end of the Availability Period.</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44"/>
          </w:cols>
          <w:pgMar w:left="436" w:top="270" w:right="519" w:bottom="1440" w:gutter="0" w:footer="0" w:header="0"/>
        </w:sectPr>
      </w:pPr>
    </w:p>
    <w:bookmarkStart w:id="20" w:name="page21"/>
    <w:bookmarkEnd w:id="20"/>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Repayment of Loans</w:t>
      </w:r>
    </w:p>
    <w:p>
      <w:pPr>
        <w:spacing w:after="0" w:line="135" w:lineRule="exact"/>
        <w:rPr>
          <w:sz w:val="20"/>
          <w:szCs w:val="20"/>
          <w:color w:val="auto"/>
        </w:rPr>
      </w:pPr>
    </w:p>
    <w:p>
      <w:pPr>
        <w:ind w:left="964" w:hanging="532"/>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Termination Date, the Borrower shall repay in full all Loans then outstanding</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repaid.</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Lender debt-for-equity option</w:t>
      </w:r>
    </w:p>
    <w:p>
      <w:pPr>
        <w:spacing w:after="0" w:line="135" w:lineRule="exact"/>
        <w:rPr>
          <w:sz w:val="20"/>
          <w:szCs w:val="20"/>
          <w:color w:val="auto"/>
        </w:rPr>
      </w:pPr>
    </w:p>
    <w:p>
      <w:pPr>
        <w:ind w:left="964" w:right="20" w:hanging="532"/>
        <w:spacing w:after="0" w:line="308" w:lineRule="auto"/>
        <w:tabs>
          <w:tab w:leader="none" w:pos="9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on or prior to the Termination Date the Borrower undertakes, or announces an intention to undertake, a QEO, then the Lender shall have the option (the “</w:t>
      </w:r>
      <w:r>
        <w:rPr>
          <w:rFonts w:ascii="Arial" w:cs="Arial" w:eastAsia="Arial" w:hAnsi="Arial"/>
          <w:sz w:val="17"/>
          <w:szCs w:val="17"/>
          <w:b w:val="1"/>
          <w:bCs w:val="1"/>
          <w:color w:val="auto"/>
        </w:rPr>
        <w:t>Conversion Right</w:t>
      </w:r>
      <w:r>
        <w:rPr>
          <w:rFonts w:ascii="Arial" w:cs="Arial" w:eastAsia="Arial" w:hAnsi="Arial"/>
          <w:sz w:val="17"/>
          <w:szCs w:val="17"/>
          <w:color w:val="auto"/>
        </w:rPr>
        <w:t>”) to deliver a QEO Exercise Notice at any time during the QEO Election Period.</w:t>
      </w:r>
    </w:p>
    <w:p>
      <w:pPr>
        <w:spacing w:after="0" w:line="51" w:lineRule="exact"/>
        <w:rPr>
          <w:rFonts w:ascii="Arial" w:cs="Arial" w:eastAsia="Arial" w:hAnsi="Arial"/>
          <w:sz w:val="17"/>
          <w:szCs w:val="17"/>
          <w:color w:val="auto"/>
        </w:rPr>
      </w:pPr>
    </w:p>
    <w:p>
      <w:pPr>
        <w:ind w:left="964" w:right="60" w:hanging="532"/>
        <w:spacing w:after="0" w:line="277"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Borrower shall notify the Lender of its intention to undertake a QEO at least 10 Business Days prior to the intended settlement date of such QEO.</w:t>
      </w:r>
    </w:p>
    <w:p>
      <w:pPr>
        <w:spacing w:after="0" w:line="75" w:lineRule="exact"/>
        <w:rPr>
          <w:rFonts w:ascii="Arial" w:cs="Arial" w:eastAsia="Arial" w:hAnsi="Arial"/>
          <w:sz w:val="18"/>
          <w:szCs w:val="18"/>
          <w:color w:val="auto"/>
        </w:rPr>
      </w:pPr>
    </w:p>
    <w:p>
      <w:pPr>
        <w:ind w:left="964" w:right="160" w:hanging="532"/>
        <w:spacing w:after="0" w:line="255"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Provided that the Borrower receives a duly completed QEO Exercise Notice from the Lender within the QEO Election Period, each USD 1,000 in aggregate principal amount of any outstanding Loan(s) in respect of which Conversion Rights are exercised (the “</w:t>
      </w:r>
      <w:r>
        <w:rPr>
          <w:rFonts w:ascii="Arial" w:cs="Arial" w:eastAsia="Arial" w:hAnsi="Arial"/>
          <w:sz w:val="18"/>
          <w:szCs w:val="18"/>
          <w:b w:val="1"/>
          <w:bCs w:val="1"/>
          <w:color w:val="auto"/>
        </w:rPr>
        <w:t>Converted</w:t>
      </w:r>
      <w:r>
        <w:rPr>
          <w:rFonts w:ascii="Arial" w:cs="Arial" w:eastAsia="Arial" w:hAnsi="Arial"/>
          <w:sz w:val="18"/>
          <w:szCs w:val="18"/>
          <w:color w:val="auto"/>
        </w:rPr>
        <w:t xml:space="preserve"> </w:t>
      </w:r>
      <w:r>
        <w:rPr>
          <w:rFonts w:ascii="Arial" w:cs="Arial" w:eastAsia="Arial" w:hAnsi="Arial"/>
          <w:sz w:val="18"/>
          <w:szCs w:val="18"/>
          <w:b w:val="1"/>
          <w:bCs w:val="1"/>
          <w:color w:val="auto"/>
        </w:rPr>
        <w:t>Principal Amount</w:t>
      </w:r>
      <w:r>
        <w:rPr>
          <w:rFonts w:ascii="Arial" w:cs="Arial" w:eastAsia="Arial" w:hAnsi="Arial"/>
          <w:sz w:val="18"/>
          <w:szCs w:val="18"/>
          <w:color w:val="auto"/>
        </w:rPr>
        <w:t>”), will be converted on the QEO Conversion Date into the relevant number of Conversion Shares.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circumstances, upon delivery of the relevant number of Conversion Shares to the Lender, and the payment of any accrued but unpaid interest up to (but excluding) the QEO Conversion Date and any Break Costs, the Converted Principal Amount of the relevant Loan(s) shall be deemed repaid and discharged.</w:t>
      </w:r>
    </w:p>
    <w:p>
      <w:pPr>
        <w:spacing w:after="0" w:line="97" w:lineRule="exact"/>
        <w:rPr>
          <w:rFonts w:ascii="Arial" w:cs="Arial" w:eastAsia="Arial" w:hAnsi="Arial"/>
          <w:sz w:val="18"/>
          <w:szCs w:val="18"/>
          <w:color w:val="auto"/>
        </w:rPr>
      </w:pPr>
    </w:p>
    <w:p>
      <w:pPr>
        <w:ind w:left="964" w:hanging="532"/>
        <w:spacing w:after="0"/>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QEO Exercise Notice delivered by the Lender shall specify:</w:t>
      </w:r>
    </w:p>
    <w:p>
      <w:pPr>
        <w:spacing w:after="0" w:line="130" w:lineRule="exact"/>
        <w:rPr>
          <w:rFonts w:ascii="Arial" w:cs="Arial" w:eastAsia="Arial" w:hAnsi="Arial"/>
          <w:sz w:val="18"/>
          <w:szCs w:val="18"/>
          <w:color w:val="auto"/>
        </w:rPr>
      </w:pPr>
    </w:p>
    <w:p>
      <w:pPr>
        <w:ind w:left="1424" w:right="120" w:hanging="439"/>
        <w:spacing w:after="0" w:line="277" w:lineRule="auto"/>
        <w:tabs>
          <w:tab w:leader="none" w:pos="142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aggregate principal amount of any outstanding Loan(s), in integral multiples of USD 1,000 which the Lender wishes to convert; and</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number and account name of the security account(s) at the Relevant Clearing System which are to be credited with the relevant number of Conversion Shares required to be delivered to the Lender hereunder.</w:t>
      </w:r>
    </w:p>
    <w:p>
      <w:pPr>
        <w:spacing w:after="0" w:line="75" w:lineRule="exact"/>
        <w:rPr>
          <w:rFonts w:ascii="Arial" w:cs="Arial" w:eastAsia="Arial" w:hAnsi="Arial"/>
          <w:sz w:val="18"/>
          <w:szCs w:val="18"/>
          <w:color w:val="auto"/>
        </w:rPr>
      </w:pPr>
    </w:p>
    <w:p>
      <w:pPr>
        <w:ind w:left="964" w:right="400" w:hanging="532"/>
        <w:spacing w:after="0" w:line="259" w:lineRule="auto"/>
        <w:tabs>
          <w:tab w:leader="none" w:pos="9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QEO Conversion Date, the Borrower shall deliver, or procure the delivery of, the relevant number of Conversion Shares to the Lender. The relevant number of Conversion Shares will be determined by dividing the Converted Principal Amount by the QEO Conversion Price, and rounding the result down to the nearest whole number of shares. Fractions of Conversion Shares will not be delivered upon conversion and no cash adjustments will be payable in respect thereof.</w:t>
      </w:r>
    </w:p>
    <w:p>
      <w:pPr>
        <w:spacing w:after="0" w:line="92" w:lineRule="exact"/>
        <w:rPr>
          <w:rFonts w:ascii="Arial" w:cs="Arial" w:eastAsia="Arial" w:hAnsi="Arial"/>
          <w:sz w:val="18"/>
          <w:szCs w:val="18"/>
          <w:color w:val="auto"/>
        </w:rPr>
      </w:pPr>
    </w:p>
    <w:p>
      <w:pPr>
        <w:ind w:left="964" w:hanging="532"/>
        <w:spacing w:after="0" w:line="296" w:lineRule="auto"/>
        <w:tabs>
          <w:tab w:leader="none" w:pos="96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Lender must pay directly to the relevant authorities any taxes and capital, stamp, issue, registration and transfer taxes and duties arising on conversion of its Loan(s), other than any capital, stamp, issue, registration and transfer taxes and duties payable in the United Kingdom in respect of the initial allotment, issue or transfer and delivery of any Conversion Shares which shall be paid by the Borrower. In addition, the Borrower shall pay any capital, stamp, issue, registration and transfer taxes and duties payable in the United Kingdom in respect of the allotment, issue or transfer and delivery of any Conversion Shares into the Relevant Clearing System.</w:t>
      </w:r>
    </w:p>
    <w:p>
      <w:pPr>
        <w:spacing w:after="0" w:line="93" w:lineRule="exact"/>
        <w:rPr>
          <w:rFonts w:ascii="Arial" w:cs="Arial" w:eastAsia="Arial" w:hAnsi="Arial"/>
          <w:sz w:val="16"/>
          <w:szCs w:val="16"/>
          <w:color w:val="auto"/>
        </w:rPr>
      </w:pPr>
    </w:p>
    <w:p>
      <w:pPr>
        <w:ind w:left="5424" w:hanging="111"/>
        <w:spacing w:after="0"/>
        <w:tabs>
          <w:tab w:leader="none" w:pos="5424" w:val="left"/>
        </w:tabs>
        <w:numPr>
          <w:ilvl w:val="2"/>
          <w:numId w:val="35"/>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4"/>
          </w:cols>
          <w:pgMar w:left="436" w:top="270" w:right="459" w:bottom="1440" w:gutter="0" w:footer="0" w:header="0"/>
        </w:sectPr>
      </w:pPr>
    </w:p>
    <w:bookmarkStart w:id="21" w:name="page22"/>
    <w:bookmarkEnd w:id="21"/>
    <w:p>
      <w:pPr>
        <w:ind w:left="424" w:hanging="424"/>
        <w:spacing w:after="0"/>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 AND CANCELLATION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444" w:right="320"/>
        <w:spacing w:after="0" w:line="308" w:lineRule="auto"/>
        <w:rPr>
          <w:sz w:val="20"/>
          <w:szCs w:val="20"/>
          <w:color w:val="auto"/>
        </w:rPr>
      </w:pPr>
      <w:r>
        <w:rPr>
          <w:rFonts w:ascii="Arial" w:cs="Arial" w:eastAsia="Arial" w:hAnsi="Arial"/>
          <w:sz w:val="17"/>
          <w:szCs w:val="17"/>
          <w:color w:val="auto"/>
        </w:rPr>
        <w:t>If, in any applicable jurisdiction, it becomes unlawful for the Lender to perform any of its obligations as contemplated by this Agreement or to fund, issue or maintain its participation in any Loan it becomes unlawful for any Affiliate of the Lender for the Lender to do so:</w:t>
      </w:r>
    </w:p>
    <w:p>
      <w:pPr>
        <w:spacing w:after="0" w:line="52" w:lineRule="exact"/>
        <w:rPr>
          <w:sz w:val="20"/>
          <w:szCs w:val="20"/>
          <w:color w:val="auto"/>
        </w:rPr>
      </w:pPr>
    </w:p>
    <w:p>
      <w:pPr>
        <w:ind w:left="964" w:hanging="532"/>
        <w:spacing w:after="0"/>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Lender shall promptly notify the Agent upon becoming aware of that event;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upon the Agent notifying the Borrower, the Available Facility will be immediately cancelled; and</w:t>
      </w:r>
    </w:p>
    <w:p>
      <w:pPr>
        <w:spacing w:after="0" w:line="130" w:lineRule="exact"/>
        <w:rPr>
          <w:rFonts w:ascii="Arial" w:cs="Arial" w:eastAsia="Arial" w:hAnsi="Arial"/>
          <w:sz w:val="18"/>
          <w:szCs w:val="18"/>
          <w:color w:val="auto"/>
        </w:rPr>
      </w:pPr>
    </w:p>
    <w:p>
      <w:pPr>
        <w:ind w:left="964" w:hanging="532"/>
        <w:spacing w:after="0" w:line="259" w:lineRule="auto"/>
        <w:tabs>
          <w:tab w:leader="none" w:pos="96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Borrower shall repay the outstanding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the Available Facility shall be immediately cancelled in the amount of the participations repaid.</w:t>
      </w:r>
    </w:p>
    <w:p>
      <w:pPr>
        <w:spacing w:after="0" w:line="88"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Change of control</w:t>
      </w:r>
    </w:p>
    <w:p>
      <w:pPr>
        <w:spacing w:after="0" w:line="135" w:lineRule="exact"/>
        <w:rPr>
          <w:sz w:val="20"/>
          <w:szCs w:val="20"/>
          <w:color w:val="auto"/>
        </w:rPr>
      </w:pPr>
    </w:p>
    <w:p>
      <w:pPr>
        <w:ind w:left="964" w:hanging="532"/>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person or group of persons acting in concert that is not a Permitted Holder gains control of the Borrower: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Lender shall not be obliged to fund a Utilisation; and</w:t>
      </w:r>
    </w:p>
    <w:p>
      <w:pPr>
        <w:spacing w:after="0" w:line="130" w:lineRule="exact"/>
        <w:rPr>
          <w:rFonts w:ascii="Arial" w:cs="Arial" w:eastAsia="Arial" w:hAnsi="Arial"/>
          <w:sz w:val="18"/>
          <w:szCs w:val="18"/>
          <w:color w:val="auto"/>
        </w:rPr>
      </w:pPr>
    </w:p>
    <w:p>
      <w:pPr>
        <w:ind w:left="1424" w:right="80" w:hanging="439"/>
        <w:spacing w:after="0" w:line="301" w:lineRule="auto"/>
        <w:tabs>
          <w:tab w:leader="none" w:pos="1424" w:val="left"/>
        </w:tabs>
        <w:numPr>
          <w:ilvl w:val="1"/>
          <w:numId w:val="38"/>
        </w:numPr>
        <w:rPr>
          <w:rFonts w:ascii="Arial" w:cs="Arial" w:eastAsia="Arial" w:hAnsi="Arial"/>
          <w:sz w:val="16"/>
          <w:szCs w:val="16"/>
          <w:color w:val="auto"/>
        </w:rPr>
      </w:pPr>
      <w:r>
        <w:rPr>
          <w:rFonts w:ascii="Arial" w:cs="Arial" w:eastAsia="Arial" w:hAnsi="Arial"/>
          <w:sz w:val="16"/>
          <w:szCs w:val="16"/>
          <w:color w:val="auto"/>
        </w:rPr>
        <w:t>if the Lender so requires, the Agent shall, by notice to the Borrower, cancel the Available Facility and declare all outstanding Loans, together with accrued interest, and all other amounts accrued or outstanding under the Finance Documents immediately due and payable, whereupon the Available Facility will be immediately cancelled, the Facility shall immediately cease to be available for further utilisation and all such Loans, accrued interest and other amounts will become immediately due and payable.</w:t>
      </w:r>
    </w:p>
    <w:p>
      <w:pPr>
        <w:spacing w:after="0" w:line="62" w:lineRule="exact"/>
        <w:rPr>
          <w:rFonts w:ascii="Arial" w:cs="Arial" w:eastAsia="Arial" w:hAnsi="Arial"/>
          <w:sz w:val="16"/>
          <w:szCs w:val="16"/>
          <w:color w:val="auto"/>
        </w:rPr>
      </w:pPr>
    </w:p>
    <w:p>
      <w:pPr>
        <w:ind w:left="964" w:hanging="532"/>
        <w:spacing w:after="0"/>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purpose of paragraph (a) above:</w:t>
      </w:r>
    </w:p>
    <w:p>
      <w:pPr>
        <w:spacing w:after="0" w:line="126" w:lineRule="exact"/>
        <w:rPr>
          <w:rFonts w:ascii="Arial" w:cs="Arial" w:eastAsia="Arial" w:hAnsi="Arial"/>
          <w:sz w:val="18"/>
          <w:szCs w:val="18"/>
          <w:color w:val="auto"/>
        </w:rPr>
      </w:pPr>
    </w:p>
    <w:p>
      <w:pPr>
        <w:jc w:val="both"/>
        <w:ind w:left="1424" w:right="520" w:hanging="439"/>
        <w:spacing w:after="0" w:line="266" w:lineRule="auto"/>
        <w:tabs>
          <w:tab w:leader="none" w:pos="1424" w:val="left"/>
        </w:tabs>
        <w:numPr>
          <w:ilvl w:val="1"/>
          <w:numId w:val="3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 group of persons who, pursuant to an agreement or understanding (whether formal or informal), actively co-operate, through the acquisition by any of them, either directly or indirectly, of shares in the Borrower, to obtain or consolidate control of the Borrower;</w:t>
      </w:r>
    </w:p>
    <w:p>
      <w:pPr>
        <w:spacing w:after="0" w:line="112" w:lineRule="exact"/>
        <w:rPr>
          <w:rFonts w:ascii="Arial" w:cs="Arial" w:eastAsia="Arial" w:hAnsi="Arial"/>
          <w:sz w:val="18"/>
          <w:szCs w:val="18"/>
          <w:color w:val="auto"/>
        </w:rPr>
      </w:pPr>
    </w:p>
    <w:p>
      <w:pPr>
        <w:ind w:left="5424" w:hanging="111"/>
        <w:spacing w:after="0"/>
        <w:tabs>
          <w:tab w:leader="none" w:pos="5424" w:val="left"/>
        </w:tabs>
        <w:numPr>
          <w:ilvl w:val="2"/>
          <w:numId w:val="3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24"/>
          </w:cols>
          <w:pgMar w:left="436" w:top="270" w:right="439" w:bottom="1440" w:gutter="0" w:footer="0" w:header="0"/>
        </w:sectPr>
      </w:pPr>
    </w:p>
    <w:bookmarkStart w:id="22" w:name="page23"/>
    <w:bookmarkEnd w:id="22"/>
    <w:p>
      <w:pPr>
        <w:jc w:val="both"/>
        <w:ind w:left="1420" w:right="340" w:hanging="439"/>
        <w:spacing w:after="0" w:line="347" w:lineRule="auto"/>
        <w:tabs>
          <w:tab w:leader="none" w:pos="1420" w:val="left"/>
        </w:tabs>
        <w:numPr>
          <w:ilvl w:val="0"/>
          <w:numId w:val="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control</w:t>
      </w:r>
      <w:r>
        <w:rPr>
          <w:rFonts w:ascii="Arial" w:cs="Arial" w:eastAsia="Arial" w:hAnsi="Arial"/>
          <w:sz w:val="16"/>
          <w:szCs w:val="16"/>
          <w:color w:val="auto"/>
        </w:rPr>
        <w:t>” means the power (whether by way of ownership of shares, proxy, contract, agency or otherwise) to cast, or control the casting of, more than 30 per cent. of the maximum number of votes that might be cast at a general meeting of the Borrower; and</w:t>
      </w:r>
    </w:p>
    <w:p>
      <w:pPr>
        <w:spacing w:after="0" w:line="21" w:lineRule="exact"/>
        <w:rPr>
          <w:rFonts w:ascii="Arial" w:cs="Arial" w:eastAsia="Arial" w:hAnsi="Arial"/>
          <w:sz w:val="16"/>
          <w:szCs w:val="16"/>
          <w:color w:val="auto"/>
        </w:rPr>
      </w:pPr>
    </w:p>
    <w:p>
      <w:pPr>
        <w:ind w:left="1420" w:hanging="43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960" w:hanging="533"/>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Snita Holding B.V.;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PSD Investment Limited.</w:t>
      </w:r>
    </w:p>
    <w:p>
      <w:pPr>
        <w:spacing w:after="0" w:line="12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Voluntary cancellation</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The Borrower may, if it gives the Agent not less than five Business Days’ (or such shorter period as the Agent may agree) prior notice, cancel the whole or any part (being a minimum amount of USD 5,000,000) of the Available Facility.</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Voluntary prepayment of Loans</w:t>
      </w:r>
    </w:p>
    <w:p>
      <w:pPr>
        <w:spacing w:after="0" w:line="121" w:lineRule="exact"/>
        <w:rPr>
          <w:sz w:val="20"/>
          <w:szCs w:val="20"/>
          <w:color w:val="auto"/>
        </w:rPr>
      </w:pPr>
    </w:p>
    <w:p>
      <w:pPr>
        <w:ind w:left="440"/>
        <w:spacing w:after="0" w:line="342" w:lineRule="auto"/>
        <w:rPr>
          <w:sz w:val="20"/>
          <w:szCs w:val="20"/>
          <w:color w:val="auto"/>
        </w:rPr>
      </w:pPr>
      <w:r>
        <w:rPr>
          <w:rFonts w:ascii="Arial" w:cs="Arial" w:eastAsia="Arial" w:hAnsi="Arial"/>
          <w:sz w:val="16"/>
          <w:szCs w:val="16"/>
          <w:color w:val="auto"/>
        </w:rPr>
        <w:t>The Borrower may, if it gives the Agent not less than five Business Days’ (or such shorter period as the Lender may agree) prior notice, prepay the whole or any part of any Loan (but, if in part, being an amount that reduces the amount of the Loan by a minimum amount of USD 5,000,000).</w:t>
      </w:r>
    </w:p>
    <w:p>
      <w:pPr>
        <w:spacing w:after="0" w:line="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color w:val="auto"/>
        </w:rPr>
        <w:t>Restrictions</w:t>
      </w:r>
    </w:p>
    <w:p>
      <w:pPr>
        <w:spacing w:after="0" w:line="135" w:lineRule="exact"/>
        <w:rPr>
          <w:sz w:val="20"/>
          <w:szCs w:val="20"/>
          <w:color w:val="auto"/>
        </w:rPr>
      </w:pPr>
    </w:p>
    <w:p>
      <w:pPr>
        <w:ind w:left="960" w:hanging="532"/>
        <w:spacing w:after="0" w:line="263"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89"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prepaid.</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Facility except at the times and in the manner expressly provided for in this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amount of the Available Facility cancelled under this Agreement may be subsequently reinstated.</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Lender, as appropriate.</w:t>
      </w:r>
    </w:p>
    <w:p>
      <w:pPr>
        <w:spacing w:after="0" w:line="75" w:lineRule="exact"/>
        <w:rPr>
          <w:rFonts w:ascii="Arial" w:cs="Arial" w:eastAsia="Arial" w:hAnsi="Arial"/>
          <w:sz w:val="18"/>
          <w:szCs w:val="18"/>
          <w:color w:val="auto"/>
        </w:rPr>
      </w:pPr>
    </w:p>
    <w:p>
      <w:pPr>
        <w:ind w:left="960" w:right="300" w:hanging="532"/>
        <w:spacing w:after="0" w:line="30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all or part of the Lender’s participation in a Loan is repaid or prepaid, an amount of the Available Facility (equal to the amount of the participation which is repaid or prepaid) will be deemed to be cancelled on the date of repayment or prepayment.</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1000"/>
          </w:cols>
          <w:pgMar w:left="440" w:top="270" w:right="459" w:bottom="1440" w:gutter="0" w:footer="0" w:header="0"/>
        </w:sectPr>
      </w:pPr>
    </w:p>
    <w:bookmarkStart w:id="23" w:name="page24"/>
    <w:bookmarkEnd w:id="23"/>
    <w:p>
      <w:pPr>
        <w:ind w:left="424" w:hanging="424"/>
        <w:spacing w:after="0"/>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131" w:lineRule="exact"/>
        <w:rPr>
          <w:sz w:val="20"/>
          <w:szCs w:val="20"/>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 Reference Rate.</w:t>
      </w:r>
    </w:p>
    <w:p>
      <w:pPr>
        <w:spacing w:after="0" w:line="126"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Payment of interest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On the last day of each Interest Period, the Borrower shall pay accrued interest on the Loan to which that Interest Period relates.</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Default interest</w:t>
      </w:r>
    </w:p>
    <w:p>
      <w:pPr>
        <w:spacing w:after="0" w:line="135" w:lineRule="exact"/>
        <w:rPr>
          <w:sz w:val="20"/>
          <w:szCs w:val="20"/>
          <w:color w:val="auto"/>
        </w:rPr>
      </w:pPr>
    </w:p>
    <w:p>
      <w:pPr>
        <w:ind w:left="964" w:hanging="532"/>
        <w:spacing w:after="0" w:line="255"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Borrower fails to pay any amount payable by it under a Finance Document on its due date, interest shall accrue on the overdue amount from the due date up to the date of actual payment (both before and after judgment) at a rate which, subject to paragraph (b) below, is one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Borrower on demand by the Agent.</w:t>
      </w:r>
    </w:p>
    <w:p>
      <w:pPr>
        <w:spacing w:after="0" w:line="97"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75" w:lineRule="exact"/>
        <w:rPr>
          <w:rFonts w:ascii="Arial" w:cs="Arial" w:eastAsia="Arial" w:hAnsi="Arial"/>
          <w:sz w:val="18"/>
          <w:szCs w:val="18"/>
          <w:color w:val="auto"/>
        </w:rPr>
      </w:pPr>
    </w:p>
    <w:p>
      <w:pPr>
        <w:ind w:left="1424" w:right="260" w:hanging="439"/>
        <w:spacing w:after="0" w:line="277"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Default interest (if unpaid) arising on an overdue amount will be compounded with the overdue amount at the end of each Interest Period applicable to that overdue amount but will remain immediately due and payable.</w:t>
      </w:r>
    </w:p>
    <w:p>
      <w:pPr>
        <w:spacing w:after="0" w:line="7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135" w:lineRule="exact"/>
        <w:rPr>
          <w:sz w:val="20"/>
          <w:szCs w:val="20"/>
          <w:color w:val="auto"/>
        </w:rPr>
      </w:pPr>
    </w:p>
    <w:p>
      <w:pPr>
        <w:ind w:left="964" w:hanging="532"/>
        <w:spacing w:after="0"/>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Agent shall promptly notify the Lender and the Borrower of the determination of a rate of interest under this Agreement.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Agent shall promptly notify the Borrower of each Funding Rate relating to a Loan.</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1"/>
          <w:numId w:val="44"/>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84"/>
          </w:cols>
          <w:pgMar w:left="436" w:top="270" w:right="479" w:bottom="1440" w:gutter="0" w:footer="0" w:header="0"/>
        </w:sectPr>
      </w:pPr>
    </w:p>
    <w:bookmarkStart w:id="24" w:name="page25"/>
    <w:bookmarkEnd w:id="24"/>
    <w:p>
      <w:pPr>
        <w:ind w:left="964" w:hanging="532"/>
        <w:spacing w:after="0"/>
        <w:tabs>
          <w:tab w:leader="none" w:pos="964" w:val="left"/>
        </w:tabs>
        <w:numPr>
          <w:ilvl w:val="1"/>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Clause 8.4 shall not require the Agent to make any notification to any Party on a day which is not a Business Day.</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b w:val="1"/>
          <w:bCs w:val="1"/>
          <w:color w:val="auto"/>
        </w:rPr>
        <w:t>Duration</w:t>
      </w:r>
    </w:p>
    <w:p>
      <w:pPr>
        <w:spacing w:after="0" w:line="135" w:lineRule="exact"/>
        <w:rPr>
          <w:sz w:val="20"/>
          <w:szCs w:val="20"/>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 to this Clause 9, an Interest Period for a Loan shall be six Months.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first Interest Period for a Loan ends on the next following Interest Payment Date after the Utilisation Date of that Loan.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w:t>
      </w:r>
    </w:p>
    <w:p>
      <w:pPr>
        <w:spacing w:after="0" w:line="130" w:lineRule="exact"/>
        <w:rPr>
          <w:rFonts w:ascii="Arial" w:cs="Arial" w:eastAsia="Arial" w:hAnsi="Arial"/>
          <w:sz w:val="18"/>
          <w:szCs w:val="18"/>
          <w:color w:val="auto"/>
        </w:rPr>
      </w:pPr>
    </w:p>
    <w:p>
      <w:pPr>
        <w:ind w:left="4" w:right="380" w:firstLine="428"/>
        <w:spacing w:after="0" w:line="383" w:lineRule="auto"/>
        <w:tabs>
          <w:tab w:leader="none" w:pos="976"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Each Interest Period for a Loan shall start on the Utilisation Date or (if already made) on the last day of its preceding Interest Period. 9.2 </w:t>
      </w:r>
      <w:r>
        <w:rPr>
          <w:rFonts w:ascii="Arial" w:cs="Arial" w:eastAsia="Arial" w:hAnsi="Arial"/>
          <w:sz w:val="18"/>
          <w:szCs w:val="18"/>
          <w:b w:val="1"/>
          <w:bCs w:val="1"/>
          <w:color w:val="auto"/>
        </w:rPr>
        <w:t>Non-Business Days</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rules specified as “Business Day Conventions” in the Reference Rate Terms shall apply to each Interest Period.</w:t>
      </w:r>
    </w:p>
    <w:p>
      <w:pPr>
        <w:spacing w:after="0" w:line="12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Consolidation and division of Loans</w:t>
      </w:r>
    </w:p>
    <w:p>
      <w:pPr>
        <w:spacing w:after="0" w:line="121"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If two or more Interest Periods end on the same date, those Loans will be consolidated into, and treated as, a single Loan on the last day of the Interest Period.</w:t>
      </w:r>
    </w:p>
    <w:p>
      <w:pPr>
        <w:spacing w:after="0" w:line="315" w:lineRule="exact"/>
        <w:rPr>
          <w:sz w:val="20"/>
          <w:szCs w:val="20"/>
          <w:color w:val="auto"/>
        </w:rPr>
      </w:pPr>
    </w:p>
    <w:p>
      <w:pPr>
        <w:ind w:left="424" w:hanging="424"/>
        <w:spacing w:after="0"/>
        <w:tabs>
          <w:tab w:leader="none" w:pos="424"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CHANGES TO THE CALCULATION OF INTEREST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Interest Calculation if no Primary Term Rate</w:t>
      </w:r>
    </w:p>
    <w:p>
      <w:pPr>
        <w:spacing w:after="0" w:line="135" w:lineRule="exact"/>
        <w:rPr>
          <w:sz w:val="20"/>
          <w:szCs w:val="20"/>
          <w:color w:val="auto"/>
        </w:rPr>
      </w:pPr>
    </w:p>
    <w:p>
      <w:pPr>
        <w:ind w:left="964" w:right="260" w:hanging="532"/>
        <w:spacing w:after="0" w:line="308" w:lineRule="auto"/>
        <w:tabs>
          <w:tab w:leader="none" w:pos="964" w:val="left"/>
        </w:tabs>
        <w:numPr>
          <w:ilvl w:val="0"/>
          <w:numId w:val="49"/>
        </w:numPr>
        <w:rPr>
          <w:rFonts w:ascii="Arial" w:cs="Arial" w:eastAsia="Arial" w:hAnsi="Arial"/>
          <w:sz w:val="17"/>
          <w:szCs w:val="17"/>
          <w:color w:val="auto"/>
        </w:rPr>
      </w:pPr>
      <w:r>
        <w:rPr>
          <w:rFonts w:ascii="Arial" w:cs="Arial" w:eastAsia="Arial" w:hAnsi="Arial"/>
          <w:sz w:val="17"/>
          <w:szCs w:val="17"/>
          <w:i w:val="1"/>
          <w:iCs w:val="1"/>
          <w:color w:val="auto"/>
        </w:rPr>
        <w:t>Interpolated Primary Term Rate</w:t>
      </w:r>
      <w:r>
        <w:rPr>
          <w:rFonts w:ascii="Arial" w:cs="Arial" w:eastAsia="Arial" w:hAnsi="Arial"/>
          <w:sz w:val="17"/>
          <w:szCs w:val="17"/>
          <w:color w:val="auto"/>
        </w:rPr>
        <w:t>: If no Primary Term Rate is available for the Interest Period of a Loan, the applicable Term Reference</w:t>
      </w:r>
      <w:r>
        <w:rPr>
          <w:rFonts w:ascii="Arial" w:cs="Arial" w:eastAsia="Arial" w:hAnsi="Arial"/>
          <w:sz w:val="17"/>
          <w:szCs w:val="17"/>
          <w:i w:val="1"/>
          <w:iCs w:val="1"/>
          <w:color w:val="auto"/>
        </w:rPr>
        <w:t xml:space="preserve"> </w:t>
      </w:r>
      <w:r>
        <w:rPr>
          <w:rFonts w:ascii="Arial" w:cs="Arial" w:eastAsia="Arial" w:hAnsi="Arial"/>
          <w:sz w:val="17"/>
          <w:szCs w:val="17"/>
          <w:color w:val="auto"/>
        </w:rPr>
        <w:t>Rate shall be the Interpolated Primary Term Rate for a period equal in length to the Interest Period of that Loan.</w:t>
      </w:r>
    </w:p>
    <w:p>
      <w:pPr>
        <w:spacing w:after="0" w:line="51" w:lineRule="exact"/>
        <w:rPr>
          <w:rFonts w:ascii="Arial" w:cs="Arial" w:eastAsia="Arial" w:hAnsi="Arial"/>
          <w:sz w:val="17"/>
          <w:szCs w:val="17"/>
          <w:color w:val="auto"/>
        </w:rPr>
      </w:pPr>
    </w:p>
    <w:p>
      <w:pPr>
        <w:ind w:left="964" w:right="80" w:hanging="532"/>
        <w:spacing w:after="0" w:line="277" w:lineRule="auto"/>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Alternative Term Rate </w:t>
      </w:r>
      <w:r>
        <w:rPr>
          <w:rFonts w:ascii="Arial" w:cs="Arial" w:eastAsia="Arial" w:hAnsi="Arial"/>
          <w:sz w:val="18"/>
          <w:szCs w:val="18"/>
          <w:color w:val="auto"/>
        </w:rPr>
        <w:t>If paragraph (a) above applies but it is not possible to calculate the Interpolated Primary Term Rate, the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Term Reference Rate shall be the aggregate of:</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Alternative Term Rate as of the Quotation Time for a period equal in length to the Interest Period of that Loan;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applicable Alternative Term Rate Adjustment.</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Interpolated Alternative Term Rate: </w:t>
      </w:r>
      <w:r>
        <w:rPr>
          <w:rFonts w:ascii="Arial" w:cs="Arial" w:eastAsia="Arial" w:hAnsi="Arial"/>
          <w:sz w:val="18"/>
          <w:szCs w:val="18"/>
          <w:color w:val="auto"/>
        </w:rPr>
        <w:t>If paragraph (b) above applies but no Alternative Term Rate is available for the Interest Period of that</w:t>
      </w:r>
      <w:r>
        <w:rPr>
          <w:rFonts w:ascii="Arial" w:cs="Arial" w:eastAsia="Arial" w:hAnsi="Arial"/>
          <w:sz w:val="18"/>
          <w:szCs w:val="18"/>
          <w:i w:val="1"/>
          <w:iCs w:val="1"/>
          <w:color w:val="auto"/>
        </w:rPr>
        <w:t xml:space="preserve"> </w:t>
      </w:r>
      <w:r>
        <w:rPr>
          <w:rFonts w:ascii="Arial" w:cs="Arial" w:eastAsia="Arial" w:hAnsi="Arial"/>
          <w:sz w:val="18"/>
          <w:szCs w:val="18"/>
          <w:color w:val="auto"/>
        </w:rPr>
        <w:t>Loan, the applicable Term Reference Rate shall be the aggregate of:</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Interpolated Alternative Term Rate for a period equal in length to the Interest Period of that Loan;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applicable Alternative Term Rate Adjustment.</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2"/>
          <w:numId w:val="4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0904"/>
          </w:cols>
          <w:pgMar w:left="436" w:top="274" w:right="559" w:bottom="1440" w:gutter="0" w:footer="0" w:header="0"/>
        </w:sectPr>
      </w:pPr>
    </w:p>
    <w:bookmarkStart w:id="25" w:name="page26"/>
    <w:bookmarkEnd w:id="25"/>
    <w:p>
      <w:pPr>
        <w:ind w:left="960" w:right="180" w:hanging="532"/>
        <w:spacing w:after="0" w:line="266" w:lineRule="auto"/>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 of funds</w:t>
      </w:r>
      <w:r>
        <w:rPr>
          <w:rFonts w:ascii="Arial" w:cs="Arial" w:eastAsia="Arial" w:hAnsi="Arial"/>
          <w:sz w:val="18"/>
          <w:szCs w:val="18"/>
          <w:color w:val="auto"/>
        </w:rPr>
        <w:t>: If paragraph (c) above applies but it is not possible to calculate the Interpolated Alternative Term Rate and “</w:t>
      </w:r>
      <w:r>
        <w:rPr>
          <w:rFonts w:ascii="Arial" w:cs="Arial" w:eastAsia="Arial" w:hAnsi="Arial"/>
          <w:sz w:val="18"/>
          <w:szCs w:val="18"/>
          <w:b w:val="1"/>
          <w:bCs w:val="1"/>
          <w:color w:val="auto"/>
        </w:rPr>
        <w:t>Cost of funds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will apply as a fallback</w:t>
      </w:r>
      <w:r>
        <w:rPr>
          <w:rFonts w:ascii="Arial" w:cs="Arial" w:eastAsia="Arial" w:hAnsi="Arial"/>
          <w:sz w:val="18"/>
          <w:szCs w:val="18"/>
          <w:color w:val="auto"/>
        </w:rPr>
        <w:t>” is specified in the Reference Rate Terms,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that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Period.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Market disruption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960" w:hanging="532"/>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Market Disruption Rate is specified in the Reference Rate Terms; and</w:t>
      </w:r>
    </w:p>
    <w:p>
      <w:pPr>
        <w:spacing w:after="0" w:line="130"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before the Reporting Time the Agent receives notifications from the Lender that its cost of funds relating to its participation in that Loan would be in excess of that Market Disruption Rate,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the relevant Interest Period.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Cost of funds</w:t>
      </w:r>
    </w:p>
    <w:p>
      <w:pPr>
        <w:spacing w:after="0" w:line="135" w:lineRule="exact"/>
        <w:rPr>
          <w:sz w:val="20"/>
          <w:szCs w:val="20"/>
          <w:color w:val="auto"/>
        </w:rPr>
      </w:pPr>
    </w:p>
    <w:p>
      <w:pPr>
        <w:ind w:left="960" w:right="2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a Loan for the relevant Interest Period shall be the percentage rate per annum which is the sum of:</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1420" w:right="420" w:hanging="439"/>
        <w:spacing w:after="0" w:line="277" w:lineRule="auto"/>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rate determined by the Agent as soon as practicable and in any event by the Reporting Time, to be that which expresses as a percentage rate per annum its cost of funds relating to that Loan.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this Clause 10.3 applies and the Agent or the Borrower so requires, the Agent and the Borrower shall enter into negotiations (for a period of not more than thirty days) with a view to agreeing a substitute basis for determining the rate of interest.</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the Agent and the Borrower, be binding on all Parties.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Lender’s Funding Rate is less than the Market Disruption Rate; or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the Agent does not supply a rate by the time specified in Clause 10.3(a)(ii),</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Lender’s cost of funds relating to its participation in that Loan for that Interest Period shall be deemed, for the purposes of paragraph</w:t>
      </w:r>
    </w:p>
    <w:p>
      <w:pPr>
        <w:spacing w:after="0" w:line="46" w:lineRule="exact"/>
        <w:rPr>
          <w:sz w:val="20"/>
          <w:szCs w:val="20"/>
          <w:color w:val="auto"/>
        </w:rPr>
      </w:pPr>
    </w:p>
    <w:p>
      <w:pPr>
        <w:ind w:right="6820" w:firstLine="987"/>
        <w:spacing w:after="0" w:line="375" w:lineRule="auto"/>
        <w:tabs>
          <w:tab w:leader="none" w:pos="1236"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above, to be the Market Disruption Rate. 10.4 </w:t>
      </w:r>
      <w:r>
        <w:rPr>
          <w:rFonts w:ascii="Arial" w:cs="Arial" w:eastAsia="Arial" w:hAnsi="Arial"/>
          <w:sz w:val="18"/>
          <w:szCs w:val="18"/>
          <w:b w:val="1"/>
          <w:bCs w:val="1"/>
          <w:color w:val="auto"/>
        </w:rPr>
        <w:t>Notification to Borrower</w:t>
      </w:r>
    </w:p>
    <w:p>
      <w:pPr>
        <w:ind w:left="440"/>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Borrower.</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00"/>
          </w:cols>
          <w:pgMar w:left="440" w:top="270" w:right="45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Arial" w:cs="Arial" w:eastAsia="Arial" w:hAnsi="Arial"/>
          <w:sz w:val="18"/>
          <w:szCs w:val="18"/>
          <w:b w:val="1"/>
          <w:bCs w:val="1"/>
          <w:color w:val="auto"/>
        </w:rPr>
        <w:t>Break Costs</w:t>
      </w:r>
    </w:p>
    <w:p>
      <w:pPr>
        <w:spacing w:after="0" w:line="135" w:lineRule="exact"/>
        <w:rPr>
          <w:sz w:val="20"/>
          <w:szCs w:val="20"/>
          <w:color w:val="auto"/>
        </w:rPr>
      </w:pPr>
    </w:p>
    <w:p>
      <w:pPr>
        <w:ind w:left="964"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If an amount is specified as Break Costs in the Reference Rate Terms the Borrower shall, within five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89" w:lineRule="exact"/>
        <w:rPr>
          <w:rFonts w:ascii="Arial" w:cs="Arial" w:eastAsia="Arial" w:hAnsi="Arial"/>
          <w:sz w:val="18"/>
          <w:szCs w:val="18"/>
          <w:color w:val="auto"/>
        </w:rPr>
      </w:pPr>
    </w:p>
    <w:p>
      <w:pPr>
        <w:ind w:left="964" w:right="120" w:hanging="532"/>
        <w:spacing w:after="0" w:line="277"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Lender shall, as soon as reasonably practicable after a demand by the Agent, provide a certificate confirming the amount of its Break Costs for any Interest Period in which they become, or may become, payable.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TAX GROSS UP AND INDEMNITIES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Definitions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44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Protected Party</w:t>
      </w:r>
      <w:r>
        <w:rPr>
          <w:rFonts w:ascii="Arial" w:cs="Arial" w:eastAsia="Arial" w:hAnsi="Arial"/>
          <w:sz w:val="16"/>
          <w:szCs w:val="16"/>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17" w:lineRule="exact"/>
        <w:rPr>
          <w:sz w:val="20"/>
          <w:szCs w:val="20"/>
          <w:color w:val="auto"/>
        </w:rPr>
      </w:pPr>
    </w:p>
    <w:p>
      <w:pPr>
        <w:ind w:left="444"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54" w:lineRule="exact"/>
        <w:rPr>
          <w:sz w:val="20"/>
          <w:szCs w:val="20"/>
          <w:color w:val="auto"/>
        </w:rPr>
      </w:pPr>
    </w:p>
    <w:p>
      <w:pPr>
        <w:ind w:left="444"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the Borrower to a Finance Party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Tax gross-up</w:t>
      </w:r>
    </w:p>
    <w:p>
      <w:pPr>
        <w:spacing w:after="0" w:line="135" w:lineRule="exact"/>
        <w:rPr>
          <w:sz w:val="20"/>
          <w:szCs w:val="20"/>
          <w:color w:val="auto"/>
        </w:rPr>
      </w:pPr>
    </w:p>
    <w:p>
      <w:pPr>
        <w:ind w:left="964" w:hanging="532"/>
        <w:spacing w:after="0"/>
        <w:tabs>
          <w:tab w:leader="none" w:pos="964"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Borrower shall make all payments to be made by it without any Tax Deduction, unless a Tax Deduction is required by law.</w:t>
      </w:r>
    </w:p>
    <w:p>
      <w:pPr>
        <w:spacing w:after="0" w:line="142" w:lineRule="exact"/>
        <w:rPr>
          <w:rFonts w:ascii="Arial" w:cs="Arial" w:eastAsia="Arial" w:hAnsi="Arial"/>
          <w:sz w:val="17"/>
          <w:szCs w:val="17"/>
          <w:color w:val="auto"/>
        </w:rPr>
      </w:pPr>
    </w:p>
    <w:p>
      <w:pPr>
        <w:ind w:left="964" w:right="120" w:hanging="532"/>
        <w:spacing w:after="0" w:line="263"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Borrower shall promptly upon becoming aware that it must make a Tax Deduction (or that there is any change in the rate or the basis of a Tax Deduction) notify the Agent accordingly. Similarly, the Lender shall notify the Borrower on becoming so aware in respect of a payment payable to the Lender.</w:t>
      </w:r>
    </w:p>
    <w:p>
      <w:pPr>
        <w:spacing w:after="0" w:line="89" w:lineRule="exact"/>
        <w:rPr>
          <w:rFonts w:ascii="Arial" w:cs="Arial" w:eastAsia="Arial" w:hAnsi="Arial"/>
          <w:sz w:val="18"/>
          <w:szCs w:val="18"/>
          <w:color w:val="auto"/>
        </w:rPr>
      </w:pPr>
    </w:p>
    <w:p>
      <w:pPr>
        <w:ind w:left="964" w:right="40" w:hanging="532"/>
        <w:spacing w:after="0" w:line="263"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p>
      <w:pPr>
        <w:spacing w:after="0" w:line="89"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Borrower is required to make a Tax Deduction, it shall make that Tax Deduction and any payment required in connection with that Tax Deduction within the time allowed and in the minimum amount required by law.</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84"/>
          </w:cols>
          <w:pgMar w:left="436" w:top="270" w:right="479" w:bottom="1440" w:gutter="0" w:footer="0" w:header="0"/>
        </w:sectPr>
      </w:pPr>
    </w:p>
    <w:bookmarkStart w:id="27" w:name="page28"/>
    <w:bookmarkEnd w:id="27"/>
    <w:p>
      <w:pPr>
        <w:ind w:left="960" w:right="180" w:hanging="532"/>
        <w:spacing w:after="0" w:line="259"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thirty days of making either a Tax Deduction or any payment required in connection with that Tax Deduction, the Borrower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92" w:lineRule="exact"/>
        <w:rPr>
          <w:rFonts w:ascii="Arial" w:cs="Arial" w:eastAsia="Arial" w:hAnsi="Arial"/>
          <w:sz w:val="18"/>
          <w:szCs w:val="18"/>
          <w:color w:val="auto"/>
        </w:rPr>
      </w:pPr>
    </w:p>
    <w:p>
      <w:pPr>
        <w:ind w:left="960" w:right="360" w:hanging="532"/>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Original Lender and the Borrower shall co-operate in completing any procedural formalities necessary for the Borrower to obtain authorisation to make that payment without a Tax Deduction.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Tax indemnity</w:t>
      </w:r>
    </w:p>
    <w:p>
      <w:pPr>
        <w:spacing w:after="0" w:line="135" w:lineRule="exact"/>
        <w:rPr>
          <w:sz w:val="20"/>
          <w:szCs w:val="20"/>
          <w:color w:val="auto"/>
        </w:rPr>
      </w:pPr>
    </w:p>
    <w:p>
      <w:pPr>
        <w:jc w:val="both"/>
        <w:ind w:left="960" w:right="140" w:hanging="532"/>
        <w:spacing w:after="0" w:line="263"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Borrower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30" w:lineRule="exact"/>
        <w:rPr>
          <w:rFonts w:ascii="Arial" w:cs="Arial" w:eastAsia="Arial" w:hAnsi="Arial"/>
          <w:sz w:val="18"/>
          <w:szCs w:val="18"/>
          <w:color w:val="auto"/>
        </w:rPr>
      </w:pPr>
    </w:p>
    <w:p>
      <w:pPr>
        <w:ind w:left="1960" w:right="80" w:hanging="533"/>
        <w:spacing w:after="0" w:line="277"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75" w:lineRule="exact"/>
        <w:rPr>
          <w:rFonts w:ascii="Arial" w:cs="Arial" w:eastAsia="Arial" w:hAnsi="Arial"/>
          <w:sz w:val="18"/>
          <w:szCs w:val="18"/>
          <w:color w:val="auto"/>
        </w:rPr>
      </w:pPr>
    </w:p>
    <w:p>
      <w:pPr>
        <w:ind w:left="1960" w:right="280" w:hanging="533"/>
        <w:spacing w:after="0" w:line="277" w:lineRule="auto"/>
        <w:tabs>
          <w:tab w:leader="none" w:pos="1960" w:val="left"/>
        </w:tabs>
        <w:numPr>
          <w:ilvl w:val="2"/>
          <w:numId w:val="58"/>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62" w:lineRule="exact"/>
        <w:rPr>
          <w:sz w:val="20"/>
          <w:szCs w:val="20"/>
          <w:color w:val="auto"/>
        </w:rPr>
      </w:pPr>
    </w:p>
    <w:p>
      <w:pPr>
        <w:ind w:left="142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76" w:lineRule="exact"/>
        <w:rPr>
          <w:sz w:val="20"/>
          <w:szCs w:val="20"/>
          <w:color w:val="auto"/>
        </w:rPr>
      </w:pPr>
    </w:p>
    <w:p>
      <w:pPr>
        <w:ind w:left="1420" w:hanging="439"/>
        <w:spacing w:after="0"/>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the extent a loss, liability or cost: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59"/>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the Borrower under this Clause 11.3, notify the Agent.</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3"/>
          <w:numId w:val="6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60"/>
          </w:cols>
          <w:pgMar w:left="440" w:top="274" w:right="49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Arial" w:cs="Arial" w:eastAsia="Arial" w:hAnsi="Arial"/>
          <w:sz w:val="18"/>
          <w:szCs w:val="18"/>
          <w:b w:val="1"/>
          <w:bCs w:val="1"/>
          <w:color w:val="auto"/>
        </w:rPr>
        <w:t>Tax Credit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Borrower makes a Tax Payment and the relevant Finance Party determines that:</w:t>
      </w:r>
    </w:p>
    <w:p>
      <w:pPr>
        <w:spacing w:after="0" w:line="131" w:lineRule="exact"/>
        <w:rPr>
          <w:sz w:val="20"/>
          <w:szCs w:val="20"/>
          <w:color w:val="auto"/>
        </w:rPr>
      </w:pPr>
    </w:p>
    <w:p>
      <w:pPr>
        <w:ind w:left="960" w:right="220" w:hanging="532"/>
        <w:spacing w:after="0" w:line="277" w:lineRule="auto"/>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117"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the Finance Party shall pay an amount to the Borrower which that Finance Party determines will leave it (after that payment) in the same after-Tax position as it would have been in had the Tax Payment not been required to be made by the Borrower.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Stamp taxes</w:t>
      </w:r>
    </w:p>
    <w:p>
      <w:pPr>
        <w:spacing w:after="0" w:line="121" w:lineRule="exact"/>
        <w:rPr>
          <w:sz w:val="20"/>
          <w:szCs w:val="20"/>
          <w:color w:val="auto"/>
        </w:rPr>
      </w:pPr>
    </w:p>
    <w:p>
      <w:pPr>
        <w:ind w:left="440" w:right="240"/>
        <w:spacing w:after="0" w:line="308" w:lineRule="auto"/>
        <w:rPr>
          <w:sz w:val="20"/>
          <w:szCs w:val="20"/>
          <w:color w:val="auto"/>
        </w:rPr>
      </w:pPr>
      <w:r>
        <w:rPr>
          <w:rFonts w:ascii="Arial" w:cs="Arial" w:eastAsia="Arial" w:hAnsi="Arial"/>
          <w:sz w:val="17"/>
          <w:szCs w:val="17"/>
          <w:color w:val="auto"/>
        </w:rPr>
        <w:t>The Borrower shall pay and, within five Business Days of demand, indemnify each Finance Party against any cost, loss or liability that Finance Party incurs in relation to all stamp duty, registration and other similar Taxes payable in respect of any Finance Document.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VAT</w:t>
      </w:r>
    </w:p>
    <w:p>
      <w:pPr>
        <w:spacing w:after="0" w:line="135" w:lineRule="exact"/>
        <w:rPr>
          <w:sz w:val="20"/>
          <w:szCs w:val="20"/>
          <w:color w:val="auto"/>
        </w:rPr>
      </w:pPr>
    </w:p>
    <w:p>
      <w:pPr>
        <w:ind w:left="960" w:hanging="532"/>
        <w:spacing w:after="0" w:line="273" w:lineRule="auto"/>
        <w:tabs>
          <w:tab w:leader="none" w:pos="960" w:val="left"/>
        </w:tabs>
        <w:numPr>
          <w:ilvl w:val="0"/>
          <w:numId w:val="62"/>
        </w:numPr>
        <w:rPr>
          <w:rFonts w:ascii="Arial" w:cs="Arial" w:eastAsia="Arial" w:hAnsi="Arial"/>
          <w:sz w:val="17"/>
          <w:szCs w:val="17"/>
          <w:color w:val="auto"/>
        </w:rPr>
      </w:pPr>
      <w:r>
        <w:rPr>
          <w:rFonts w:ascii="Arial" w:cs="Arial" w:eastAsia="Arial" w:hAnsi="Arial"/>
          <w:sz w:val="17"/>
          <w:szCs w:val="17"/>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79" w:lineRule="exact"/>
        <w:rPr>
          <w:rFonts w:ascii="Arial" w:cs="Arial" w:eastAsia="Arial" w:hAnsi="Arial"/>
          <w:sz w:val="17"/>
          <w:szCs w:val="17"/>
          <w:color w:val="auto"/>
        </w:rPr>
      </w:pPr>
    </w:p>
    <w:p>
      <w:pPr>
        <w:ind w:left="960" w:hanging="532"/>
        <w:spacing w:after="0" w:line="261"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VAT is or becomes chargeable on any supply made by any Finance Party (the “</w:t>
      </w:r>
      <w:r>
        <w:rPr>
          <w:rFonts w:ascii="Arial" w:cs="Arial" w:eastAsia="Arial" w:hAnsi="Arial"/>
          <w:sz w:val="18"/>
          <w:szCs w:val="18"/>
          <w:b w:val="1"/>
          <w:bCs w:val="1"/>
          <w:color w:val="auto"/>
        </w:rPr>
        <w:t>Supplier</w:t>
      </w:r>
      <w:r>
        <w:rPr>
          <w:rFonts w:ascii="Arial" w:cs="Arial" w:eastAsia="Arial" w:hAnsi="Arial"/>
          <w:sz w:val="18"/>
          <w:szCs w:val="18"/>
          <w:color w:val="auto"/>
        </w:rPr>
        <w:t>”) to any other Finance Party (the “</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 “</w:t>
      </w:r>
      <w:r>
        <w:rPr>
          <w:rFonts w:ascii="Arial" w:cs="Arial" w:eastAsia="Arial" w:hAnsi="Arial"/>
          <w:sz w:val="18"/>
          <w:szCs w:val="18"/>
          <w:b w:val="1"/>
          <w:bCs w:val="1"/>
          <w:color w:val="auto"/>
        </w:rPr>
        <w:t>Relevant Party</w:t>
      </w:r>
      <w:r>
        <w:rPr>
          <w:rFonts w:ascii="Arial" w:cs="Arial" w:eastAsia="Arial" w:hAnsi="Arial"/>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89" w:lineRule="exact"/>
        <w:rPr>
          <w:rFonts w:ascii="Arial" w:cs="Arial" w:eastAsia="Arial" w:hAnsi="Arial"/>
          <w:sz w:val="18"/>
          <w:szCs w:val="18"/>
          <w:color w:val="auto"/>
        </w:rPr>
      </w:pPr>
    </w:p>
    <w:p>
      <w:pPr>
        <w:ind w:left="1420" w:right="40" w:hanging="439"/>
        <w:spacing w:after="0" w:line="301" w:lineRule="auto"/>
        <w:tabs>
          <w:tab w:leader="none" w:pos="1420" w:val="left"/>
        </w:tabs>
        <w:numPr>
          <w:ilvl w:val="1"/>
          <w:numId w:val="62"/>
        </w:numPr>
        <w:rPr>
          <w:rFonts w:ascii="Arial" w:cs="Arial" w:eastAsia="Arial" w:hAnsi="Arial"/>
          <w:sz w:val="16"/>
          <w:szCs w:val="16"/>
          <w:color w:val="auto"/>
        </w:rPr>
      </w:pPr>
      <w:r>
        <w:rPr>
          <w:rFonts w:ascii="Arial" w:cs="Arial" w:eastAsia="Arial" w:hAnsi="Arial"/>
          <w:sz w:val="16"/>
          <w:szCs w:val="16"/>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62" w:lineRule="exact"/>
        <w:rPr>
          <w:rFonts w:ascii="Arial" w:cs="Arial" w:eastAsia="Arial" w:hAnsi="Arial"/>
          <w:sz w:val="16"/>
          <w:szCs w:val="16"/>
          <w:color w:val="auto"/>
        </w:rPr>
      </w:pPr>
    </w:p>
    <w:p>
      <w:pPr>
        <w:ind w:left="1420" w:right="60" w:hanging="439"/>
        <w:spacing w:after="0" w:line="259" w:lineRule="auto"/>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62"/>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000"/>
          </w:cols>
          <w:pgMar w:left="440" w:top="270" w:right="459" w:bottom="1440" w:gutter="0" w:footer="0" w:header="0"/>
        </w:sectPr>
      </w:pPr>
    </w:p>
    <w:bookmarkStart w:id="29" w:name="page30"/>
    <w:bookmarkEnd w:id="29"/>
    <w:p>
      <w:pPr>
        <w:ind w:left="960" w:right="40" w:hanging="532"/>
        <w:spacing w:after="0" w:line="259"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92" w:lineRule="exact"/>
        <w:rPr>
          <w:rFonts w:ascii="Arial" w:cs="Arial" w:eastAsia="Arial" w:hAnsi="Arial"/>
          <w:sz w:val="18"/>
          <w:szCs w:val="18"/>
          <w:color w:val="auto"/>
        </w:rPr>
      </w:pPr>
    </w:p>
    <w:p>
      <w:pPr>
        <w:ind w:left="960" w:right="80" w:hanging="532"/>
        <w:spacing w:after="0" w:line="286" w:lineRule="auto"/>
        <w:tabs>
          <w:tab w:leader="none" w:pos="9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reference in this Clause 11.6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Value Added Tax Act 1994).</w:t>
      </w:r>
    </w:p>
    <w:p>
      <w:pPr>
        <w:spacing w:after="0" w:line="70" w:lineRule="exact"/>
        <w:rPr>
          <w:rFonts w:ascii="Arial" w:cs="Arial" w:eastAsia="Arial" w:hAnsi="Arial"/>
          <w:sz w:val="17"/>
          <w:szCs w:val="17"/>
          <w:color w:val="auto"/>
        </w:rPr>
      </w:pPr>
    </w:p>
    <w:p>
      <w:pPr>
        <w:ind w:left="960" w:right="100" w:hanging="532"/>
        <w:spacing w:after="0" w:line="311" w:lineRule="auto"/>
        <w:tabs>
          <w:tab w:leader="none" w:pos="9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FATCA information</w:t>
      </w:r>
    </w:p>
    <w:p>
      <w:pPr>
        <w:spacing w:after="0" w:line="135" w:lineRule="exact"/>
        <w:rPr>
          <w:sz w:val="20"/>
          <w:szCs w:val="20"/>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Subject to paragraph (c) below, each Party shall, within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Business Days of a reasonable request by another Party: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64"/>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30" w:lineRule="exact"/>
        <w:rPr>
          <w:rFonts w:ascii="Arial" w:cs="Arial" w:eastAsia="Arial" w:hAnsi="Arial"/>
          <w:sz w:val="18"/>
          <w:szCs w:val="18"/>
          <w:color w:val="auto"/>
        </w:rPr>
      </w:pPr>
    </w:p>
    <w:p>
      <w:pPr>
        <w:ind w:left="1420" w:right="280" w:hanging="439"/>
        <w:spacing w:after="0" w:line="277"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supply to that other Party such forms, documentation and other information relating to its status under FATCA as that other Party reasonably requests for the purposes of that other Party’s compliance with FATCA; and</w:t>
      </w:r>
    </w:p>
    <w:p>
      <w:pPr>
        <w:spacing w:after="0" w:line="75" w:lineRule="exact"/>
        <w:rPr>
          <w:rFonts w:ascii="Arial" w:cs="Arial" w:eastAsia="Arial" w:hAnsi="Arial"/>
          <w:sz w:val="18"/>
          <w:szCs w:val="18"/>
          <w:color w:val="auto"/>
        </w:rPr>
      </w:pPr>
    </w:p>
    <w:p>
      <w:pPr>
        <w:ind w:left="1420" w:right="520" w:hanging="439"/>
        <w:spacing w:after="0" w:line="342" w:lineRule="auto"/>
        <w:tabs>
          <w:tab w:leader="none" w:pos="1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29" w:lineRule="exact"/>
        <w:rPr>
          <w:rFonts w:ascii="Arial" w:cs="Arial" w:eastAsia="Arial" w:hAnsi="Arial"/>
          <w:sz w:val="16"/>
          <w:szCs w:val="16"/>
          <w:color w:val="auto"/>
        </w:rPr>
      </w:pPr>
    </w:p>
    <w:p>
      <w:pPr>
        <w:ind w:left="960" w:hanging="532"/>
        <w:spacing w:after="0" w:line="308" w:lineRule="auto"/>
        <w:tabs>
          <w:tab w:leader="none" w:pos="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3"/>
          <w:numId w:val="64"/>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0980"/>
          </w:cols>
          <w:pgMar w:left="440" w:top="274" w:right="479" w:bottom="1440" w:gutter="0" w:footer="0" w:header="0"/>
        </w:sectPr>
      </w:pPr>
    </w:p>
    <w:bookmarkStart w:id="30" w:name="page31"/>
    <w:bookmarkEnd w:id="30"/>
    <w:p>
      <w:pPr>
        <w:ind w:left="964" w:right="120" w:hanging="532"/>
        <w:spacing w:after="0" w:line="277" w:lineRule="auto"/>
        <w:tabs>
          <w:tab w:leader="none" w:pos="964" w:val="left"/>
        </w:tabs>
        <w:numPr>
          <w:ilvl w:val="0"/>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(a) above shall not oblige any Finance Party to do anything, and paragraph (a)(iii)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964" w:right="40" w:hanging="532"/>
        <w:spacing w:after="0" w:line="301" w:lineRule="auto"/>
        <w:tabs>
          <w:tab w:leader="none" w:pos="964" w:val="left"/>
        </w:tabs>
        <w:numPr>
          <w:ilvl w:val="0"/>
          <w:numId w:val="65"/>
        </w:numPr>
        <w:rPr>
          <w:rFonts w:ascii="Arial" w:cs="Arial" w:eastAsia="Arial" w:hAnsi="Arial"/>
          <w:sz w:val="16"/>
          <w:szCs w:val="16"/>
          <w:color w:val="auto"/>
        </w:rPr>
      </w:pPr>
      <w:r>
        <w:rPr>
          <w:rFonts w:ascii="Arial" w:cs="Arial" w:eastAsia="Arial" w:hAnsi="Arial"/>
          <w:sz w:val="16"/>
          <w:szCs w:val="16"/>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5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FATCA Deduction</w:t>
      </w:r>
    </w:p>
    <w:p>
      <w:pPr>
        <w:spacing w:after="0" w:line="135" w:lineRule="exact"/>
        <w:rPr>
          <w:sz w:val="20"/>
          <w:szCs w:val="20"/>
          <w:color w:val="auto"/>
        </w:rPr>
      </w:pPr>
    </w:p>
    <w:p>
      <w:pPr>
        <w:ind w:left="964" w:right="40" w:hanging="532"/>
        <w:spacing w:after="0" w:line="263" w:lineRule="auto"/>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9"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66"/>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328" w:lineRule="exact"/>
        <w:rPr>
          <w:rFonts w:ascii="Arial" w:cs="Arial" w:eastAsia="Arial" w:hAnsi="Arial"/>
          <w:sz w:val="18"/>
          <w:szCs w:val="18"/>
          <w:color w:val="auto"/>
        </w:rPr>
      </w:pPr>
    </w:p>
    <w:p>
      <w:pPr>
        <w:ind w:left="424" w:hanging="424"/>
        <w:spacing w:after="0"/>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INCREASED COSTS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Increased costs</w:t>
      </w:r>
    </w:p>
    <w:p>
      <w:pPr>
        <w:spacing w:after="0" w:line="135" w:lineRule="exact"/>
        <w:rPr>
          <w:sz w:val="20"/>
          <w:szCs w:val="20"/>
          <w:color w:val="auto"/>
        </w:rPr>
      </w:pPr>
    </w:p>
    <w:p>
      <w:pPr>
        <w:ind w:left="964" w:right="340" w:hanging="532"/>
        <w:spacing w:after="0" w:line="342" w:lineRule="auto"/>
        <w:tabs>
          <w:tab w:leader="none" w:pos="964" w:val="left"/>
        </w:tabs>
        <w:numPr>
          <w:ilvl w:val="0"/>
          <w:numId w:val="68"/>
        </w:numPr>
        <w:rPr>
          <w:rFonts w:ascii="Arial" w:cs="Arial" w:eastAsia="Arial" w:hAnsi="Arial"/>
          <w:sz w:val="16"/>
          <w:szCs w:val="16"/>
          <w:color w:val="auto"/>
        </w:rPr>
      </w:pPr>
      <w:r>
        <w:rPr>
          <w:rFonts w:ascii="Arial" w:cs="Arial" w:eastAsia="Arial" w:hAnsi="Arial"/>
          <w:sz w:val="16"/>
          <w:szCs w:val="16"/>
          <w:color w:val="auto"/>
        </w:rPr>
        <w:t>Subject to Clause 12.3 (</w:t>
      </w:r>
      <w:r>
        <w:rPr>
          <w:rFonts w:ascii="Arial" w:cs="Arial" w:eastAsia="Arial" w:hAnsi="Arial"/>
          <w:sz w:val="16"/>
          <w:szCs w:val="16"/>
          <w:i w:val="1"/>
          <w:iCs w:val="1"/>
          <w:color w:val="auto"/>
        </w:rPr>
        <w:t>Exceptions</w:t>
      </w:r>
      <w:r>
        <w:rPr>
          <w:rFonts w:ascii="Arial" w:cs="Arial" w:eastAsia="Arial" w:hAnsi="Arial"/>
          <w:sz w:val="16"/>
          <w:szCs w:val="16"/>
          <w:color w:val="auto"/>
        </w:rPr>
        <w:t>) the Borrower shall, within five Business Days of a demand by the Agent, pay for the account of a Finance Party the amount of any Increased Costs incurred by that Finance Party or any of its Affiliates as a result of:</w:t>
      </w:r>
    </w:p>
    <w:p>
      <w:pPr>
        <w:spacing w:after="0" w:line="29" w:lineRule="exact"/>
        <w:rPr>
          <w:rFonts w:ascii="Arial" w:cs="Arial" w:eastAsia="Arial" w:hAnsi="Arial"/>
          <w:sz w:val="16"/>
          <w:szCs w:val="16"/>
          <w:color w:val="auto"/>
        </w:rPr>
      </w:pPr>
    </w:p>
    <w:p>
      <w:pPr>
        <w:ind w:left="1424" w:right="40" w:hanging="439"/>
        <w:spacing w:after="0" w:line="277" w:lineRule="auto"/>
        <w:tabs>
          <w:tab w:leader="none" w:pos="14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after the date of this Agreement;</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 or</w:t>
      </w:r>
    </w:p>
    <w:p>
      <w:pPr>
        <w:spacing w:after="0" w:line="130" w:lineRule="exact"/>
        <w:rPr>
          <w:rFonts w:ascii="Arial" w:cs="Arial" w:eastAsia="Arial" w:hAnsi="Arial"/>
          <w:sz w:val="18"/>
          <w:szCs w:val="18"/>
          <w:color w:val="auto"/>
        </w:rPr>
      </w:pPr>
    </w:p>
    <w:p>
      <w:pPr>
        <w:ind w:left="1424" w:right="140" w:hanging="439"/>
        <w:spacing w:after="0" w:line="277" w:lineRule="auto"/>
        <w:tabs>
          <w:tab w:leader="none" w:pos="1424"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or CRD IV or any law or regulation that implements or applies Basel III or CRD IV.</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68"/>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44"/>
          </w:cols>
          <w:pgMar w:left="436" w:top="274" w:right="519" w:bottom="1440" w:gutter="0" w:footer="0" w:header="0"/>
        </w:sectPr>
      </w:pPr>
    </w:p>
    <w:bookmarkStart w:id="31" w:name="page32"/>
    <w:bookmarkEnd w:id="31"/>
    <w:p>
      <w:pPr>
        <w:ind w:left="532" w:hanging="532"/>
        <w:spacing w:after="0"/>
        <w:tabs>
          <w:tab w:leader="none" w:pos="532"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this Agreement:</w:t>
      </w:r>
    </w:p>
    <w:p>
      <w:pPr>
        <w:spacing w:after="0" w:line="126" w:lineRule="exact"/>
        <w:rPr>
          <w:rFonts w:ascii="Arial" w:cs="Arial" w:eastAsia="Arial" w:hAnsi="Arial"/>
          <w:sz w:val="18"/>
          <w:szCs w:val="18"/>
          <w:color w:val="auto"/>
        </w:rPr>
      </w:pPr>
    </w:p>
    <w:p>
      <w:pPr>
        <w:ind w:left="992" w:hanging="439"/>
        <w:spacing w:after="0"/>
        <w:tabs>
          <w:tab w:leader="none" w:pos="9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532" w:hanging="533"/>
        <w:spacing w:after="0"/>
        <w:tabs>
          <w:tab w:leader="none" w:pos="15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reduction in the rate of return from the Facility or on a Finance Party’s (or its Affiliate’s) overall capital;</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1532" w:hanging="533"/>
        <w:spacing w:after="0"/>
        <w:tabs>
          <w:tab w:leader="none" w:pos="1532" w:val="left"/>
        </w:tabs>
        <w:numPr>
          <w:ilvl w:val="2"/>
          <w:numId w:val="69"/>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17" w:lineRule="exact"/>
        <w:rPr>
          <w:sz w:val="20"/>
          <w:szCs w:val="20"/>
          <w:color w:val="auto"/>
        </w:rPr>
      </w:pPr>
    </w:p>
    <w:p>
      <w:pPr>
        <w:ind w:left="992" w:right="500"/>
        <w:spacing w:after="0" w:line="308" w:lineRule="auto"/>
        <w:rPr>
          <w:sz w:val="20"/>
          <w:szCs w:val="20"/>
          <w:color w:val="auto"/>
        </w:rPr>
      </w:pPr>
      <w:r>
        <w:rPr>
          <w:rFonts w:ascii="Arial" w:cs="Arial" w:eastAsia="Arial" w:hAnsi="Arial"/>
          <w:sz w:val="17"/>
          <w:szCs w:val="17"/>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48" w:lineRule="exact"/>
        <w:rPr>
          <w:sz w:val="20"/>
          <w:szCs w:val="20"/>
          <w:color w:val="auto"/>
        </w:rPr>
      </w:pPr>
    </w:p>
    <w:p>
      <w:pPr>
        <w:ind w:left="992" w:hanging="439"/>
        <w:spacing w:after="0"/>
        <w:tabs>
          <w:tab w:leader="none" w:pos="9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532" w:hanging="533"/>
        <w:spacing w:after="0"/>
        <w:tabs>
          <w:tab w:leader="none" w:pos="1532"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 regulatory</w:t>
      </w:r>
    </w:p>
    <w:p>
      <w:pPr>
        <w:spacing w:after="0" w:line="46" w:lineRule="exact"/>
        <w:rPr>
          <w:rFonts w:ascii="Arial" w:cs="Arial" w:eastAsia="Arial" w:hAnsi="Arial"/>
          <w:sz w:val="16"/>
          <w:szCs w:val="16"/>
          <w:color w:val="auto"/>
        </w:rPr>
      </w:pPr>
    </w:p>
    <w:p>
      <w:pPr>
        <w:ind w:left="1532" w:right="40"/>
        <w:spacing w:after="0" w:line="302" w:lineRule="auto"/>
        <w:rPr>
          <w:rFonts w:ascii="Arial" w:cs="Arial" w:eastAsia="Arial" w:hAnsi="Arial"/>
          <w:sz w:val="16"/>
          <w:szCs w:val="16"/>
          <w:color w:val="auto"/>
        </w:rPr>
      </w:pPr>
      <w:r>
        <w:rPr>
          <w:rFonts w:ascii="Arial" w:cs="Arial" w:eastAsia="Arial" w:hAnsi="Arial"/>
          <w:sz w:val="16"/>
          <w:szCs w:val="16"/>
          <w:color w:val="auto"/>
        </w:rPr>
        <w:t>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60" w:lineRule="exact"/>
        <w:rPr>
          <w:rFonts w:ascii="Arial" w:cs="Arial" w:eastAsia="Arial" w:hAnsi="Arial"/>
          <w:sz w:val="16"/>
          <w:szCs w:val="16"/>
          <w:color w:val="auto"/>
        </w:rPr>
      </w:pPr>
    </w:p>
    <w:p>
      <w:pPr>
        <w:ind w:left="1532" w:right="240" w:hanging="533"/>
        <w:spacing w:after="0" w:line="263" w:lineRule="auto"/>
        <w:tabs>
          <w:tab w:leader="none" w:pos="15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89" w:lineRule="exact"/>
        <w:rPr>
          <w:rFonts w:ascii="Arial" w:cs="Arial" w:eastAsia="Arial" w:hAnsi="Arial"/>
          <w:sz w:val="18"/>
          <w:szCs w:val="18"/>
          <w:color w:val="auto"/>
        </w:rPr>
      </w:pPr>
    </w:p>
    <w:p>
      <w:pPr>
        <w:ind w:left="1532" w:hanging="533"/>
        <w:spacing w:after="0"/>
        <w:tabs>
          <w:tab w:leader="none" w:pos="1532"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further guidance or standards published by the Basel Committee on Banking Supervision relating to “Basel III”;</w:t>
      </w:r>
    </w:p>
    <w:p>
      <w:pPr>
        <w:spacing w:after="0" w:line="138" w:lineRule="exact"/>
        <w:rPr>
          <w:rFonts w:ascii="Arial" w:cs="Arial" w:eastAsia="Arial" w:hAnsi="Arial"/>
          <w:sz w:val="17"/>
          <w:szCs w:val="17"/>
          <w:color w:val="auto"/>
        </w:rPr>
      </w:pPr>
    </w:p>
    <w:p>
      <w:pPr>
        <w:ind w:left="992" w:hanging="439"/>
        <w:spacing w:after="0"/>
        <w:tabs>
          <w:tab w:leader="none" w:pos="9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 EU CRD IV and UK CRD IV;</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EU CRD IV</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532" w:hanging="533"/>
        <w:spacing w:after="0" w:line="277" w:lineRule="auto"/>
        <w:tabs>
          <w:tab w:leader="none" w:pos="15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75" w:lineRule="exact"/>
        <w:rPr>
          <w:rFonts w:ascii="Arial" w:cs="Arial" w:eastAsia="Arial" w:hAnsi="Arial"/>
          <w:sz w:val="18"/>
          <w:szCs w:val="18"/>
          <w:color w:val="auto"/>
        </w:rPr>
      </w:pPr>
    </w:p>
    <w:p>
      <w:pPr>
        <w:ind w:left="1532" w:right="200" w:hanging="533"/>
        <w:spacing w:after="0" w:line="263" w:lineRule="auto"/>
        <w:tabs>
          <w:tab w:leader="none" w:pos="1532"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p>
      <w:pPr>
        <w:spacing w:after="0" w:line="116" w:lineRule="exact"/>
        <w:rPr>
          <w:rFonts w:ascii="Arial" w:cs="Arial" w:eastAsia="Arial" w:hAnsi="Arial"/>
          <w:sz w:val="18"/>
          <w:szCs w:val="18"/>
          <w:color w:val="auto"/>
        </w:rPr>
      </w:pPr>
    </w:p>
    <w:p>
      <w:pPr>
        <w:ind w:left="4992" w:hanging="111"/>
        <w:spacing w:after="0"/>
        <w:tabs>
          <w:tab w:leader="none" w:pos="4992" w:val="left"/>
        </w:tabs>
        <w:numPr>
          <w:ilvl w:val="2"/>
          <w:numId w:val="70"/>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552"/>
          </w:cols>
          <w:pgMar w:left="868" w:top="274" w:right="479" w:bottom="1440" w:gutter="0" w:footer="0" w:header="0"/>
        </w:sectPr>
      </w:pPr>
    </w:p>
    <w:bookmarkStart w:id="32" w:name="page33"/>
    <w:bookmarkEnd w:id="32"/>
    <w:p>
      <w:pPr>
        <w:ind w:left="1420" w:hanging="439"/>
        <w:spacing w:after="0"/>
        <w:tabs>
          <w:tab w:leader="none" w:pos="1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UK CRD IV</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1960" w:right="40" w:hanging="533"/>
        <w:spacing w:after="0" w:line="263"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as it forms part of domestic law of the United Kingdom by virtue of the European Union (Withdrawal) Act 2018 (the “</w:t>
      </w:r>
      <w:r>
        <w:rPr>
          <w:rFonts w:ascii="Arial" w:cs="Arial" w:eastAsia="Arial" w:hAnsi="Arial"/>
          <w:sz w:val="18"/>
          <w:szCs w:val="18"/>
          <w:b w:val="1"/>
          <w:bCs w:val="1"/>
          <w:color w:val="auto"/>
        </w:rPr>
        <w:t>Withdrawal Act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960" w:hanging="533"/>
        <w:spacing w:after="0" w:line="257"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law of the United Kingdom or any part of it, which immediately before IP completion day (as defined in the European Union (Withdrawal Agreement) Act 2020) implemented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 its implementing measures; and</w:t>
      </w:r>
    </w:p>
    <w:p>
      <w:pPr>
        <w:spacing w:after="0" w:line="93" w:lineRule="exact"/>
        <w:rPr>
          <w:rFonts w:ascii="Arial" w:cs="Arial" w:eastAsia="Arial" w:hAnsi="Arial"/>
          <w:sz w:val="18"/>
          <w:szCs w:val="18"/>
          <w:color w:val="auto"/>
        </w:rPr>
      </w:pPr>
    </w:p>
    <w:p>
      <w:pPr>
        <w:ind w:left="1960" w:right="20" w:hanging="533"/>
        <w:spacing w:after="0" w:line="263"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direct EU legislation (as defined in the Withdrawal Act), which immediately before IP completion day (as defined in the European Union (Withdrawal Agreement) Act 2020) implemented EU CRD IV as it forms part of domestic law of the United Kingdom by virtue of the Withdrawal Act.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Increased Cost claims</w:t>
      </w:r>
    </w:p>
    <w:p>
      <w:pPr>
        <w:spacing w:after="0" w:line="135" w:lineRule="exact"/>
        <w:rPr>
          <w:sz w:val="20"/>
          <w:szCs w:val="20"/>
          <w:color w:val="auto"/>
        </w:rPr>
      </w:pPr>
    </w:p>
    <w:p>
      <w:pPr>
        <w:ind w:left="960" w:right="16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Exceptions</w:t>
      </w:r>
    </w:p>
    <w:p>
      <w:pPr>
        <w:spacing w:after="0" w:line="135" w:lineRule="exact"/>
        <w:rPr>
          <w:sz w:val="20"/>
          <w:szCs w:val="20"/>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the Borrower;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attributable to a FATCA Deduction required to be made by a Party;</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1"/>
          <w:numId w:val="73"/>
        </w:numPr>
        <w:rPr>
          <w:rFonts w:ascii="Arial" w:cs="Arial" w:eastAsia="Arial" w:hAnsi="Arial"/>
          <w:sz w:val="16"/>
          <w:szCs w:val="16"/>
          <w:color w:val="auto"/>
        </w:rPr>
      </w:pPr>
      <w:r>
        <w:rPr>
          <w:rFonts w:ascii="Arial" w:cs="Arial" w:eastAsia="Arial" w:hAnsi="Arial"/>
          <w:sz w:val="16"/>
          <w:szCs w:val="16"/>
          <w:color w:val="auto"/>
        </w:rPr>
        <w:t>compensated for by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(or would have been compensated for under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but was not so compensated solely because any of the exclusions in paragraph (b) of Clause 11.3 (</w:t>
      </w:r>
      <w:r>
        <w:rPr>
          <w:rFonts w:ascii="Arial" w:cs="Arial" w:eastAsia="Arial" w:hAnsi="Arial"/>
          <w:sz w:val="16"/>
          <w:szCs w:val="16"/>
          <w:i w:val="1"/>
          <w:iCs w:val="1"/>
          <w:color w:val="auto"/>
        </w:rPr>
        <w:t>Tax indemnity</w:t>
      </w:r>
      <w:r>
        <w:rPr>
          <w:rFonts w:ascii="Arial" w:cs="Arial" w:eastAsia="Arial" w:hAnsi="Arial"/>
          <w:sz w:val="16"/>
          <w:szCs w:val="16"/>
          <w:color w:val="auto"/>
        </w:rPr>
        <w:t>) applied); or</w:t>
      </w:r>
    </w:p>
    <w:p>
      <w:pPr>
        <w:spacing w:after="0" w:line="29" w:lineRule="exact"/>
        <w:rPr>
          <w:rFonts w:ascii="Arial" w:cs="Arial" w:eastAsia="Arial" w:hAnsi="Arial"/>
          <w:sz w:val="16"/>
          <w:szCs w:val="16"/>
          <w:color w:val="auto"/>
        </w:rPr>
      </w:pPr>
    </w:p>
    <w:p>
      <w:pPr>
        <w:ind w:left="1420" w:hanging="439"/>
        <w:spacing w:after="0"/>
        <w:tabs>
          <w:tab w:leader="none" w:pos="14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26"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this Clause 12.3, a reference to a “</w:t>
      </w:r>
      <w:r>
        <w:rPr>
          <w:rFonts w:ascii="Arial" w:cs="Arial" w:eastAsia="Arial" w:hAnsi="Arial"/>
          <w:sz w:val="18"/>
          <w:szCs w:val="18"/>
          <w:b w:val="1"/>
          <w:bCs w:val="1"/>
          <w:color w:val="auto"/>
        </w:rPr>
        <w:t>Tax Deduction</w:t>
      </w:r>
      <w:r>
        <w:rPr>
          <w:rFonts w:ascii="Arial" w:cs="Arial" w:eastAsia="Arial" w:hAnsi="Arial"/>
          <w:sz w:val="18"/>
          <w:szCs w:val="18"/>
          <w:color w:val="auto"/>
        </w:rPr>
        <w:t>” has the same meaning given to that term in Clause 11.1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5420" w:hanging="111"/>
        <w:spacing w:after="0"/>
        <w:tabs>
          <w:tab w:leader="none" w:pos="54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20"/>
          </w:cols>
          <w:pgMar w:left="440" w:top="270" w:right="439" w:bottom="1440" w:gutter="0" w:footer="0" w:header="0"/>
        </w:sectPr>
      </w:pPr>
    </w:p>
    <w:bookmarkStart w:id="33" w:name="page34"/>
    <w:bookmarkEnd w:id="33"/>
    <w:p>
      <w:pPr>
        <w:ind w:left="424" w:hanging="424"/>
        <w:spacing w:after="0"/>
        <w:tabs>
          <w:tab w:leader="none" w:pos="424"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INDEMNITIES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b w:val="1"/>
          <w:bCs w:val="1"/>
          <w:color w:val="auto"/>
        </w:rPr>
        <w:t>Currency indemnity</w:t>
      </w:r>
    </w:p>
    <w:p>
      <w:pPr>
        <w:spacing w:after="0" w:line="131" w:lineRule="exact"/>
        <w:rPr>
          <w:sz w:val="20"/>
          <w:szCs w:val="20"/>
          <w:color w:val="auto"/>
        </w:rPr>
      </w:pPr>
    </w:p>
    <w:p>
      <w:pPr>
        <w:ind w:left="964" w:hanging="532"/>
        <w:spacing w:after="0" w:line="266" w:lineRule="auto"/>
        <w:tabs>
          <w:tab w:leader="none" w:pos="964"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sum due from the Borrower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w:t>
      </w:r>
      <w:r>
        <w:rPr>
          <w:rFonts w:ascii="Arial" w:cs="Arial" w:eastAsia="Arial" w:hAnsi="Arial"/>
          <w:sz w:val="18"/>
          <w:szCs w:val="18"/>
          <w:color w:val="auto"/>
        </w:rPr>
        <w:t xml:space="preserve"> </w:t>
      </w:r>
      <w:r>
        <w:rPr>
          <w:rFonts w:ascii="Arial" w:cs="Arial" w:eastAsia="Arial" w:hAnsi="Arial"/>
          <w:sz w:val="18"/>
          <w:szCs w:val="18"/>
          <w:b w:val="1"/>
          <w:bCs w:val="1"/>
          <w:color w:val="auto"/>
        </w:rPr>
        <w:t>Currency</w:t>
      </w:r>
      <w:r>
        <w:rPr>
          <w:rFonts w:ascii="Arial" w:cs="Arial" w:eastAsia="Arial" w:hAnsi="Arial"/>
          <w:sz w:val="18"/>
          <w:szCs w:val="18"/>
          <w:color w:val="auto"/>
        </w:rPr>
        <w:t>”) for the purpose of:</w:t>
      </w:r>
    </w:p>
    <w:p>
      <w:pPr>
        <w:spacing w:after="0" w:line="85" w:lineRule="exact"/>
        <w:rPr>
          <w:rFonts w:ascii="Arial" w:cs="Arial" w:eastAsia="Arial" w:hAnsi="Arial"/>
          <w:sz w:val="18"/>
          <w:szCs w:val="18"/>
          <w:color w:val="auto"/>
        </w:rPr>
      </w:pPr>
    </w:p>
    <w:p>
      <w:pPr>
        <w:ind w:left="1424" w:hanging="439"/>
        <w:spacing w:after="0"/>
        <w:tabs>
          <w:tab w:leader="none" w:pos="14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making or filing a claim or proof against the Borrower;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75"/>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984"/>
        <w:spacing w:after="0" w:line="259" w:lineRule="auto"/>
        <w:rPr>
          <w:sz w:val="20"/>
          <w:szCs w:val="20"/>
          <w:color w:val="auto"/>
        </w:rPr>
      </w:pPr>
      <w:r>
        <w:rPr>
          <w:rFonts w:ascii="Arial" w:cs="Arial" w:eastAsia="Arial" w:hAnsi="Arial"/>
          <w:sz w:val="18"/>
          <w:szCs w:val="18"/>
          <w:color w:val="auto"/>
        </w:rPr>
        <w:t>the Borrower shall as an independent obligation, within five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92" w:lineRule="exact"/>
        <w:rPr>
          <w:sz w:val="20"/>
          <w:szCs w:val="20"/>
          <w:color w:val="auto"/>
        </w:rPr>
      </w:pPr>
    </w:p>
    <w:p>
      <w:pPr>
        <w:ind w:left="964" w:right="120" w:hanging="532"/>
        <w:spacing w:after="0" w:line="277" w:lineRule="auto"/>
        <w:tabs>
          <w:tab w:leader="none" w:pos="9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Other indemnities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Borrower shall, within five Business Days of demand, indemnify each Finance Party against any cost, loss or liability incurred by that</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Finance Party as a result of:</w:t>
      </w:r>
    </w:p>
    <w:p>
      <w:pPr>
        <w:spacing w:after="0" w:line="116" w:lineRule="exact"/>
        <w:rPr>
          <w:sz w:val="20"/>
          <w:szCs w:val="20"/>
          <w:color w:val="auto"/>
        </w:rPr>
      </w:pPr>
    </w:p>
    <w:p>
      <w:pPr>
        <w:ind w:left="964" w:hanging="532"/>
        <w:spacing w:after="0"/>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failure by the Borrower to pay any amount due under a Finance Document on its due date;</w:t>
      </w:r>
    </w:p>
    <w:p>
      <w:pPr>
        <w:spacing w:after="0" w:line="130" w:lineRule="exact"/>
        <w:rPr>
          <w:rFonts w:ascii="Arial" w:cs="Arial" w:eastAsia="Arial" w:hAnsi="Arial"/>
          <w:sz w:val="18"/>
          <w:szCs w:val="18"/>
          <w:color w:val="auto"/>
        </w:rPr>
      </w:pPr>
    </w:p>
    <w:p>
      <w:pPr>
        <w:ind w:left="964" w:right="220" w:hanging="532"/>
        <w:spacing w:after="0" w:line="263" w:lineRule="auto"/>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 or</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Loan (or part of a Loan) not being prepaid in accordance with a notice of prepayment given by the Borrower.</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Indemnity to the Agent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Borrower shall promptly indemnify the Agent against any cost, loss or liability incurred by the Agent (acting reasonably) as a result of:</w:t>
      </w:r>
    </w:p>
    <w:p>
      <w:pPr>
        <w:spacing w:after="0" w:line="142" w:lineRule="exact"/>
        <w:rPr>
          <w:sz w:val="20"/>
          <w:szCs w:val="20"/>
          <w:color w:val="auto"/>
        </w:rPr>
      </w:pPr>
    </w:p>
    <w:p>
      <w:pPr>
        <w:ind w:left="964" w:hanging="532"/>
        <w:spacing w:after="0"/>
        <w:tabs>
          <w:tab w:leader="none" w:pos="9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acting or relying on any notice, request or instruction which it reasonably believes to be genuine, correct and appropriately authorised; or</w:t>
      </w:r>
    </w:p>
    <w:p>
      <w:pPr>
        <w:spacing w:after="0" w:line="180" w:lineRule="exact"/>
        <w:rPr>
          <w:rFonts w:ascii="Arial" w:cs="Arial" w:eastAsia="Arial" w:hAnsi="Arial"/>
          <w:sz w:val="16"/>
          <w:szCs w:val="16"/>
          <w:color w:val="auto"/>
        </w:rPr>
      </w:pPr>
    </w:p>
    <w:p>
      <w:pPr>
        <w:ind w:left="5424" w:hanging="111"/>
        <w:spacing w:after="0"/>
        <w:tabs>
          <w:tab w:leader="none" w:pos="5424" w:val="left"/>
        </w:tabs>
        <w:numPr>
          <w:ilvl w:val="1"/>
          <w:numId w:val="78"/>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4"/>
          </w:cols>
          <w:pgMar w:left="436" w:top="270" w:right="459" w:bottom="1440" w:gutter="0" w:footer="0" w:header="0"/>
        </w:sectPr>
      </w:pPr>
    </w:p>
    <w:bookmarkStart w:id="34" w:name="page35"/>
    <w:bookmarkEnd w:id="34"/>
    <w:p>
      <w:pPr>
        <w:ind w:left="964" w:hanging="532"/>
        <w:spacing w:after="0"/>
        <w:tabs>
          <w:tab w:leader="none" w:pos="964" w:val="left"/>
        </w:tabs>
        <w:numPr>
          <w:ilvl w:val="1"/>
          <w:numId w:val="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instructing lawyers, accountants, tax advisers, surveyors or other professional advisers or experts as permitted under this Agreement; and</w:t>
      </w:r>
    </w:p>
    <w:p>
      <w:pPr>
        <w:spacing w:after="0" w:line="392" w:lineRule="exact"/>
        <w:rPr>
          <w:rFonts w:ascii="Arial" w:cs="Arial" w:eastAsia="Arial" w:hAnsi="Arial"/>
          <w:sz w:val="16"/>
          <w:szCs w:val="16"/>
          <w:color w:val="auto"/>
        </w:rPr>
      </w:pPr>
    </w:p>
    <w:p>
      <w:pPr>
        <w:ind w:left="424" w:hanging="424"/>
        <w:spacing w:after="0"/>
        <w:tabs>
          <w:tab w:leader="none" w:pos="424"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MITIGATION BY THE LENDER</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b w:val="1"/>
          <w:bCs w:val="1"/>
          <w:color w:val="auto"/>
        </w:rPr>
        <w:t>Mitigation</w:t>
      </w:r>
    </w:p>
    <w:p>
      <w:pPr>
        <w:spacing w:after="0" w:line="135" w:lineRule="exact"/>
        <w:rPr>
          <w:sz w:val="20"/>
          <w:szCs w:val="20"/>
          <w:color w:val="auto"/>
        </w:rPr>
      </w:pPr>
    </w:p>
    <w:p>
      <w:pPr>
        <w:jc w:val="both"/>
        <w:ind w:left="964" w:right="20" w:hanging="532"/>
        <w:spacing w:after="0" w:line="279" w:lineRule="auto"/>
        <w:tabs>
          <w:tab w:leader="none" w:pos="964"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rFonts w:ascii="Arial" w:cs="Arial" w:eastAsia="Arial" w:hAnsi="Arial"/>
          <w:sz w:val="17"/>
          <w:szCs w:val="17"/>
          <w:i w:val="1"/>
          <w:iCs w:val="1"/>
          <w:color w:val="auto"/>
        </w:rPr>
        <w:t>Illegality</w:t>
      </w:r>
      <w:r>
        <w:rPr>
          <w:rFonts w:ascii="Arial" w:cs="Arial" w:eastAsia="Arial" w:hAnsi="Arial"/>
          <w:sz w:val="17"/>
          <w:szCs w:val="17"/>
          <w:color w:val="auto"/>
        </w:rPr>
        <w:t>) , Clause 11 (</w:t>
      </w:r>
      <w:r>
        <w:rPr>
          <w:rFonts w:ascii="Arial" w:cs="Arial" w:eastAsia="Arial" w:hAnsi="Arial"/>
          <w:sz w:val="17"/>
          <w:szCs w:val="17"/>
          <w:i w:val="1"/>
          <w:iCs w:val="1"/>
          <w:color w:val="auto"/>
        </w:rPr>
        <w:t>Tax gross-up and indemnities</w:t>
      </w:r>
      <w:r>
        <w:rPr>
          <w:rFonts w:ascii="Arial" w:cs="Arial" w:eastAsia="Arial" w:hAnsi="Arial"/>
          <w:sz w:val="17"/>
          <w:szCs w:val="17"/>
          <w:color w:val="auto"/>
        </w:rPr>
        <w:t>) or Clause 12 (</w:t>
      </w:r>
      <w:r>
        <w:rPr>
          <w:rFonts w:ascii="Arial" w:cs="Arial" w:eastAsia="Arial" w:hAnsi="Arial"/>
          <w:sz w:val="17"/>
          <w:szCs w:val="17"/>
          <w:i w:val="1"/>
          <w:iCs w:val="1"/>
          <w:color w:val="auto"/>
        </w:rPr>
        <w:t>Increased Costs</w:t>
      </w:r>
      <w:r>
        <w:rPr>
          <w:rFonts w:ascii="Arial" w:cs="Arial" w:eastAsia="Arial" w:hAnsi="Arial"/>
          <w:sz w:val="17"/>
          <w:szCs w:val="17"/>
          <w:color w:val="auto"/>
        </w:rPr>
        <w:t>) including (but not limited to) transferring its rights and obligations under the Finance Documents to another Affiliate or Facility Office.</w:t>
      </w:r>
    </w:p>
    <w:p>
      <w:pPr>
        <w:spacing w:after="0" w:line="76" w:lineRule="exact"/>
        <w:rPr>
          <w:rFonts w:ascii="Arial" w:cs="Arial" w:eastAsia="Arial" w:hAnsi="Arial"/>
          <w:sz w:val="17"/>
          <w:szCs w:val="17"/>
          <w:color w:val="auto"/>
        </w:rPr>
      </w:pPr>
    </w:p>
    <w:p>
      <w:pPr>
        <w:ind w:left="964" w:hanging="532"/>
        <w:spacing w:after="0"/>
        <w:tabs>
          <w:tab w:leader="none" w:pos="964" w:val="left"/>
        </w:tabs>
        <w:numPr>
          <w:ilvl w:val="0"/>
          <w:numId w:val="81"/>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the Borrower under the Finance Documents.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Limitation of liability</w:t>
      </w:r>
    </w:p>
    <w:p>
      <w:pPr>
        <w:spacing w:after="0" w:line="135" w:lineRule="exact"/>
        <w:rPr>
          <w:sz w:val="20"/>
          <w:szCs w:val="20"/>
          <w:color w:val="auto"/>
        </w:rPr>
      </w:pPr>
    </w:p>
    <w:p>
      <w:pPr>
        <w:ind w:left="964" w:hanging="532"/>
        <w:spacing w:after="0" w:line="277" w:lineRule="auto"/>
        <w:tabs>
          <w:tab w:leader="none" w:pos="9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COSTS AND EXPENSES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b w:val="1"/>
          <w:bCs w:val="1"/>
          <w:color w:val="auto"/>
        </w:rPr>
        <w:t>Transaction expenses</w:t>
      </w:r>
    </w:p>
    <w:p>
      <w:pPr>
        <w:spacing w:after="0" w:line="121" w:lineRule="exact"/>
        <w:rPr>
          <w:sz w:val="20"/>
          <w:szCs w:val="20"/>
          <w:color w:val="auto"/>
        </w:rPr>
      </w:pPr>
    </w:p>
    <w:p>
      <w:pPr>
        <w:ind w:left="444" w:right="260"/>
        <w:spacing w:after="0" w:line="277" w:lineRule="auto"/>
        <w:rPr>
          <w:sz w:val="20"/>
          <w:szCs w:val="20"/>
          <w:color w:val="auto"/>
        </w:rPr>
      </w:pPr>
      <w:r>
        <w:rPr>
          <w:rFonts w:ascii="Arial" w:cs="Arial" w:eastAsia="Arial" w:hAnsi="Arial"/>
          <w:sz w:val="18"/>
          <w:szCs w:val="18"/>
          <w:color w:val="auto"/>
        </w:rPr>
        <w:t>The Borrower shall promptly on demand pay the Agent the amount of all costs and expenses (including legal fees) reasonably incurred by it in connection with the negotiation, preparation, printing, execution and syndication of:</w:t>
      </w:r>
    </w:p>
    <w:p>
      <w:pPr>
        <w:spacing w:after="0" w:line="76" w:lineRule="exact"/>
        <w:rPr>
          <w:sz w:val="20"/>
          <w:szCs w:val="20"/>
          <w:color w:val="auto"/>
        </w:rPr>
      </w:pPr>
    </w:p>
    <w:p>
      <w:pPr>
        <w:ind w:left="964" w:hanging="532"/>
        <w:spacing w:after="0"/>
        <w:tabs>
          <w:tab w:leader="none" w:pos="96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130" w:lineRule="exact"/>
        <w:rPr>
          <w:rFonts w:ascii="Arial" w:cs="Arial" w:eastAsia="Arial" w:hAnsi="Arial"/>
          <w:sz w:val="18"/>
          <w:szCs w:val="18"/>
          <w:color w:val="auto"/>
        </w:rPr>
      </w:pPr>
    </w:p>
    <w:p>
      <w:pPr>
        <w:ind w:left="4" w:right="4780" w:firstLine="428"/>
        <w:spacing w:after="0" w:line="383" w:lineRule="auto"/>
        <w:tabs>
          <w:tab w:leader="none" w:pos="976"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any other Finance Documents executed after the date of this Agreement. 15.2 </w:t>
      </w:r>
      <w:r>
        <w:rPr>
          <w:rFonts w:ascii="Arial" w:cs="Arial" w:eastAsia="Arial" w:hAnsi="Arial"/>
          <w:sz w:val="18"/>
          <w:szCs w:val="18"/>
          <w:b w:val="1"/>
          <w:bCs w:val="1"/>
          <w:color w:val="auto"/>
        </w:rPr>
        <w:t>Amendment costs</w:t>
      </w:r>
    </w:p>
    <w:p>
      <w:pPr>
        <w:spacing w:after="0" w:line="1" w:lineRule="exact"/>
        <w:rPr>
          <w:sz w:val="20"/>
          <w:szCs w:val="20"/>
          <w:color w:val="auto"/>
        </w:rPr>
      </w:pPr>
    </w:p>
    <w:p>
      <w:pPr>
        <w:ind w:left="444" w:right="20"/>
        <w:spacing w:after="0" w:line="311" w:lineRule="auto"/>
        <w:rPr>
          <w:sz w:val="20"/>
          <w:szCs w:val="20"/>
          <w:color w:val="auto"/>
        </w:rPr>
      </w:pPr>
      <w:r>
        <w:rPr>
          <w:rFonts w:ascii="Arial" w:cs="Arial" w:eastAsia="Arial" w:hAnsi="Arial"/>
          <w:sz w:val="16"/>
          <w:szCs w:val="16"/>
          <w:color w:val="auto"/>
        </w:rPr>
        <w:t>If the Borrower requests an amendment, waiver or consent, the Borrower shall, within five Business Days of demand, reimburse the Agent for the amount of all costs and expenses (including legal fees subject to any pre-agreed cap) reasonably incurred by the Agent in responding to, evaluating, negotiating or, complying with or implementing that request or, requirement or actual or contemplated agreement.</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Enforcement costs</w:t>
      </w:r>
    </w:p>
    <w:p>
      <w:pPr>
        <w:spacing w:after="0" w:line="121" w:lineRule="exact"/>
        <w:rPr>
          <w:sz w:val="20"/>
          <w:szCs w:val="20"/>
          <w:color w:val="auto"/>
        </w:rPr>
      </w:pPr>
    </w:p>
    <w:p>
      <w:pPr>
        <w:ind w:left="444" w:right="140"/>
        <w:spacing w:after="0" w:line="342" w:lineRule="auto"/>
        <w:rPr>
          <w:sz w:val="20"/>
          <w:szCs w:val="20"/>
          <w:color w:val="auto"/>
        </w:rPr>
      </w:pPr>
      <w:r>
        <w:rPr>
          <w:rFonts w:ascii="Arial" w:cs="Arial" w:eastAsia="Arial" w:hAnsi="Arial"/>
          <w:sz w:val="16"/>
          <w:szCs w:val="16"/>
          <w:color w:val="auto"/>
        </w:rPr>
        <w:t>The Borrower shall, within five Business Days of demand, pay to each Finance Party the amount of all costs and expenses (including legal fees) incurred by that Finance Party in connection with the enforcement of, or the preservation of any rights under, any Finance Document.</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64"/>
          </w:cols>
          <w:pgMar w:left="436" w:top="274" w:right="499" w:bottom="1440" w:gutter="0" w:footer="0" w:header="0"/>
        </w:sectPr>
      </w:pPr>
    </w:p>
    <w:bookmarkStart w:id="35" w:name="page36"/>
    <w:bookmarkEnd w:id="35"/>
    <w:p>
      <w:pPr>
        <w:ind w:left="424" w:hanging="424"/>
        <w:spacing w:after="0"/>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The Borrower makes the representations and warranties set out in this Clause 16 to each Finance Party on the date of this Agreement.</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b w:val="1"/>
          <w:bCs w:val="1"/>
          <w:color w:val="auto"/>
        </w:rPr>
        <w:t>Status</w:t>
      </w:r>
    </w:p>
    <w:p>
      <w:pPr>
        <w:spacing w:after="0" w:line="135" w:lineRule="exact"/>
        <w:rPr>
          <w:sz w:val="20"/>
          <w:szCs w:val="20"/>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under the law of its Original Jurisdiction.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It has the power to own its assets and carry on its business as it is being conducted.</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b w:val="1"/>
          <w:bCs w:val="1"/>
          <w:color w:val="auto"/>
        </w:rPr>
        <w:t>Binding obligations</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Subject to Legal Reservations, the obligations expressed to be assumed by it in each Finance Document are legal, valid, binding and enforceable obligations.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16.3  </w:t>
      </w:r>
      <w:r>
        <w:rPr>
          <w:rFonts w:ascii="Arial" w:cs="Arial" w:eastAsia="Arial" w:hAnsi="Arial"/>
          <w:sz w:val="18"/>
          <w:szCs w:val="18"/>
          <w:b w:val="1"/>
          <w:bCs w:val="1"/>
          <w:color w:val="auto"/>
        </w:rPr>
        <w:t>Non-conflict with other obligations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The entry into and performance by it of, and the transactions contemplated by, the Finance Documents do not and will not conflict with:</w:t>
      </w:r>
    </w:p>
    <w:p>
      <w:pPr>
        <w:spacing w:after="0" w:line="142" w:lineRule="exact"/>
        <w:rPr>
          <w:sz w:val="20"/>
          <w:szCs w:val="20"/>
          <w:color w:val="auto"/>
        </w:rPr>
      </w:pPr>
    </w:p>
    <w:p>
      <w:pPr>
        <w:ind w:left="964" w:hanging="532"/>
        <w:spacing w:after="0"/>
        <w:tabs>
          <w:tab w:leader="none" w:pos="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7"/>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130" w:lineRule="exact"/>
        <w:rPr>
          <w:rFonts w:ascii="Arial" w:cs="Arial" w:eastAsia="Arial" w:hAnsi="Arial"/>
          <w:sz w:val="18"/>
          <w:szCs w:val="18"/>
          <w:color w:val="auto"/>
        </w:rPr>
      </w:pPr>
    </w:p>
    <w:p>
      <w:pPr>
        <w:ind w:left="4" w:right="5240" w:firstLine="428"/>
        <w:spacing w:after="0" w:line="383" w:lineRule="auto"/>
        <w:tabs>
          <w:tab w:leader="none" w:pos="976"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any agreement or instrument binding upon it or any of its assets. 16.4 </w:t>
      </w:r>
      <w:r>
        <w:rPr>
          <w:rFonts w:ascii="Arial" w:cs="Arial" w:eastAsia="Arial" w:hAnsi="Arial"/>
          <w:sz w:val="18"/>
          <w:szCs w:val="18"/>
          <w:b w:val="1"/>
          <w:bCs w:val="1"/>
          <w:color w:val="auto"/>
        </w:rPr>
        <w:t>Power and authority</w:t>
      </w:r>
    </w:p>
    <w:p>
      <w:pPr>
        <w:spacing w:after="0" w:line="1"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b w:val="1"/>
          <w:bCs w:val="1"/>
          <w:color w:val="auto"/>
        </w:rPr>
        <w:t>Validity and admissibility in evidence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Authorisations required or desirable:</w:t>
      </w:r>
    </w:p>
    <w:p>
      <w:pPr>
        <w:spacing w:after="0" w:line="131" w:lineRule="exact"/>
        <w:rPr>
          <w:sz w:val="20"/>
          <w:szCs w:val="20"/>
          <w:color w:val="auto"/>
        </w:rPr>
      </w:pPr>
    </w:p>
    <w:p>
      <w:pPr>
        <w:ind w:left="964" w:hanging="532"/>
        <w:spacing w:after="0"/>
        <w:tabs>
          <w:tab w:leader="none" w:pos="964" w:val="left"/>
        </w:tabs>
        <w:numPr>
          <w:ilvl w:val="0"/>
          <w:numId w:val="88"/>
        </w:numPr>
        <w:rPr>
          <w:rFonts w:ascii="Arial" w:cs="Arial" w:eastAsia="Arial" w:hAnsi="Arial"/>
          <w:sz w:val="16"/>
          <w:szCs w:val="16"/>
          <w:color w:val="auto"/>
        </w:rPr>
      </w:pPr>
      <w:r>
        <w:rPr>
          <w:rFonts w:ascii="Arial" w:cs="Arial" w:eastAsia="Arial" w:hAnsi="Arial"/>
          <w:sz w:val="16"/>
          <w:szCs w:val="16"/>
          <w:color w:val="auto"/>
        </w:rPr>
        <w:t>to enable it lawfully to enter into, exercise its rights and comply with its obligations in the Finance Documents to which it is a party; and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to make the Finance Documents to which it is a party admissible in evidence in its Original Jurisdiction,</w:t>
      </w:r>
    </w:p>
    <w:p>
      <w:pPr>
        <w:spacing w:after="0" w:line="117"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have been (or, prior to the first Utilisation Date, will be) obtained or effected and are (or, prior to the first Utilisation Date, will be) in full force and effect.</w:t>
      </w:r>
    </w:p>
    <w:p>
      <w:pPr>
        <w:spacing w:after="0" w:line="103"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844"/>
          </w:cols>
          <w:pgMar w:left="436" w:top="270" w:right="6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16.6  </w:t>
      </w:r>
      <w:r>
        <w:rPr>
          <w:rFonts w:ascii="Arial" w:cs="Arial" w:eastAsia="Arial" w:hAnsi="Arial"/>
          <w:sz w:val="18"/>
          <w:szCs w:val="18"/>
          <w:b w:val="1"/>
          <w:bCs w:val="1"/>
          <w:color w:val="auto"/>
        </w:rPr>
        <w:t>Governing law and enforcement</w:t>
      </w:r>
    </w:p>
    <w:p>
      <w:pPr>
        <w:spacing w:after="0" w:line="135" w:lineRule="exact"/>
        <w:rPr>
          <w:sz w:val="20"/>
          <w:szCs w:val="20"/>
          <w:color w:val="auto"/>
        </w:rPr>
      </w:pPr>
    </w:p>
    <w:p>
      <w:pPr>
        <w:ind w:left="960" w:right="520" w:hanging="532"/>
        <w:spacing w:after="0" w:line="27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the Legal Reservations, the choice of English law as the governing law of the Finance Documents will be recognised and enforced in its Original Jurisdiction.</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the Legal Reservations, any judgment obtained in England in relation to a Finance Document will be recognised and enforced in its Original Jurisdiction.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b w:val="1"/>
          <w:bCs w:val="1"/>
          <w:color w:val="auto"/>
        </w:rPr>
        <w:t>Deduction of Tax</w:t>
      </w:r>
    </w:p>
    <w:p>
      <w:pPr>
        <w:spacing w:after="0" w:line="121" w:lineRule="exact"/>
        <w:rPr>
          <w:sz w:val="20"/>
          <w:szCs w:val="20"/>
          <w:color w:val="auto"/>
        </w:rPr>
      </w:pPr>
    </w:p>
    <w:p>
      <w:pPr>
        <w:ind w:left="440" w:right="700"/>
        <w:spacing w:after="0" w:line="277" w:lineRule="auto"/>
        <w:rPr>
          <w:sz w:val="20"/>
          <w:szCs w:val="20"/>
          <w:color w:val="auto"/>
        </w:rPr>
      </w:pPr>
      <w:r>
        <w:rPr>
          <w:rFonts w:ascii="Arial" w:cs="Arial" w:eastAsia="Arial" w:hAnsi="Arial"/>
          <w:sz w:val="18"/>
          <w:szCs w:val="18"/>
          <w:color w:val="auto"/>
        </w:rPr>
        <w:t>It is not required to make any Tax Deduction (as defined in Clause 11.1 (</w:t>
      </w:r>
      <w:r>
        <w:rPr>
          <w:rFonts w:ascii="Arial" w:cs="Arial" w:eastAsia="Arial" w:hAnsi="Arial"/>
          <w:sz w:val="18"/>
          <w:szCs w:val="18"/>
          <w:i w:val="1"/>
          <w:iCs w:val="1"/>
          <w:color w:val="auto"/>
        </w:rPr>
        <w:t>Definitions</w:t>
      </w:r>
      <w:r>
        <w:rPr>
          <w:rFonts w:ascii="Arial" w:cs="Arial" w:eastAsia="Arial" w:hAnsi="Arial"/>
          <w:sz w:val="18"/>
          <w:szCs w:val="18"/>
          <w:color w:val="auto"/>
        </w:rPr>
        <w:t>)) from any payment it may make under any Finance Document to the Original Lender.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16.8  </w:t>
      </w:r>
      <w:r>
        <w:rPr>
          <w:rFonts w:ascii="Arial" w:cs="Arial" w:eastAsia="Arial" w:hAnsi="Arial"/>
          <w:sz w:val="18"/>
          <w:szCs w:val="18"/>
          <w:b w:val="1"/>
          <w:bCs w:val="1"/>
          <w:color w:val="auto"/>
        </w:rPr>
        <w:t>No filing or stamp taxes</w:t>
      </w:r>
    </w:p>
    <w:p>
      <w:pPr>
        <w:spacing w:after="0" w:line="121" w:lineRule="exact"/>
        <w:rPr>
          <w:sz w:val="20"/>
          <w:szCs w:val="20"/>
          <w:color w:val="auto"/>
        </w:rPr>
      </w:pPr>
    </w:p>
    <w:p>
      <w:pPr>
        <w:ind w:left="440" w:right="260"/>
        <w:spacing w:after="0" w:line="263" w:lineRule="auto"/>
        <w:rPr>
          <w:sz w:val="20"/>
          <w:szCs w:val="20"/>
          <w:color w:val="auto"/>
        </w:rPr>
      </w:pPr>
      <w:r>
        <w:rPr>
          <w:rFonts w:ascii="Arial" w:cs="Arial" w:eastAsia="Arial" w:hAnsi="Arial"/>
          <w:sz w:val="18"/>
          <w:szCs w:val="18"/>
          <w:color w:val="auto"/>
        </w:rPr>
        <w:t>Under the law of its Original Jurisdiction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16.9  </w:t>
      </w:r>
      <w:r>
        <w:rPr>
          <w:rFonts w:ascii="Arial" w:cs="Arial" w:eastAsia="Arial" w:hAnsi="Arial"/>
          <w:sz w:val="18"/>
          <w:szCs w:val="18"/>
          <w:b w:val="1"/>
          <w:bCs w:val="1"/>
          <w:color w:val="auto"/>
        </w:rPr>
        <w:t>No default</w:t>
      </w:r>
    </w:p>
    <w:p>
      <w:pPr>
        <w:spacing w:after="0" w:line="135" w:lineRule="exact"/>
        <w:rPr>
          <w:sz w:val="20"/>
          <w:szCs w:val="20"/>
          <w:color w:val="auto"/>
        </w:rPr>
      </w:pPr>
    </w:p>
    <w:p>
      <w:pPr>
        <w:ind w:left="960" w:hanging="532"/>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130" w:lineRule="exact"/>
        <w:rPr>
          <w:rFonts w:ascii="Arial" w:cs="Arial" w:eastAsia="Arial" w:hAnsi="Arial"/>
          <w:sz w:val="18"/>
          <w:szCs w:val="18"/>
          <w:color w:val="auto"/>
        </w:rPr>
      </w:pPr>
    </w:p>
    <w:p>
      <w:pPr>
        <w:ind w:left="960" w:right="140" w:hanging="532"/>
        <w:spacing w:after="0" w:line="277"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other event or circumstance is outstanding which constitutes a default under any other agreement or instrument which is binding on it or to which its assets are subject which has or is reasonably likely to have a Material Adverse Effect.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16.10 </w:t>
      </w:r>
      <w:r>
        <w:rPr>
          <w:rFonts w:ascii="Arial" w:cs="Arial" w:eastAsia="Arial" w:hAnsi="Arial"/>
          <w:sz w:val="18"/>
          <w:szCs w:val="18"/>
          <w:b w:val="1"/>
          <w:bCs w:val="1"/>
          <w:color w:val="auto"/>
        </w:rPr>
        <w:t>Cashflow Forecast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Cashflow Forecast has been prepared on the basis of recent historical information and on the basis of reasonable assumptions.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16.11 </w:t>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Borrower’s financial statements most recently delivered to the Agent:</w:t>
      </w:r>
    </w:p>
    <w:p>
      <w:pPr>
        <w:spacing w:after="0" w:line="131" w:lineRule="exact"/>
        <w:rPr>
          <w:sz w:val="20"/>
          <w:szCs w:val="20"/>
          <w:color w:val="auto"/>
        </w:rPr>
      </w:pPr>
    </w:p>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have been prepared in accordance with GAAP, consistently applied; and</w:t>
      </w:r>
    </w:p>
    <w:p>
      <w:pPr>
        <w:spacing w:after="0" w:line="130" w:lineRule="exact"/>
        <w:rPr>
          <w:rFonts w:ascii="Arial" w:cs="Arial" w:eastAsia="Arial" w:hAnsi="Arial"/>
          <w:sz w:val="18"/>
          <w:szCs w:val="18"/>
          <w:color w:val="auto"/>
        </w:rPr>
      </w:pPr>
    </w:p>
    <w:p>
      <w:pPr>
        <w:ind w:left="440" w:right="2080" w:hanging="12"/>
        <w:spacing w:after="0" w:line="381" w:lineRule="auto"/>
        <w:tabs>
          <w:tab w:leader="none" w:pos="972" w:val="left"/>
        </w:tabs>
        <w:numPr>
          <w:ilvl w:val="0"/>
          <w:numId w:val="91"/>
        </w:numPr>
        <w:rPr>
          <w:rFonts w:ascii="Arial" w:cs="Arial" w:eastAsia="Arial" w:hAnsi="Arial"/>
          <w:sz w:val="18"/>
          <w:szCs w:val="18"/>
          <w:color w:val="auto"/>
        </w:rPr>
      </w:pPr>
      <w:r>
        <w:rPr>
          <w:rFonts w:ascii="Arial" w:cs="Arial" w:eastAsia="Arial" w:hAnsi="Arial"/>
          <w:sz w:val="18"/>
          <w:szCs w:val="18"/>
          <w:color w:val="auto"/>
        </w:rPr>
        <w:t>fairly represent its financial condition (consolidated, if applicable) as at the date to which they were drawn up, except, in each case, as disclosed to the contrary in those financial statements.</w:t>
      </w:r>
    </w:p>
    <w:p>
      <w:pPr>
        <w:spacing w:after="0"/>
        <w:rPr>
          <w:sz w:val="20"/>
          <w:szCs w:val="20"/>
          <w:color w:val="auto"/>
        </w:rPr>
      </w:pPr>
      <w:r>
        <w:rPr>
          <w:rFonts w:ascii="Arial" w:cs="Arial" w:eastAsia="Arial" w:hAnsi="Arial"/>
          <w:sz w:val="18"/>
          <w:szCs w:val="18"/>
          <w:color w:val="auto"/>
        </w:rPr>
        <w:t xml:space="preserve">16.12 </w:t>
      </w:r>
      <w:r>
        <w:rPr>
          <w:rFonts w:ascii="Arial" w:cs="Arial" w:eastAsia="Arial" w:hAnsi="Arial"/>
          <w:sz w:val="18"/>
          <w:szCs w:val="18"/>
          <w:b w:val="1"/>
          <w:bCs w:val="1"/>
          <w:color w:val="auto"/>
        </w:rPr>
        <w:t>Pari passu ranking</w:t>
      </w:r>
    </w:p>
    <w:p>
      <w:pPr>
        <w:spacing w:after="0" w:line="121" w:lineRule="exact"/>
        <w:rPr>
          <w:sz w:val="20"/>
          <w:szCs w:val="20"/>
          <w:color w:val="auto"/>
        </w:rPr>
      </w:pPr>
    </w:p>
    <w:p>
      <w:pPr>
        <w:ind w:left="440" w:right="520"/>
        <w:spacing w:after="0" w:line="277" w:lineRule="auto"/>
        <w:rPr>
          <w:sz w:val="20"/>
          <w:szCs w:val="20"/>
          <w:color w:val="auto"/>
        </w:rPr>
      </w:pPr>
      <w:r>
        <w:rPr>
          <w:rFonts w:ascii="Arial" w:cs="Arial" w:eastAsia="Arial" w:hAnsi="Arial"/>
          <w:sz w:val="18"/>
          <w:szCs w:val="18"/>
          <w:color w:val="auto"/>
        </w:rPr>
        <w:t xml:space="preserve">Its payment obligations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for obligations mandatorily preferred by law applying to companies generally.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0980"/>
          </w:cols>
          <w:pgMar w:left="440" w:top="270" w:right="479" w:bottom="1440" w:gutter="0" w:footer="0" w:header="0"/>
        </w:sectPr>
      </w:pPr>
    </w:p>
    <w:bookmarkStart w:id="37" w:name="page38"/>
    <w:bookmarkEnd w:id="3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16.13 </w:t>
      </w:r>
      <w:r>
        <w:rPr>
          <w:rFonts w:ascii="Arial" w:cs="Arial" w:eastAsia="Arial" w:hAnsi="Arial"/>
          <w:sz w:val="18"/>
          <w:szCs w:val="18"/>
          <w:b w:val="1"/>
          <w:bCs w:val="1"/>
          <w:color w:val="auto"/>
        </w:rPr>
        <w:t>No proceedings</w:t>
      </w:r>
    </w:p>
    <w:p>
      <w:pPr>
        <w:spacing w:after="0" w:line="121" w:lineRule="exact"/>
        <w:rPr>
          <w:sz w:val="20"/>
          <w:szCs w:val="20"/>
          <w:color w:val="auto"/>
        </w:rPr>
      </w:pPr>
    </w:p>
    <w:p>
      <w:pPr>
        <w:ind w:left="444"/>
        <w:spacing w:after="0" w:line="342" w:lineRule="auto"/>
        <w:rPr>
          <w:sz w:val="20"/>
          <w:szCs w:val="20"/>
          <w:color w:val="auto"/>
        </w:rPr>
      </w:pPr>
      <w:r>
        <w:rPr>
          <w:rFonts w:ascii="Arial" w:cs="Arial" w:eastAsia="Arial" w:hAnsi="Arial"/>
          <w:sz w:val="16"/>
          <w:szCs w:val="16"/>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w:t>
      </w:r>
    </w:p>
    <w:p>
      <w:pPr>
        <w:spacing w:after="0" w:line="2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16.14 </w:t>
      </w:r>
      <w:r>
        <w:rPr>
          <w:rFonts w:ascii="Arial" w:cs="Arial" w:eastAsia="Arial" w:hAnsi="Arial"/>
          <w:sz w:val="18"/>
          <w:szCs w:val="18"/>
          <w:b w:val="1"/>
          <w:bCs w:val="1"/>
          <w:color w:val="auto"/>
        </w:rPr>
        <w:t>Allotment of shares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has available for issue and authority to allot, free from pre-emption rights, 4,642,486,776 ordinary shares.</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16.15 </w:t>
      </w:r>
      <w:r>
        <w:rPr>
          <w:rFonts w:ascii="Arial" w:cs="Arial" w:eastAsia="Arial" w:hAnsi="Arial"/>
          <w:sz w:val="18"/>
          <w:szCs w:val="18"/>
          <w:b w:val="1"/>
          <w:bCs w:val="1"/>
          <w:color w:val="auto"/>
        </w:rPr>
        <w:t>Repetition</w:t>
      </w:r>
    </w:p>
    <w:p>
      <w:pPr>
        <w:spacing w:after="0" w:line="121"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The Repeating Representations are deemed to be made by the Borrower (by reference to the facts and circumstances then existing) on the date of each Utilisation Request and the first day of each Interest Period.</w:t>
      </w:r>
    </w:p>
    <w:p>
      <w:pPr>
        <w:spacing w:after="0" w:line="315"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INFORMATION UNDERTAKINGS</w:t>
      </w:r>
    </w:p>
    <w:p>
      <w:pPr>
        <w:spacing w:after="0" w:line="121" w:lineRule="exact"/>
        <w:rPr>
          <w:rFonts w:ascii="Arial" w:cs="Arial" w:eastAsia="Arial" w:hAnsi="Arial"/>
          <w:sz w:val="18"/>
          <w:szCs w:val="18"/>
          <w:color w:val="auto"/>
        </w:rPr>
      </w:pPr>
    </w:p>
    <w:p>
      <w:pPr>
        <w:ind w:left="444" w:right="28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17 remain in force from the date of this Agreement for so long as any amount is outstanding under the Finance Documents or the Facility is in force.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shall deliver to the Agent (or otherwise make available to the Agent, and notify the Agent of this):</w:t>
      </w:r>
    </w:p>
    <w:p>
      <w:pPr>
        <w:spacing w:after="0" w:line="131" w:lineRule="exact"/>
        <w:rPr>
          <w:sz w:val="20"/>
          <w:szCs w:val="20"/>
          <w:color w:val="auto"/>
        </w:rPr>
      </w:pPr>
    </w:p>
    <w:p>
      <w:pPr>
        <w:ind w:left="964" w:right="80" w:hanging="532"/>
        <w:spacing w:after="0" w:line="277"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120 days after the end of each of its financial years, its audited consolidated financial statements for that financial year; and</w:t>
      </w:r>
    </w:p>
    <w:p>
      <w:pPr>
        <w:spacing w:after="0" w:line="75"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60 days after the end of each Financial Quarter, its consolidated financial statements for that period.</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17.2  </w:t>
      </w:r>
      <w:r>
        <w:rPr>
          <w:rFonts w:ascii="Arial" w:cs="Arial" w:eastAsia="Arial" w:hAnsi="Arial"/>
          <w:sz w:val="18"/>
          <w:szCs w:val="18"/>
          <w:b w:val="1"/>
          <w:bCs w:val="1"/>
          <w:color w:val="auto"/>
        </w:rPr>
        <w:t>Cashflow Forecast</w:t>
      </w:r>
    </w:p>
    <w:p>
      <w:pPr>
        <w:spacing w:after="0" w:line="121" w:lineRule="exact"/>
        <w:rPr>
          <w:sz w:val="20"/>
          <w:szCs w:val="20"/>
          <w:color w:val="auto"/>
        </w:rPr>
      </w:pPr>
    </w:p>
    <w:p>
      <w:pPr>
        <w:ind w:left="444"/>
        <w:spacing w:after="0" w:line="279" w:lineRule="auto"/>
        <w:rPr>
          <w:sz w:val="20"/>
          <w:szCs w:val="20"/>
          <w:color w:val="auto"/>
        </w:rPr>
      </w:pPr>
      <w:r>
        <w:rPr>
          <w:rFonts w:ascii="Arial" w:cs="Arial" w:eastAsia="Arial" w:hAnsi="Arial"/>
          <w:sz w:val="17"/>
          <w:szCs w:val="17"/>
          <w:color w:val="auto"/>
        </w:rPr>
        <w:t>The Borrower shall supply to the Agent (marked for the attention of the Designated Recipients) on request (such request to be made no later than the last calendar day of the preceding Financial Quarter), on or before the fifth Business Day of a Financial Quarter, an updated Cashflow Forecast in respect of each Financial Quarter (starting from the beginning of the Financial Quarter in which the Cashflow Forecast is delivered) to (and including) June 2024, in substantially the same format as that of the Original Cashflow Forecast.</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17.3  </w:t>
      </w:r>
      <w:r>
        <w:rPr>
          <w:rFonts w:ascii="Arial" w:cs="Arial" w:eastAsia="Arial" w:hAnsi="Arial"/>
          <w:sz w:val="18"/>
          <w:szCs w:val="18"/>
          <w:b w:val="1"/>
          <w:bCs w:val="1"/>
          <w:color w:val="auto"/>
        </w:rPr>
        <w:t>Compliance Certificate</w:t>
      </w:r>
    </w:p>
    <w:p>
      <w:pPr>
        <w:spacing w:after="0" w:line="121" w:lineRule="exact"/>
        <w:rPr>
          <w:sz w:val="20"/>
          <w:szCs w:val="20"/>
          <w:color w:val="auto"/>
        </w:rPr>
      </w:pPr>
    </w:p>
    <w:p>
      <w:pPr>
        <w:ind w:left="444" w:right="420"/>
        <w:spacing w:after="0" w:line="263" w:lineRule="auto"/>
        <w:rPr>
          <w:sz w:val="20"/>
          <w:szCs w:val="20"/>
          <w:color w:val="auto"/>
        </w:rPr>
      </w:pPr>
      <w:r>
        <w:rPr>
          <w:rFonts w:ascii="Arial" w:cs="Arial" w:eastAsia="Arial" w:hAnsi="Arial"/>
          <w:sz w:val="18"/>
          <w:szCs w:val="18"/>
          <w:color w:val="auto"/>
        </w:rPr>
        <w:t>The Borrower shall supply to the Agent on request (such request to be made in connection with a Utilisation Request or otherwise no more frequently than once per Financial Quarter) a Compliance Certificate signed by the chief executive officer or the chief financial officer of the Borrower.</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04"/>
          </w:cols>
          <w:pgMar w:left="436" w:top="270" w:right="4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17.4  </w:t>
      </w:r>
      <w:r>
        <w:rPr>
          <w:rFonts w:ascii="Arial" w:cs="Arial" w:eastAsia="Arial" w:hAnsi="Arial"/>
          <w:sz w:val="18"/>
          <w:szCs w:val="18"/>
          <w:b w:val="1"/>
          <w:bCs w:val="1"/>
          <w:color w:val="auto"/>
        </w:rPr>
        <w:t>Information: miscellaneous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shall supply to the Agent:</w:t>
      </w:r>
    </w:p>
    <w:p>
      <w:pPr>
        <w:spacing w:after="0" w:line="131" w:lineRule="exact"/>
        <w:rPr>
          <w:sz w:val="20"/>
          <w:szCs w:val="20"/>
          <w:color w:val="auto"/>
        </w:rPr>
      </w:pPr>
    </w:p>
    <w:p>
      <w:pPr>
        <w:ind w:left="960" w:right="14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documents dispatched by the Borrower to its shareholders (or any class of them) or its creditors generally at the same time as they are dispatched;</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following any such approval, a copy of any written material approved by the board of directors of the Borrower relating to active cost management activities of the Borrower;</w:t>
      </w:r>
    </w:p>
    <w:p>
      <w:pPr>
        <w:spacing w:after="0" w:line="75" w:lineRule="exact"/>
        <w:rPr>
          <w:rFonts w:ascii="Arial" w:cs="Arial" w:eastAsia="Arial" w:hAnsi="Arial"/>
          <w:sz w:val="18"/>
          <w:szCs w:val="18"/>
          <w:color w:val="auto"/>
        </w:rPr>
      </w:pPr>
    </w:p>
    <w:p>
      <w:pPr>
        <w:ind w:left="960" w:right="220" w:hanging="532"/>
        <w:spacing w:after="0" w:line="263"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threatened or pending against the Borrower (or against the directors of the Borrower), and which might, if adversely determined, have a Material Adverse Effect;</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judgment or order of a court, arbitral body or agency which is made against the Borrower (or against the directors of the Borrower), and which might have a Material Adverse Effect; and</w:t>
      </w:r>
    </w:p>
    <w:p>
      <w:pPr>
        <w:spacing w:after="0" w:line="75"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promptly, such further information regarding the financial condition, business and operations of the Borrower as any Finance Party (through the Agent) may reasonably request.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color w:val="auto"/>
        </w:rPr>
        <w:t>Notification of default</w:t>
      </w:r>
    </w:p>
    <w:p>
      <w:pPr>
        <w:spacing w:after="0" w:line="135" w:lineRule="exact"/>
        <w:rPr>
          <w:sz w:val="20"/>
          <w:szCs w:val="20"/>
          <w:color w:val="auto"/>
        </w:rPr>
      </w:pPr>
    </w:p>
    <w:p>
      <w:pPr>
        <w:ind w:left="960" w:right="340" w:hanging="532"/>
        <w:spacing w:after="0" w:line="277"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Borrower shall notify the Agent of any Event of Default (and the steps, if any, being taken to remedy it) promptly upon becoming aware of its occurrence.</w:t>
      </w:r>
    </w:p>
    <w:p>
      <w:pPr>
        <w:spacing w:after="0" w:line="75" w:lineRule="exact"/>
        <w:rPr>
          <w:rFonts w:ascii="Arial" w:cs="Arial" w:eastAsia="Arial" w:hAnsi="Arial"/>
          <w:sz w:val="18"/>
          <w:szCs w:val="18"/>
          <w:color w:val="auto"/>
        </w:rPr>
      </w:pPr>
    </w:p>
    <w:p>
      <w:pPr>
        <w:ind w:left="960" w:right="360" w:hanging="532"/>
        <w:spacing w:after="0" w:line="263" w:lineRule="auto"/>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the chief executive officer or the chief financial officer of the Borrower on its behalf certifying that no Event of Default is continuing (or if a Default is continuing, specifying the Event of Default and the steps, if any, being taken to remedy it).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17.6  </w:t>
      </w:r>
      <w:r>
        <w:rPr>
          <w:rFonts w:ascii="Arial" w:cs="Arial" w:eastAsia="Arial" w:hAnsi="Arial"/>
          <w:sz w:val="18"/>
          <w:szCs w:val="18"/>
          <w:b w:val="1"/>
          <w:bCs w:val="1"/>
          <w:color w:val="auto"/>
        </w:rPr>
        <w:t>Direct electronic delivery by Company</w:t>
      </w:r>
    </w:p>
    <w:p>
      <w:pPr>
        <w:spacing w:after="0" w:line="121" w:lineRule="exact"/>
        <w:rPr>
          <w:sz w:val="20"/>
          <w:szCs w:val="20"/>
          <w:color w:val="auto"/>
        </w:rPr>
      </w:pPr>
    </w:p>
    <w:p>
      <w:pPr>
        <w:ind w:left="440" w:right="780"/>
        <w:spacing w:after="0" w:line="277" w:lineRule="auto"/>
        <w:rPr>
          <w:sz w:val="20"/>
          <w:szCs w:val="20"/>
          <w:color w:val="auto"/>
        </w:rPr>
      </w:pPr>
      <w:r>
        <w:rPr>
          <w:rFonts w:ascii="Arial" w:cs="Arial" w:eastAsia="Arial" w:hAnsi="Arial"/>
          <w:sz w:val="18"/>
          <w:szCs w:val="18"/>
          <w:color w:val="auto"/>
        </w:rPr>
        <w:t>The Borrower may satisfy its obligation under this Agreement to deliver any information by delivering that information to the Agent in accordance with Clause 26.5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“Know your customer” checks</w:t>
      </w:r>
    </w:p>
    <w:p>
      <w:pPr>
        <w:spacing w:after="0" w:line="135" w:lineRule="exact"/>
        <w:rPr>
          <w:sz w:val="20"/>
          <w:szCs w:val="20"/>
          <w:color w:val="auto"/>
        </w:rPr>
      </w:pPr>
    </w:p>
    <w:p>
      <w:pPr>
        <w:ind w:left="960" w:hanging="532"/>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2"/>
          <w:numId w:val="9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60"/>
          </w:cols>
          <w:pgMar w:left="440" w:top="270" w:right="499" w:bottom="1440" w:gutter="0" w:footer="0" w:header="0"/>
        </w:sectPr>
      </w:pPr>
    </w:p>
    <w:bookmarkStart w:id="39" w:name="page40"/>
    <w:bookmarkEnd w:id="39"/>
    <w:p>
      <w:pPr>
        <w:ind w:left="1424" w:right="160" w:hanging="439"/>
        <w:spacing w:after="0" w:line="277" w:lineRule="auto"/>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change in the status of the Borrower (or of a Holding Company of the Borrower) or the composition of the shareholders of the Borrower (or of a Holding Company of the Borrower) after the date of this Agreement; or</w:t>
      </w:r>
    </w:p>
    <w:p>
      <w:pPr>
        <w:spacing w:after="0" w:line="75" w:lineRule="exact"/>
        <w:rPr>
          <w:rFonts w:ascii="Arial" w:cs="Arial" w:eastAsia="Arial" w:hAnsi="Arial"/>
          <w:sz w:val="18"/>
          <w:szCs w:val="18"/>
          <w:color w:val="auto"/>
        </w:rPr>
      </w:pPr>
    </w:p>
    <w:p>
      <w:pPr>
        <w:ind w:left="1424" w:right="360" w:hanging="439"/>
        <w:spacing w:after="0" w:line="277" w:lineRule="auto"/>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proposed assignment or transfer by the Lender of any of its rights and obligations under this Agreement to a party that is not a Lender prior to such assignment or transfer,</w:t>
      </w:r>
    </w:p>
    <w:p>
      <w:pPr>
        <w:spacing w:after="0" w:line="62" w:lineRule="exact"/>
        <w:rPr>
          <w:sz w:val="20"/>
          <w:szCs w:val="20"/>
          <w:color w:val="auto"/>
        </w:rPr>
      </w:pPr>
    </w:p>
    <w:p>
      <w:pPr>
        <w:ind w:left="984"/>
        <w:spacing w:after="0" w:line="254" w:lineRule="auto"/>
        <w:rPr>
          <w:sz w:val="20"/>
          <w:szCs w:val="20"/>
          <w:color w:val="auto"/>
        </w:rPr>
      </w:pPr>
      <w:r>
        <w:rPr>
          <w:rFonts w:ascii="Arial" w:cs="Arial" w:eastAsia="Arial" w:hAnsi="Arial"/>
          <w:sz w:val="18"/>
          <w:szCs w:val="18"/>
          <w:color w:val="auto"/>
        </w:rPr>
        <w:t>obliges the Agent or the Lender (or, in the case of paragraph (iii) above, any prospective new Lender) to comply with “know your customer” or similar identification procedures in circumstances where the necessary information is not already available to it, the Borrower shall promptly upon the request of the Agent or the Lender supply, or procure the supply of, such documentation and other evidence as is reasonably requested by the Agent (for itself or on behalf of the Lender) or the Lender (for itself or, in the case of the event described in paragraph (iii) above, on behalf of any prospective new Lender) in order for the Agent, the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97" w:lineRule="exact"/>
        <w:rPr>
          <w:sz w:val="20"/>
          <w:szCs w:val="20"/>
          <w:color w:val="auto"/>
        </w:rPr>
      </w:pPr>
    </w:p>
    <w:p>
      <w:pPr>
        <w:ind w:left="964" w:right="60" w:hanging="532"/>
        <w:spacing w:after="0" w:line="259" w:lineRule="auto"/>
        <w:tabs>
          <w:tab w:leader="none" w:pos="9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GENERAL UNDERTAKINGS</w:t>
      </w:r>
    </w:p>
    <w:p>
      <w:pPr>
        <w:spacing w:after="0" w:line="121" w:lineRule="exact"/>
        <w:rPr>
          <w:rFonts w:ascii="Arial" w:cs="Arial" w:eastAsia="Arial" w:hAnsi="Arial"/>
          <w:sz w:val="18"/>
          <w:szCs w:val="18"/>
          <w:color w:val="auto"/>
        </w:rPr>
      </w:pPr>
    </w:p>
    <w:p>
      <w:pPr>
        <w:ind w:left="444" w:right="24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18 remain in force from the date of this Agreement for so long as any amount is outstanding under the Finance Documents or any commitment is in force.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b w:val="1"/>
          <w:bCs w:val="1"/>
          <w:color w:val="auto"/>
        </w:rPr>
        <w:t>Authorisations</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Borrower shall promptly:</w:t>
      </w:r>
    </w:p>
    <w:p>
      <w:pPr>
        <w:spacing w:after="0" w:line="131" w:lineRule="exact"/>
        <w:rPr>
          <w:sz w:val="20"/>
          <w:szCs w:val="20"/>
          <w:color w:val="auto"/>
        </w:rPr>
      </w:pPr>
    </w:p>
    <w:p>
      <w:pPr>
        <w:ind w:left="964" w:hanging="532"/>
        <w:spacing w:after="0"/>
        <w:tabs>
          <w:tab w:leader="none" w:pos="9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requested by the Agent, supply certified copies to the Agent of,</w:t>
      </w:r>
    </w:p>
    <w:p>
      <w:pPr>
        <w:spacing w:after="0" w:line="117" w:lineRule="exact"/>
        <w:rPr>
          <w:sz w:val="20"/>
          <w:szCs w:val="20"/>
          <w:color w:val="auto"/>
        </w:rPr>
      </w:pPr>
    </w:p>
    <w:p>
      <w:pPr>
        <w:ind w:left="444" w:right="220"/>
        <w:spacing w:after="0" w:line="342" w:lineRule="auto"/>
        <w:rPr>
          <w:sz w:val="20"/>
          <w:szCs w:val="20"/>
          <w:color w:val="auto"/>
        </w:rPr>
      </w:pPr>
      <w:r>
        <w:rPr>
          <w:rFonts w:ascii="Arial" w:cs="Arial" w:eastAsia="Arial" w:hAnsi="Arial"/>
          <w:sz w:val="16"/>
          <w:szCs w:val="16"/>
          <w:color w:val="auto"/>
        </w:rPr>
        <w:t>any Authorisation required under any law or regulation of its Original Jurisdiction to enable it to perform its obligations under the Finance Documents and to ensure the legality, validity, enforceability or admissibility in evidence in its Original Jurisdiction of any Finance Document.</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0964"/>
          </w:cols>
          <w:pgMar w:left="436" w:top="274" w:right="49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18.2  </w:t>
      </w:r>
      <w:r>
        <w:rPr>
          <w:rFonts w:ascii="Arial" w:cs="Arial" w:eastAsia="Arial" w:hAnsi="Arial"/>
          <w:sz w:val="18"/>
          <w:szCs w:val="18"/>
          <w:b w:val="1"/>
          <w:bCs w:val="1"/>
          <w:color w:val="auto"/>
        </w:rPr>
        <w:t>Compliance with laws</w:t>
      </w:r>
    </w:p>
    <w:p>
      <w:pPr>
        <w:spacing w:after="0" w:line="121"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The Borrower shall comply in all respects with all laws to which it may be subject, if failure so to comply would materially impair its ability to perform its obligations under the Finance Documents.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Acquisitions</w:t>
      </w:r>
    </w:p>
    <w:p>
      <w:pPr>
        <w:spacing w:after="0" w:line="121" w:lineRule="exact"/>
        <w:rPr>
          <w:sz w:val="20"/>
          <w:szCs w:val="20"/>
          <w:color w:val="auto"/>
        </w:rPr>
      </w:pPr>
    </w:p>
    <w:p>
      <w:pPr>
        <w:ind w:left="440" w:right="360"/>
        <w:spacing w:after="0" w:line="263" w:lineRule="auto"/>
        <w:rPr>
          <w:sz w:val="20"/>
          <w:szCs w:val="20"/>
          <w:color w:val="auto"/>
        </w:rPr>
      </w:pPr>
      <w:r>
        <w:rPr>
          <w:rFonts w:ascii="Arial" w:cs="Arial" w:eastAsia="Arial" w:hAnsi="Arial"/>
          <w:sz w:val="18"/>
          <w:szCs w:val="18"/>
          <w:color w:val="auto"/>
        </w:rPr>
        <w:t>The Borrower shall not acquire any company, business, assets or undertaking (a) with the proceeds of any Loan or (b) if the amount of the acquisition cost, when aggregated with the aggregate acquisition cost of any other companies, business, assets or undertaking acquired by the Borrower during that financial year exceeds USD 30,000,000.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18.4  </w:t>
      </w:r>
      <w:r>
        <w:rPr>
          <w:rFonts w:ascii="Arial" w:cs="Arial" w:eastAsia="Arial" w:hAnsi="Arial"/>
          <w:sz w:val="18"/>
          <w:szCs w:val="18"/>
          <w:b w:val="1"/>
          <w:bCs w:val="1"/>
          <w:color w:val="auto"/>
        </w:rPr>
        <w:t>Loans and Guarantees</w:t>
      </w:r>
    </w:p>
    <w:p>
      <w:pPr>
        <w:spacing w:after="0" w:line="135" w:lineRule="exact"/>
        <w:rPr>
          <w:sz w:val="20"/>
          <w:szCs w:val="20"/>
          <w:color w:val="auto"/>
        </w:rPr>
      </w:pPr>
    </w:p>
    <w:p>
      <w:pPr>
        <w:ind w:left="960" w:right="100" w:hanging="532"/>
        <w:spacing w:after="0" w:line="263"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Borrower shall not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w:t>
      </w:r>
    </w:p>
    <w:p>
      <w:pPr>
        <w:spacing w:after="0" w:line="89" w:lineRule="exact"/>
        <w:rPr>
          <w:rFonts w:ascii="Arial" w:cs="Arial" w:eastAsia="Arial" w:hAnsi="Arial"/>
          <w:sz w:val="18"/>
          <w:szCs w:val="18"/>
          <w:color w:val="auto"/>
        </w:rPr>
      </w:pPr>
    </w:p>
    <w:p>
      <w:pPr>
        <w:ind w:left="960" w:hanging="532"/>
        <w:spacing w:after="0" w:line="257" w:lineRule="auto"/>
        <w:tabs>
          <w:tab w:leader="none" w:pos="9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Paragraph (a) above does not apply to: (i) any Financial Indebtedness made available by the Borrower to one or more of its Subsidiaries; (ii) any trade credit extended by the Borrower to its customers on normal commercial terms and in the ordinary course of its trading activities; (iii) any guarantees made by the Borrower for customs purposes in the ordinary course of business; (iv) liabilities (not otherwise described in this paragraph (b)) in an aggregate principal amount of up to USD 30,000,000; and (v) liabilities incurred with the prior written consent of the Agent.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b w:val="1"/>
          <w:bCs w:val="1"/>
          <w:color w:val="auto"/>
        </w:rPr>
        <w:t>Senior management time</w:t>
      </w:r>
    </w:p>
    <w:p>
      <w:pPr>
        <w:spacing w:after="0" w:line="121" w:lineRule="exact"/>
        <w:rPr>
          <w:sz w:val="20"/>
          <w:szCs w:val="20"/>
          <w:color w:val="auto"/>
        </w:rPr>
      </w:pPr>
    </w:p>
    <w:p>
      <w:pPr>
        <w:ind w:left="440" w:right="40"/>
        <w:spacing w:after="0" w:line="296" w:lineRule="auto"/>
        <w:rPr>
          <w:sz w:val="20"/>
          <w:szCs w:val="20"/>
          <w:color w:val="auto"/>
        </w:rPr>
      </w:pPr>
      <w:r>
        <w:rPr>
          <w:rFonts w:ascii="Arial" w:cs="Arial" w:eastAsia="Arial" w:hAnsi="Arial"/>
          <w:sz w:val="16"/>
          <w:szCs w:val="16"/>
          <w:color w:val="auto"/>
        </w:rPr>
        <w:t>The Borrower shall, on request of the Agent (specifying on reasonable notice a time during business hours) in connection with the supply of documentation pursuant to Clause 17.4(b) (</w:t>
      </w:r>
      <w:r>
        <w:rPr>
          <w:rFonts w:ascii="Arial" w:cs="Arial" w:eastAsia="Arial" w:hAnsi="Arial"/>
          <w:sz w:val="16"/>
          <w:szCs w:val="16"/>
          <w:i w:val="1"/>
          <w:iCs w:val="1"/>
          <w:color w:val="auto"/>
        </w:rPr>
        <w:t>Information: miscellaneous</w:t>
      </w:r>
      <w:r>
        <w:rPr>
          <w:rFonts w:ascii="Arial" w:cs="Arial" w:eastAsia="Arial" w:hAnsi="Arial"/>
          <w:sz w:val="16"/>
          <w:szCs w:val="16"/>
          <w:color w:val="auto"/>
        </w:rPr>
        <w:t>) or otherwise no more frequently than once per Financial Quarter, procure that relevant members of the senior management of the Borrower (including, on each occasion unless agreed otherwise with the Agent, at least one of the chief executive officer or chief financial officer of the Borrower) meet with representatives of the Lender(s), either in a mutually convenient location or online, and discuss the Cashflow Forecast and/or the active cost management activities of the Borrower.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18.6  </w:t>
      </w:r>
      <w:r>
        <w:rPr>
          <w:rFonts w:ascii="Arial" w:cs="Arial" w:eastAsia="Arial" w:hAnsi="Arial"/>
          <w:sz w:val="18"/>
          <w:szCs w:val="18"/>
          <w:b w:val="1"/>
          <w:bCs w:val="1"/>
          <w:color w:val="auto"/>
        </w:rPr>
        <w:t>Condition subsequent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shall deliver to the Agent no later than:</w:t>
      </w:r>
    </w:p>
    <w:p>
      <w:pPr>
        <w:spacing w:after="0" w:line="131" w:lineRule="exact"/>
        <w:rPr>
          <w:sz w:val="20"/>
          <w:szCs w:val="20"/>
          <w:color w:val="auto"/>
        </w:rPr>
      </w:pPr>
    </w:p>
    <w:p>
      <w:pPr>
        <w:ind w:left="960" w:hanging="532"/>
        <w:spacing w:after="0"/>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15 December 2022, the Original Cashflow Forecast;</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31 December 2022, a copy of the executed amendment and restatement agreement to the Registration Rights Agreement providing for the definition of “Registrable Rights” to include any Conversion Shares issued by the Borrower to the Lender pursuant to exercise of the Conversion Right pursuant to this Agreement; and</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960"/>
          </w:cols>
          <w:pgMar w:left="440" w:top="270" w:right="499" w:bottom="1440" w:gutter="0" w:footer="0" w:header="0"/>
        </w:sectPr>
      </w:pPr>
    </w:p>
    <w:bookmarkStart w:id="41" w:name="page42"/>
    <w:bookmarkEnd w:id="41"/>
    <w:p>
      <w:pPr>
        <w:ind w:left="960" w:right="300" w:hanging="532"/>
        <w:spacing w:after="0" w:line="277" w:lineRule="auto"/>
        <w:tabs>
          <w:tab w:leader="none" w:pos="9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 falling three months after the date of this Agreement, a plan approved by the board of directors of the Borrower with respect to active management of the operating costs of the Borrower.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40" w:right="20"/>
        <w:spacing w:after="0" w:line="269" w:lineRule="auto"/>
        <w:rPr>
          <w:sz w:val="20"/>
          <w:szCs w:val="20"/>
          <w:color w:val="auto"/>
        </w:rPr>
      </w:pPr>
      <w:r>
        <w:rPr>
          <w:rFonts w:ascii="Arial" w:cs="Arial" w:eastAsia="Arial" w:hAnsi="Arial"/>
          <w:sz w:val="17"/>
          <w:szCs w:val="17"/>
          <w:color w:val="auto"/>
        </w:rPr>
        <w:t>Any Conversion Shares into which any outstanding loan(s) may be converted have not been registered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under the securities laws of any state. In the absence of an effective registration statement as to the Conversion Shares under the Securities Act, the Borrower may require an opinion of counsel reasonably satisfactory in form, scope and substance to the Borrower to the effect that such registration is not required, unless sold pursuant to Rule 144 of the Securities Act or in a transaction not subject to the Securities Act. Each Conversion Share shall bear a legend as to the applicable restrictions on transferability in order to ensure compliance with the Securitites Act. Following the earlier of: (x) the effective date of a registration statement filed pursuant to the Securities Act that includes any Conversion Shares; or (y) any Conversion Shares becoming eligible for sale without restriction under Rule 144(d)(1) of the Securities Act, the Borrower, upon the written request of the Lender, shall remove or, if applicable, instruct its transfer agent to remove, the restrictive legend from such Conversion Shares and shall cause its counsel to issue any legend removal opinion it or, if applicable, its transfer agent requires. Any fees (with respect to the transfer agent, the Borrower’s counsel or otherwise) associated with the issuance of such opinion or the removal of such legend shall be borne by the Borrower. The Borrower may issue stop transfer instructions to its transfer agent and/or depositary in connection with such restrictions.</w:t>
      </w:r>
    </w:p>
    <w:p>
      <w:pPr>
        <w:spacing w:after="0" w:line="71"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The Borrower has granted certain registration rights to the Lender pursuant to a registration rights agreement dated 27 September 2021 by and among the Borrower, the Lender and the other parties thereto (as subsequently amended,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The Borrower hereby agrees to include any Conversion Shares issued by the Borrower to the Lender pursuant to exercise of the Conversion Right pursuant to this Agreement in the definition of “Registrable Securities” by way of an amendment and restatement of the Registration Rights Agreement and thereby extend applicable registration rights to any Conversion Shares. In furtherance of the foregoing, the Borrower shall, within 90 days following the QEO Conversion Date, file a new Form F-1 Shelf (as defined in the Registration Rights Agreement) in view of registering the resale of any Conversion Shares and cause such registration statement to become effective as soon as practicable after such filing. As promptly as practicable following the QEO Conversion Date, the Borrower and the Lender shall enter into an amendment to the Registration Rights Agreement, with any other parties thereto necessary to make such amendment, in order to amend the definition of “Registrable Securities” therein, as provided hereby. The Borrower and the Lender agree that Article IV of the Registration Rights Agreement shall apply mutatis mutandis in connection with the registration rights granted pursuant to this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000"/>
          </w:cols>
          <w:pgMar w:left="440" w:top="274" w:right="459" w:bottom="1440" w:gutter="0" w:footer="0" w:header="0"/>
        </w:sectPr>
      </w:pPr>
    </w:p>
    <w:bookmarkStart w:id="42" w:name="page43"/>
    <w:bookmarkEnd w:id="42"/>
    <w:p>
      <w:pPr>
        <w:ind w:left="444"/>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Should the Borrower, its directors and executive officers enter into lock-up agreements in connection with a QEO, the Original Lender and any Lenders that become a Party to this Agreement in accordance with Clause 20 (</w:t>
      </w:r>
      <w:r>
        <w:rPr>
          <w:rFonts w:ascii="Arial" w:cs="Arial" w:eastAsia="Arial" w:hAnsi="Arial"/>
          <w:sz w:val="17"/>
          <w:szCs w:val="17"/>
          <w:i w:val="1"/>
          <w:iCs w:val="1"/>
          <w:color w:val="auto"/>
        </w:rPr>
        <w:t>Changes to the Lender</w:t>
      </w:r>
      <w:r>
        <w:rPr>
          <w:rFonts w:ascii="Arial" w:cs="Arial" w:eastAsia="Arial" w:hAnsi="Arial"/>
          <w:sz w:val="17"/>
          <w:szCs w:val="17"/>
          <w:color w:val="auto"/>
        </w:rPr>
        <w:t>) agree to enter into lock-up agreements in a form to be agreed with the Borrower and its financial advisors and customary for a follow-on offering, restricting the disposition or hedging of any Conversion Shares being issued in connection with such QEO for a period of 90 days (or such shorter period of time as applicable to the Borrower, its directors and executive officers) following such QEO Conversion Date.</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b w:val="1"/>
          <w:bCs w:val="1"/>
          <w:color w:val="auto"/>
        </w:rPr>
        <w:t>Allotment of shares</w:t>
      </w:r>
    </w:p>
    <w:p>
      <w:pPr>
        <w:spacing w:after="0" w:line="135" w:lineRule="exact"/>
        <w:rPr>
          <w:sz w:val="20"/>
          <w:szCs w:val="20"/>
          <w:color w:val="auto"/>
        </w:rPr>
      </w:pPr>
    </w:p>
    <w:p>
      <w:pPr>
        <w:ind w:left="964" w:right="80" w:hanging="532"/>
        <w:spacing w:after="0" w:line="263" w:lineRule="auto"/>
        <w:tabs>
          <w:tab w:leader="none" w:pos="9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Borrower shall have available for issue and authority to allot, free from pre-emption rights, sufficient Conversion Shares to enable the Conversion Rights set out herein to be satisfied in full, and all other rights of subscription or conversion for the Conversion Shares to be satisfied in full.</w:t>
      </w:r>
    </w:p>
    <w:p>
      <w:pPr>
        <w:spacing w:after="0" w:line="89"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Borrower shall use its best endeavours to procure and maintain the listing of any Conversion Shares on NASDAQ with effect from the QEO Conversion Date.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Each of the events or circumstances set out in this Clause 19 is an Event of Default (save for Clause 19.11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Non-payment</w:t>
      </w:r>
    </w:p>
    <w:p>
      <w:pPr>
        <w:spacing w:after="0" w:line="121" w:lineRule="exact"/>
        <w:rPr>
          <w:sz w:val="20"/>
          <w:szCs w:val="20"/>
          <w:color w:val="auto"/>
        </w:rPr>
      </w:pPr>
    </w:p>
    <w:p>
      <w:pPr>
        <w:ind w:left="444" w:right="300"/>
        <w:spacing w:after="0" w:line="277" w:lineRule="auto"/>
        <w:rPr>
          <w:sz w:val="20"/>
          <w:szCs w:val="20"/>
          <w:color w:val="auto"/>
        </w:rPr>
      </w:pPr>
      <w:r>
        <w:rPr>
          <w:rFonts w:ascii="Arial" w:cs="Arial" w:eastAsia="Arial" w:hAnsi="Arial"/>
          <w:sz w:val="18"/>
          <w:szCs w:val="18"/>
          <w:color w:val="auto"/>
        </w:rPr>
        <w:t>The Borrower does not pay on the due date any amount payable pursuant to a Finance Document at the place and in the currency in which it is expressed to be payable unless:</w:t>
      </w:r>
    </w:p>
    <w:p>
      <w:pPr>
        <w:spacing w:after="0" w:line="76" w:lineRule="exact"/>
        <w:rPr>
          <w:sz w:val="20"/>
          <w:szCs w:val="20"/>
          <w:color w:val="auto"/>
        </w:rPr>
      </w:pPr>
    </w:p>
    <w:p>
      <w:pPr>
        <w:ind w:left="964" w:hanging="532"/>
        <w:spacing w:after="0"/>
        <w:tabs>
          <w:tab w:leader="none" w:pos="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30" w:lineRule="exact"/>
        <w:rPr>
          <w:rFonts w:ascii="Arial" w:cs="Arial" w:eastAsia="Arial" w:hAnsi="Arial"/>
          <w:sz w:val="18"/>
          <w:szCs w:val="18"/>
          <w:color w:val="auto"/>
        </w:rPr>
      </w:pPr>
    </w:p>
    <w:p>
      <w:pPr>
        <w:ind w:left="964" w:right="120" w:hanging="532"/>
        <w:spacing w:after="0" w:line="277" w:lineRule="auto"/>
        <w:tabs>
          <w:tab w:leader="none" w:pos="96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payment is made within: (i) in the case of paragraph (a)(i) above, five Business Days of its due date; or (ii) in the case of paragraph (a)(ii) above, three Business Days following the cessation of the Disruption Event.</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Other obligations</w:t>
      </w:r>
    </w:p>
    <w:p>
      <w:pPr>
        <w:spacing w:after="0" w:line="135" w:lineRule="exact"/>
        <w:rPr>
          <w:sz w:val="20"/>
          <w:szCs w:val="20"/>
          <w:color w:val="auto"/>
        </w:rPr>
      </w:pPr>
    </w:p>
    <w:p>
      <w:pPr>
        <w:ind w:left="964" w:hanging="532"/>
        <w:spacing w:after="0"/>
        <w:tabs>
          <w:tab w:leader="none" w:pos="96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Borrower does not comply with any provision of the Finance Documents (other than those referred to in Clause 19.1 (</w:t>
      </w:r>
      <w:r>
        <w:rPr>
          <w:rFonts w:ascii="Arial" w:cs="Arial" w:eastAsia="Arial" w:hAnsi="Arial"/>
          <w:sz w:val="16"/>
          <w:szCs w:val="16"/>
          <w:i w:val="1"/>
          <w:iCs w:val="1"/>
          <w:color w:val="auto"/>
        </w:rPr>
        <w:t>Non-payment</w:t>
      </w:r>
      <w:r>
        <w:rPr>
          <w:rFonts w:ascii="Arial" w:cs="Arial" w:eastAsia="Arial" w:hAnsi="Arial"/>
          <w:sz w:val="16"/>
          <w:szCs w:val="16"/>
          <w:color w:val="auto"/>
        </w:rPr>
        <w:t>).</w:t>
      </w:r>
    </w:p>
    <w:p>
      <w:pPr>
        <w:spacing w:after="0" w:line="153" w:lineRule="exact"/>
        <w:rPr>
          <w:rFonts w:ascii="Arial" w:cs="Arial" w:eastAsia="Arial" w:hAnsi="Arial"/>
          <w:sz w:val="16"/>
          <w:szCs w:val="16"/>
          <w:color w:val="auto"/>
        </w:rPr>
      </w:pPr>
    </w:p>
    <w:p>
      <w:pPr>
        <w:ind w:left="964" w:right="80" w:hanging="532"/>
        <w:spacing w:after="0" w:line="263" w:lineRule="auto"/>
        <w:tabs>
          <w:tab w:leader="none" w:pos="9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No Event of Default under paragraph (a) above if the failure to comply is capable of remedy and is remedied within fifteen Business Days of the earlier of (i) the Agent giving notice of the failure to comply to the Borrower and (ii) the Borrower becoming aware of the non-compliance.</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19.3  </w:t>
      </w:r>
      <w:r>
        <w:rPr>
          <w:rFonts w:ascii="Arial" w:cs="Arial" w:eastAsia="Arial" w:hAnsi="Arial"/>
          <w:sz w:val="18"/>
          <w:szCs w:val="18"/>
          <w:b w:val="1"/>
          <w:bCs w:val="1"/>
          <w:color w:val="auto"/>
        </w:rPr>
        <w:t>Misrepresentation</w:t>
      </w:r>
    </w:p>
    <w:p>
      <w:pPr>
        <w:spacing w:after="0" w:line="135" w:lineRule="exact"/>
        <w:rPr>
          <w:sz w:val="20"/>
          <w:szCs w:val="20"/>
          <w:color w:val="auto"/>
        </w:rPr>
      </w:pPr>
    </w:p>
    <w:p>
      <w:pPr>
        <w:ind w:left="964" w:right="120" w:hanging="532"/>
        <w:spacing w:after="0" w:line="263" w:lineRule="auto"/>
        <w:tabs>
          <w:tab w:leader="none" w:pos="96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representation or statement made or deemed to be made by the Borrower in the Finance Documents or any other document delivered by or on behalf of the Borrower under or in connection with any Finance Document is or proves to have been incorrect or misleading in any material respect when made or deemed to be made.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08"/>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04"/>
          </w:cols>
          <w:pgMar w:left="436" w:top="274" w:right="459" w:bottom="1440" w:gutter="0" w:footer="0" w:header="0"/>
        </w:sectPr>
      </w:pPr>
    </w:p>
    <w:bookmarkStart w:id="43" w:name="page44"/>
    <w:bookmarkEnd w:id="43"/>
    <w:p>
      <w:pPr>
        <w:jc w:val="both"/>
        <w:ind w:left="960" w:right="20" w:hanging="532"/>
        <w:spacing w:after="0" w:line="311" w:lineRule="auto"/>
        <w:tabs>
          <w:tab w:leader="none" w:pos="9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Event of Default under paragraph (a) above will occur if the circumstances giving rise to the misrepresentation or breach of warranty are capable of remedy and are remedied within fifteen Business Days of the earlier of (i) the Agent giving notice of the misrepresentation or breach of warranty to the Borrower and (ii) the Borrower becoming aware of the misrepresentation or breach of warranty.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19.4  </w:t>
      </w:r>
      <w:r>
        <w:rPr>
          <w:rFonts w:ascii="Arial" w:cs="Arial" w:eastAsia="Arial" w:hAnsi="Arial"/>
          <w:sz w:val="18"/>
          <w:szCs w:val="18"/>
          <w:b w:val="1"/>
          <w:bCs w:val="1"/>
          <w:color w:val="auto"/>
        </w:rPr>
        <w:t>Cross default</w:t>
      </w:r>
    </w:p>
    <w:p>
      <w:pPr>
        <w:spacing w:after="0" w:line="135" w:lineRule="exact"/>
        <w:rPr>
          <w:sz w:val="20"/>
          <w:szCs w:val="20"/>
          <w:color w:val="auto"/>
        </w:rPr>
      </w:pPr>
    </w:p>
    <w:p>
      <w:pPr>
        <w:ind w:left="960" w:right="200" w:hanging="532"/>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Financial Indebtedness of the Borrower is declared to be or otherwise becomes due and payable prior to its specified maturity as a result of an event of default (however described).</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Any commitment for any Financial Indebtedness of the Borrower is cancelled or suspended by a creditor of the Borrower as a result of an event of default (however described).</w:t>
      </w:r>
    </w:p>
    <w:p>
      <w:pPr>
        <w:spacing w:after="0" w:line="75" w:lineRule="exact"/>
        <w:rPr>
          <w:rFonts w:ascii="Arial" w:cs="Arial" w:eastAsia="Arial" w:hAnsi="Arial"/>
          <w:sz w:val="18"/>
          <w:szCs w:val="18"/>
          <w:color w:val="auto"/>
        </w:rPr>
      </w:pPr>
    </w:p>
    <w:p>
      <w:pPr>
        <w:ind w:left="960" w:right="260" w:hanging="532"/>
        <w:spacing w:after="0" w:line="263"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Event of Default will occur under this Clause 19.4 if the aggregate amount of Financial Indebtedness or commitment for Financial Indebtedness falling within paragraphs (a) and (b) above is less than USD40,000,000 (or its equivalent in any other currency or currencies).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Insolvency</w:t>
      </w:r>
    </w:p>
    <w:p>
      <w:pPr>
        <w:spacing w:after="0" w:line="135" w:lineRule="exact"/>
        <w:rPr>
          <w:sz w:val="20"/>
          <w:szCs w:val="20"/>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Borrower:</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suspends making payments on any of its debts; or</w:t>
      </w:r>
    </w:p>
    <w:p>
      <w:pPr>
        <w:spacing w:after="0" w:line="130" w:lineRule="exact"/>
        <w:rPr>
          <w:rFonts w:ascii="Arial" w:cs="Arial" w:eastAsia="Arial" w:hAnsi="Arial"/>
          <w:sz w:val="18"/>
          <w:szCs w:val="18"/>
          <w:color w:val="auto"/>
        </w:rPr>
      </w:pPr>
    </w:p>
    <w:p>
      <w:pPr>
        <w:ind w:left="1420" w:right="240" w:hanging="439"/>
        <w:spacing w:after="0" w:line="277" w:lineRule="auto"/>
        <w:tabs>
          <w:tab w:leader="none" w:pos="1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the Borrower.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19.6  </w:t>
      </w:r>
      <w:r>
        <w:rPr>
          <w:rFonts w:ascii="Arial" w:cs="Arial" w:eastAsia="Arial" w:hAnsi="Arial"/>
          <w:sz w:val="18"/>
          <w:szCs w:val="18"/>
          <w:b w:val="1"/>
          <w:bCs w:val="1"/>
          <w:color w:val="auto"/>
        </w:rPr>
        <w:t>Insolvency proceedings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corporate action, legal proceedings or other procedure or step is taken in relation to:</w:t>
      </w:r>
    </w:p>
    <w:p>
      <w:pPr>
        <w:spacing w:after="0" w:line="131" w:lineRule="exact"/>
        <w:rPr>
          <w:sz w:val="20"/>
          <w:szCs w:val="20"/>
          <w:color w:val="auto"/>
        </w:rPr>
      </w:pPr>
    </w:p>
    <w:p>
      <w:pPr>
        <w:ind w:left="960" w:right="380" w:hanging="532"/>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the Borrower;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the Borrower;</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880"/>
          </w:cols>
          <w:pgMar w:left="440" w:top="274" w:right="579" w:bottom="1440" w:gutter="0" w:footer="0" w:header="0"/>
        </w:sectPr>
      </w:pPr>
    </w:p>
    <w:bookmarkStart w:id="44" w:name="page45"/>
    <w:bookmarkEnd w:id="44"/>
    <w:p>
      <w:pPr>
        <w:ind w:left="960" w:right="160" w:hanging="532"/>
        <w:spacing w:after="0" w:line="277"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appointment of a liquidator, receiver, administrative receiver, administrator, compulsory manager or other similar officer in respect of the Borrower or any of its assets; or</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This Clause 19.6 shall not apply to any winding up petition which is frivolous or vexatious and is discharged, stayed or dismissed within twenty-eight days of commencement.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19.7  </w:t>
      </w:r>
      <w:r>
        <w:rPr>
          <w:rFonts w:ascii="Arial" w:cs="Arial" w:eastAsia="Arial" w:hAnsi="Arial"/>
          <w:sz w:val="18"/>
          <w:szCs w:val="18"/>
          <w:b w:val="1"/>
          <w:bCs w:val="1"/>
          <w:color w:val="auto"/>
        </w:rPr>
        <w:t>Creditors’ process</w:t>
      </w:r>
    </w:p>
    <w:p>
      <w:pPr>
        <w:spacing w:after="0" w:line="121"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Any expropriation, attachment, sequestration, distress or execution affects any asset or assets of the Borrower having an aggregate value of USD40,000,000.</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19.8  </w:t>
      </w:r>
      <w:r>
        <w:rPr>
          <w:rFonts w:ascii="Arial" w:cs="Arial" w:eastAsia="Arial" w:hAnsi="Arial"/>
          <w:sz w:val="18"/>
          <w:szCs w:val="18"/>
          <w:b w:val="1"/>
          <w:bCs w:val="1"/>
          <w:color w:val="auto"/>
        </w:rPr>
        <w:t>Unlawfulness</w:t>
      </w:r>
    </w:p>
    <w:p>
      <w:pPr>
        <w:spacing w:after="0" w:line="121" w:lineRule="exact"/>
        <w:rPr>
          <w:sz w:val="20"/>
          <w:szCs w:val="20"/>
          <w:color w:val="auto"/>
        </w:rPr>
      </w:pPr>
    </w:p>
    <w:p>
      <w:pPr>
        <w:ind w:left="440" w:right="220"/>
        <w:spacing w:after="0" w:line="277" w:lineRule="auto"/>
        <w:rPr>
          <w:sz w:val="20"/>
          <w:szCs w:val="20"/>
          <w:color w:val="auto"/>
        </w:rPr>
      </w:pPr>
      <w:r>
        <w:rPr>
          <w:rFonts w:ascii="Arial" w:cs="Arial" w:eastAsia="Arial" w:hAnsi="Arial"/>
          <w:sz w:val="18"/>
          <w:szCs w:val="18"/>
          <w:color w:val="auto"/>
        </w:rPr>
        <w:t>It is or becomes unlawful for the Borrower to perform any of its material obligations under the Finance Documents to the extent that the Lender reasonably considers to be materially prejudicial to the interests of the Lender under the Finance Documents..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19.9  </w:t>
      </w:r>
      <w:r>
        <w:rPr>
          <w:rFonts w:ascii="Arial" w:cs="Arial" w:eastAsia="Arial" w:hAnsi="Arial"/>
          <w:sz w:val="18"/>
          <w:szCs w:val="18"/>
          <w:b w:val="1"/>
          <w:bCs w:val="1"/>
          <w:color w:val="auto"/>
        </w:rPr>
        <w:t>Repudiation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repudiates a Finance Document or evidences an intention to repudiate a Finance Document.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19.10 </w:t>
      </w:r>
      <w:r>
        <w:rPr>
          <w:rFonts w:ascii="Arial" w:cs="Arial" w:eastAsia="Arial" w:hAnsi="Arial"/>
          <w:sz w:val="18"/>
          <w:szCs w:val="18"/>
          <w:b w:val="1"/>
          <w:bCs w:val="1"/>
          <w:color w:val="auto"/>
        </w:rPr>
        <w:t>Material adverse change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event or series of events occurs which has a Material Adverse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19.11 </w:t>
      </w:r>
      <w:r>
        <w:rPr>
          <w:rFonts w:ascii="Arial" w:cs="Arial" w:eastAsia="Arial" w:hAnsi="Arial"/>
          <w:sz w:val="18"/>
          <w:szCs w:val="18"/>
          <w:b w:val="1"/>
          <w:bCs w:val="1"/>
          <w:color w:val="auto"/>
        </w:rPr>
        <w:t>Acceleration</w:t>
      </w:r>
    </w:p>
    <w:p>
      <w:pPr>
        <w:spacing w:after="0" w:line="121" w:lineRule="exact"/>
        <w:rPr>
          <w:sz w:val="20"/>
          <w:szCs w:val="20"/>
          <w:color w:val="auto"/>
        </w:rPr>
      </w:pPr>
    </w:p>
    <w:p>
      <w:pPr>
        <w:ind w:left="44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Lender, by notice to the Borrower:</w:t>
      </w:r>
    </w:p>
    <w:p>
      <w:pPr>
        <w:spacing w:after="0" w:line="76" w:lineRule="exact"/>
        <w:rPr>
          <w:sz w:val="20"/>
          <w:szCs w:val="20"/>
          <w:color w:val="auto"/>
        </w:rPr>
      </w:pPr>
    </w:p>
    <w:p>
      <w:pPr>
        <w:ind w:left="960" w:right="16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cancel the Available Facility whereupon the Available Facility shall immediately be cancelled and the Facility shall immediately cease to be available for further utilisation;</w:t>
      </w:r>
    </w:p>
    <w:p>
      <w:pPr>
        <w:spacing w:after="0" w:line="75" w:lineRule="exact"/>
        <w:rPr>
          <w:rFonts w:ascii="Arial" w:cs="Arial" w:eastAsia="Arial" w:hAnsi="Arial"/>
          <w:sz w:val="18"/>
          <w:szCs w:val="18"/>
          <w:color w:val="auto"/>
        </w:rPr>
      </w:pPr>
    </w:p>
    <w:p>
      <w:pPr>
        <w:ind w:left="960" w:right="620" w:hanging="532"/>
        <w:spacing w:after="0" w:line="308" w:lineRule="auto"/>
        <w:tabs>
          <w:tab w:leader="none" w:pos="9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51" w:lineRule="exact"/>
        <w:rPr>
          <w:rFonts w:ascii="Arial" w:cs="Arial" w:eastAsia="Arial" w:hAnsi="Arial"/>
          <w:sz w:val="17"/>
          <w:szCs w:val="17"/>
          <w:color w:val="auto"/>
        </w:rPr>
      </w:pPr>
    </w:p>
    <w:p>
      <w:pPr>
        <w:ind w:left="960" w:right="2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Agent on the instructions of the Lender.</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00"/>
          </w:cols>
          <w:pgMar w:left="440" w:top="274" w:right="459" w:bottom="1440" w:gutter="0" w:footer="0" w:header="0"/>
        </w:sectPr>
      </w:pPr>
    </w:p>
    <w:bookmarkStart w:id="45" w:name="page46"/>
    <w:bookmarkEnd w:id="45"/>
    <w:p>
      <w:pPr>
        <w:ind w:left="424" w:hanging="424"/>
        <w:spacing w:after="0"/>
        <w:tabs>
          <w:tab w:leader="none" w:pos="42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TO THE LENDER</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Assignments and transfers by the Lender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135" w:lineRule="exact"/>
        <w:rPr>
          <w:sz w:val="20"/>
          <w:szCs w:val="20"/>
          <w:color w:val="auto"/>
        </w:rPr>
      </w:pPr>
    </w:p>
    <w:p>
      <w:pPr>
        <w:ind w:left="964" w:hanging="532"/>
        <w:spacing w:after="0"/>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 (i) a Lender or an Affiliate of a Lender; or (ii) with the prior consent of the Borrower, to any other person.</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Security over Lenders’ rights</w:t>
      </w:r>
    </w:p>
    <w:p>
      <w:pPr>
        <w:spacing w:after="0" w:line="121"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In addition to the other rights provided to Lender(s) under this Clause 20.2, any Lender may without consulting with or obtaining consent from the Borrower, at any time charge, assign or otherwise create Security in or over (whether by way of collateral or otherwise) all or any of its rights under any Finance Document to secure obligations of that Lender including, without limitation:</w:t>
      </w:r>
    </w:p>
    <w:p>
      <w:pPr>
        <w:spacing w:after="0" w:line="89" w:lineRule="exact"/>
        <w:rPr>
          <w:sz w:val="20"/>
          <w:szCs w:val="20"/>
          <w:color w:val="auto"/>
        </w:rPr>
      </w:pPr>
    </w:p>
    <w:p>
      <w:pPr>
        <w:ind w:left="964" w:hanging="532"/>
        <w:spacing w:after="0"/>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130"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except that no such charge, assignment or Security shall:</w:t>
      </w:r>
    </w:p>
    <w:p>
      <w:pPr>
        <w:spacing w:after="0" w:line="131" w:lineRule="exact"/>
        <w:rPr>
          <w:sz w:val="20"/>
          <w:szCs w:val="20"/>
          <w:color w:val="auto"/>
        </w:rPr>
      </w:pPr>
    </w:p>
    <w:p>
      <w:pPr>
        <w:ind w:left="1424" w:right="360" w:hanging="439"/>
        <w:spacing w:after="0" w:line="277" w:lineRule="auto"/>
        <w:tabs>
          <w:tab w:leader="none" w:pos="142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release that Lender from any of its obligations under the Finance Documents or substitute the beneficiary of the relevant charge, assignment or Security for the Lender as a party to any of the Finance Documents; or</w:t>
      </w:r>
    </w:p>
    <w:p>
      <w:pPr>
        <w:spacing w:after="0" w:line="75" w:lineRule="exact"/>
        <w:rPr>
          <w:rFonts w:ascii="Arial" w:cs="Arial" w:eastAsia="Arial" w:hAnsi="Arial"/>
          <w:sz w:val="18"/>
          <w:szCs w:val="18"/>
          <w:color w:val="auto"/>
        </w:rPr>
      </w:pPr>
    </w:p>
    <w:p>
      <w:pPr>
        <w:ind w:left="1424" w:right="160" w:hanging="439"/>
        <w:spacing w:after="0" w:line="277" w:lineRule="auto"/>
        <w:tabs>
          <w:tab w:leader="none" w:pos="142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require any payments to be made by the Borrower other than or in excess of, or grant to any person any more extensive rights than, those required to be made or granted to the relevant Lender under the Finance Documents.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CHANGES TO THE BORROWER</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Borrower may not assign any of its rights or transfer any of its rights or obligations under the Finance Documents.</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ROLE OF THE AGENT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b w:val="1"/>
          <w:bCs w:val="1"/>
          <w:color w:val="auto"/>
        </w:rPr>
        <w:t>Appointment of the Agent</w:t>
      </w:r>
    </w:p>
    <w:p>
      <w:pPr>
        <w:spacing w:after="0" w:line="135" w:lineRule="exact"/>
        <w:rPr>
          <w:sz w:val="20"/>
          <w:szCs w:val="20"/>
          <w:color w:val="auto"/>
        </w:rPr>
      </w:pPr>
    </w:p>
    <w:p>
      <w:pPr>
        <w:ind w:left="964" w:hanging="532"/>
        <w:spacing w:after="0"/>
        <w:tabs>
          <w:tab w:leader="none" w:pos="964"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Lender appoints the Agent to act as its agent under and in connection with the Finance Documents.</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004"/>
          </w:cols>
          <w:pgMar w:left="436" w:top="270" w:right="459" w:bottom="1440" w:gutter="0" w:footer="0" w:header="0"/>
        </w:sectPr>
      </w:pPr>
    </w:p>
    <w:bookmarkStart w:id="46" w:name="page47"/>
    <w:bookmarkEnd w:id="46"/>
    <w:p>
      <w:pPr>
        <w:ind w:left="960" w:right="160" w:hanging="532"/>
        <w:spacing w:after="0" w:line="263" w:lineRule="auto"/>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b w:val="1"/>
          <w:bCs w:val="1"/>
          <w:color w:val="auto"/>
        </w:rPr>
        <w:t>Instructions</w:t>
      </w:r>
    </w:p>
    <w:p>
      <w:pPr>
        <w:spacing w:after="0" w:line="135" w:lineRule="exact"/>
        <w:rPr>
          <w:sz w:val="20"/>
          <w:szCs w:val="20"/>
          <w:color w:val="auto"/>
        </w:rPr>
      </w:pPr>
    </w:p>
    <w:p>
      <w:pPr>
        <w:ind w:left="960" w:right="220" w:hanging="53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Agent shall not be liable for any act (or omission) if it exercises or refrains from exercising any right, power, authority or discretion vested in it as Agent in accordance with any instructions given to it by the Lender.</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Lender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89" w:lineRule="exact"/>
        <w:rPr>
          <w:rFonts w:ascii="Arial" w:cs="Arial" w:eastAsia="Arial" w:hAnsi="Arial"/>
          <w:sz w:val="18"/>
          <w:szCs w:val="18"/>
          <w:color w:val="auto"/>
        </w:rPr>
      </w:pPr>
    </w:p>
    <w:p>
      <w:pPr>
        <w:jc w:val="both"/>
        <w:ind w:left="960" w:right="20" w:hanging="532"/>
        <w:spacing w:after="0" w:line="263"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the Lender under the relevant Finance Document and unless a contrary indication appears in a Finance Document, any instructions given to the Agent by the Lender shall override any conflicting instructions given by any other Parties and will be binding on all Finance Parties.</w:t>
      </w:r>
    </w:p>
    <w:p>
      <w:pPr>
        <w:spacing w:after="0" w:line="89" w:lineRule="exact"/>
        <w:rPr>
          <w:rFonts w:ascii="Arial" w:cs="Arial" w:eastAsia="Arial" w:hAnsi="Arial"/>
          <w:sz w:val="18"/>
          <w:szCs w:val="18"/>
          <w:color w:val="auto"/>
        </w:rPr>
      </w:pPr>
    </w:p>
    <w:p>
      <w:pPr>
        <w:ind w:left="960" w:right="100" w:hanging="532"/>
        <w:spacing w:after="0" w:line="286" w:lineRule="auto"/>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The Agent may refrain from acting in accordance with any instructions of the Lender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absence of instructions, the Agent may act (or refrain from acting) as it considers to be in the best interest of the Lender.</w:t>
      </w:r>
    </w:p>
    <w:p>
      <w:pPr>
        <w:spacing w:after="0" w:line="142" w:lineRule="exact"/>
        <w:rPr>
          <w:rFonts w:ascii="Arial" w:cs="Arial" w:eastAsia="Arial" w:hAnsi="Arial"/>
          <w:sz w:val="17"/>
          <w:szCs w:val="17"/>
          <w:color w:val="auto"/>
        </w:rPr>
      </w:pPr>
    </w:p>
    <w:p>
      <w:pPr>
        <w:ind w:left="960" w:right="660" w:hanging="53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Agent is not authorised to act on behalf of the Lender (without first obtaining the Lender’s consent) in any legal or arbitration proceedings relating to any Finance Document.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b w:val="1"/>
          <w:bCs w:val="1"/>
          <w:color w:val="auto"/>
        </w:rPr>
        <w:t>Duties of the Agent</w:t>
      </w:r>
    </w:p>
    <w:p>
      <w:pPr>
        <w:spacing w:after="0" w:line="135" w:lineRule="exact"/>
        <w:rPr>
          <w:sz w:val="20"/>
          <w:szCs w:val="20"/>
          <w:color w:val="auto"/>
        </w:rPr>
      </w:pPr>
    </w:p>
    <w:p>
      <w:pPr>
        <w:ind w:left="960" w:hanging="532"/>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130"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75"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980"/>
          </w:cols>
          <w:pgMar w:left="440" w:top="274" w:right="479" w:bottom="1440" w:gutter="0" w:footer="0" w:header="0"/>
        </w:sectPr>
      </w:pPr>
    </w:p>
    <w:bookmarkStart w:id="47" w:name="page48"/>
    <w:bookmarkEnd w:id="47"/>
    <w:p>
      <w:pPr>
        <w:ind w:left="960" w:hanging="532"/>
        <w:spacing w:after="0" w:line="27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Agent is aware of the non-payment of any principal, interest, commitment fee or other fee payable to a Finance Party (other than the Agent) under this Agreement, it shall promptly notify the other Finance Parties.</w:t>
      </w:r>
    </w:p>
    <w:p>
      <w:pPr>
        <w:spacing w:after="0" w:line="75"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b w:val="1"/>
          <w:bCs w:val="1"/>
          <w:color w:val="auto"/>
        </w:rPr>
        <w:t>No fiduciary duties</w:t>
      </w:r>
    </w:p>
    <w:p>
      <w:pPr>
        <w:spacing w:after="0" w:line="135" w:lineRule="exact"/>
        <w:rPr>
          <w:sz w:val="20"/>
          <w:szCs w:val="20"/>
          <w:color w:val="auto"/>
        </w:rPr>
      </w:pPr>
    </w:p>
    <w:p>
      <w:pPr>
        <w:ind w:left="960" w:hanging="532"/>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130" w:lineRule="exact"/>
        <w:rPr>
          <w:rFonts w:ascii="Arial" w:cs="Arial" w:eastAsia="Arial" w:hAnsi="Arial"/>
          <w:sz w:val="18"/>
          <w:szCs w:val="18"/>
          <w:color w:val="auto"/>
        </w:rPr>
      </w:pPr>
    </w:p>
    <w:p>
      <w:pPr>
        <w:ind w:right="260" w:firstLine="428"/>
        <w:spacing w:after="0" w:line="383" w:lineRule="auto"/>
        <w:tabs>
          <w:tab w:leader="none" w:pos="972"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Agent shall not be bound to account to the Lender for any sum or the profit element of any sum received by it for its own account. 22.5 </w:t>
      </w:r>
      <w:r>
        <w:rPr>
          <w:rFonts w:ascii="Arial" w:cs="Arial" w:eastAsia="Arial" w:hAnsi="Arial"/>
          <w:sz w:val="18"/>
          <w:szCs w:val="18"/>
          <w:b w:val="1"/>
          <w:bCs w:val="1"/>
          <w:color w:val="auto"/>
        </w:rPr>
        <w:t>Business with the Borrower</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Agent may accept deposits from, lend money to and generally engage in any kind of banking or other business with the Borrower.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22.6  </w:t>
      </w:r>
      <w:r>
        <w:rPr>
          <w:rFonts w:ascii="Arial" w:cs="Arial" w:eastAsia="Arial" w:hAnsi="Arial"/>
          <w:sz w:val="18"/>
          <w:szCs w:val="18"/>
          <w:b w:val="1"/>
          <w:bCs w:val="1"/>
          <w:color w:val="auto"/>
        </w:rPr>
        <w:t>Rights and discretions</w:t>
      </w:r>
    </w:p>
    <w:p>
      <w:pPr>
        <w:spacing w:after="0" w:line="135" w:lineRule="exact"/>
        <w:rPr>
          <w:sz w:val="20"/>
          <w:szCs w:val="20"/>
          <w:color w:val="auto"/>
        </w:rPr>
      </w:pPr>
    </w:p>
    <w:p>
      <w:pPr>
        <w:ind w:left="960" w:hanging="532"/>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rely on any representation, communication, notice or document believed by it to be genuine, correct and appropriately authorised;</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any instructions received by it from the Lender are duly given in accordance with the terms of the Finance Documents; and</w:t>
      </w:r>
    </w:p>
    <w:p>
      <w:pPr>
        <w:spacing w:after="0" w:line="153" w:lineRule="exact"/>
        <w:rPr>
          <w:rFonts w:ascii="Arial" w:cs="Arial" w:eastAsia="Arial" w:hAnsi="Arial"/>
          <w:sz w:val="16"/>
          <w:szCs w:val="16"/>
          <w:color w:val="auto"/>
        </w:rPr>
      </w:pPr>
    </w:p>
    <w:p>
      <w:pPr>
        <w:ind w:left="1960" w:hanging="533"/>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rely on a certificate from any person:</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26"/>
        </w:numPr>
        <w:rPr>
          <w:rFonts w:ascii="Arial" w:cs="Arial" w:eastAsia="Arial" w:hAnsi="Arial"/>
          <w:sz w:val="16"/>
          <w:szCs w:val="16"/>
          <w:color w:val="auto"/>
        </w:rPr>
      </w:pPr>
      <w:r>
        <w:rPr>
          <w:rFonts w:ascii="Arial" w:cs="Arial" w:eastAsia="Arial" w:hAnsi="Arial"/>
          <w:sz w:val="16"/>
          <w:szCs w:val="16"/>
          <w:color w:val="auto"/>
        </w:rPr>
        <w:t>as to any matter of fact or circumstance which might reasonably be expected to be within the knowledge of that person; or</w:t>
      </w:r>
    </w:p>
    <w:p>
      <w:pPr>
        <w:spacing w:after="0" w:line="153" w:lineRule="exact"/>
        <w:rPr>
          <w:rFonts w:ascii="Arial" w:cs="Arial" w:eastAsia="Arial" w:hAnsi="Arial"/>
          <w:sz w:val="16"/>
          <w:szCs w:val="16"/>
          <w:color w:val="auto"/>
        </w:rPr>
      </w:pPr>
    </w:p>
    <w:p>
      <w:pPr>
        <w:ind w:left="1960" w:hanging="533"/>
        <w:spacing w:after="0"/>
        <w:tabs>
          <w:tab w:leader="none" w:pos="1960" w:val="left"/>
        </w:tabs>
        <w:numPr>
          <w:ilvl w:val="2"/>
          <w:numId w:val="126"/>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420" w:right="52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0920"/>
          </w:cols>
          <w:pgMar w:left="440" w:top="274" w:right="539" w:bottom="1440" w:gutter="0" w:footer="0" w:header="0"/>
        </w:sectPr>
      </w:pPr>
    </w:p>
    <w:bookmarkStart w:id="48" w:name="page49"/>
    <w:bookmarkEnd w:id="48"/>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may assume (unless it has received notice to the contrary in its capacity as agent for the Lender) that:</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no Default has occurred (unless it has actual knowledge of a Default arising under Clause 19.1 (</w:t>
      </w:r>
      <w:r>
        <w:rPr>
          <w:rFonts w:ascii="Arial" w:cs="Arial" w:eastAsia="Arial" w:hAnsi="Arial"/>
          <w:sz w:val="18"/>
          <w:szCs w:val="18"/>
          <w:i w:val="1"/>
          <w:iCs w:val="1"/>
          <w:color w:val="auto"/>
        </w:rPr>
        <w:t>Non-payment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the Lender has not been exercised.</w:t>
      </w:r>
    </w:p>
    <w:p>
      <w:pPr>
        <w:spacing w:after="0" w:line="130"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75"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 if the Agent in its reasonable opinion deems this to be necessary.</w:t>
      </w:r>
    </w:p>
    <w:p>
      <w:pPr>
        <w:spacing w:after="0" w:line="89"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130"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75" w:lineRule="exact"/>
        <w:rPr>
          <w:rFonts w:ascii="Arial" w:cs="Arial" w:eastAsia="Arial" w:hAnsi="Arial"/>
          <w:sz w:val="18"/>
          <w:szCs w:val="18"/>
          <w:color w:val="auto"/>
        </w:rPr>
      </w:pPr>
    </w:p>
    <w:p>
      <w:pPr>
        <w:ind w:left="960" w:right="240" w:hanging="532"/>
        <w:spacing w:after="0" w:line="263"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89" w:lineRule="exact"/>
        <w:rPr>
          <w:rFonts w:ascii="Arial" w:cs="Arial" w:eastAsia="Arial" w:hAnsi="Arial"/>
          <w:sz w:val="18"/>
          <w:szCs w:val="18"/>
          <w:color w:val="auto"/>
        </w:rPr>
      </w:pPr>
    </w:p>
    <w:p>
      <w:pPr>
        <w:ind w:left="960" w:right="140" w:hanging="532"/>
        <w:spacing w:after="0" w:line="259" w:lineRule="auto"/>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22.7  </w:t>
      </w:r>
      <w:r>
        <w:rPr>
          <w:rFonts w:ascii="Arial" w:cs="Arial" w:eastAsia="Arial" w:hAnsi="Arial"/>
          <w:sz w:val="18"/>
          <w:szCs w:val="18"/>
          <w:b w:val="1"/>
          <w:bCs w:val="1"/>
          <w:color w:val="auto"/>
        </w:rPr>
        <w:t>Responsibility for documentation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Agent is not responsible or liable for:</w:t>
      </w:r>
    </w:p>
    <w:p>
      <w:pPr>
        <w:spacing w:after="0" w:line="131" w:lineRule="exact"/>
        <w:rPr>
          <w:sz w:val="20"/>
          <w:szCs w:val="20"/>
          <w:color w:val="auto"/>
        </w:rPr>
      </w:pPr>
    </w:p>
    <w:p>
      <w:pPr>
        <w:ind w:left="960" w:right="40" w:hanging="532"/>
        <w:spacing w:after="0" w:line="311" w:lineRule="auto"/>
        <w:tabs>
          <w:tab w:leader="none" w:pos="9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adequacy, accuracy or completeness of any information (whether oral or written) supplied by the Agent, the Borrower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81" w:lineRule="exact"/>
        <w:rPr>
          <w:rFonts w:ascii="Arial" w:cs="Arial" w:eastAsia="Arial" w:hAnsi="Arial"/>
          <w:sz w:val="16"/>
          <w:szCs w:val="16"/>
          <w:color w:val="auto"/>
        </w:rPr>
      </w:pPr>
    </w:p>
    <w:p>
      <w:pPr>
        <w:ind w:left="5420" w:hanging="111"/>
        <w:spacing w:after="0"/>
        <w:tabs>
          <w:tab w:leader="none" w:pos="542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1020"/>
          </w:cols>
          <w:pgMar w:left="440" w:top="274" w:right="439" w:bottom="1440" w:gutter="0" w:footer="0" w:header="0"/>
        </w:sectPr>
      </w:pPr>
    </w:p>
    <w:bookmarkStart w:id="49" w:name="page50"/>
    <w:bookmarkEnd w:id="49"/>
    <w:p>
      <w:pPr>
        <w:ind w:left="960" w:hanging="532"/>
        <w:spacing w:after="0" w:line="277"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legality, validity, effectiveness, adequacy or enforceability of any Finance Document or any other agreement, arrangement or document entered into, made or executed in anticipation of, under or in connection with any Finance Document;</w:t>
      </w:r>
    </w:p>
    <w:p>
      <w:pPr>
        <w:spacing w:after="0" w:line="75" w:lineRule="exact"/>
        <w:rPr>
          <w:rFonts w:ascii="Arial" w:cs="Arial" w:eastAsia="Arial" w:hAnsi="Arial"/>
          <w:sz w:val="18"/>
          <w:szCs w:val="18"/>
          <w:color w:val="auto"/>
        </w:rPr>
      </w:pPr>
    </w:p>
    <w:p>
      <w:pPr>
        <w:ind w:left="960" w:right="380" w:hanging="532"/>
        <w:spacing w:after="0" w:line="308" w:lineRule="auto"/>
        <w:tabs>
          <w:tab w:leader="none" w:pos="9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22.8  </w:t>
      </w:r>
      <w:r>
        <w:rPr>
          <w:rFonts w:ascii="Arial" w:cs="Arial" w:eastAsia="Arial" w:hAnsi="Arial"/>
          <w:sz w:val="18"/>
          <w:szCs w:val="18"/>
          <w:b w:val="1"/>
          <w:bCs w:val="1"/>
          <w:color w:val="auto"/>
        </w:rPr>
        <w:t>No duty to monitor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Agent shall not be bound to enquire:</w:t>
      </w:r>
    </w:p>
    <w:p>
      <w:pPr>
        <w:spacing w:after="0" w:line="131" w:lineRule="exact"/>
        <w:rPr>
          <w:sz w:val="20"/>
          <w:szCs w:val="20"/>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22.9  </w:t>
      </w:r>
      <w:r>
        <w:rPr>
          <w:rFonts w:ascii="Arial" w:cs="Arial" w:eastAsia="Arial" w:hAnsi="Arial"/>
          <w:sz w:val="18"/>
          <w:szCs w:val="18"/>
          <w:b w:val="1"/>
          <w:bCs w:val="1"/>
          <w:color w:val="auto"/>
        </w:rPr>
        <w:t>Exclusion of liability</w:t>
      </w:r>
    </w:p>
    <w:p>
      <w:pPr>
        <w:spacing w:after="0" w:line="135" w:lineRule="exact"/>
        <w:rPr>
          <w:sz w:val="20"/>
          <w:szCs w:val="20"/>
          <w:color w:val="auto"/>
        </w:rPr>
      </w:pPr>
    </w:p>
    <w:p>
      <w:pPr>
        <w:ind w:left="960" w:right="280" w:hanging="532"/>
        <w:spacing w:after="0" w:line="277" w:lineRule="auto"/>
        <w:tabs>
          <w:tab w:leader="none" w:pos="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for:</w:t>
      </w:r>
    </w:p>
    <w:p>
      <w:pPr>
        <w:spacing w:after="0" w:line="75" w:lineRule="exact"/>
        <w:rPr>
          <w:rFonts w:ascii="Arial" w:cs="Arial" w:eastAsia="Arial" w:hAnsi="Arial"/>
          <w:sz w:val="18"/>
          <w:szCs w:val="18"/>
          <w:color w:val="auto"/>
        </w:rPr>
      </w:pPr>
    </w:p>
    <w:p>
      <w:pPr>
        <w:ind w:left="1420" w:right="220" w:hanging="439"/>
        <w:spacing w:after="0" w:line="263"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p>
      <w:pPr>
        <w:spacing w:after="0" w:line="89" w:lineRule="exact"/>
        <w:rPr>
          <w:rFonts w:ascii="Arial" w:cs="Arial" w:eastAsia="Arial" w:hAnsi="Arial"/>
          <w:sz w:val="18"/>
          <w:szCs w:val="18"/>
          <w:color w:val="auto"/>
        </w:rPr>
      </w:pPr>
    </w:p>
    <w:p>
      <w:pPr>
        <w:ind w:left="1420" w:right="120" w:hanging="439"/>
        <w:spacing w:after="0" w:line="263" w:lineRule="auto"/>
        <w:tabs>
          <w:tab w:leader="none" w:pos="142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89" w:lineRule="exact"/>
        <w:rPr>
          <w:rFonts w:ascii="Arial" w:cs="Arial" w:eastAsia="Arial" w:hAnsi="Arial"/>
          <w:sz w:val="18"/>
          <w:szCs w:val="18"/>
          <w:color w:val="auto"/>
        </w:rPr>
      </w:pPr>
    </w:p>
    <w:p>
      <w:pPr>
        <w:ind w:left="1960" w:hanging="533"/>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2"/>
          <w:numId w:val="131"/>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3"/>
          <w:numId w:val="131"/>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80"/>
          </w:cols>
          <w:pgMar w:left="440" w:top="274" w:right="479" w:bottom="1440" w:gutter="0" w:footer="0" w:header="0"/>
        </w:sectPr>
      </w:pPr>
    </w:p>
    <w:bookmarkStart w:id="50" w:name="page51"/>
    <w:bookmarkEnd w:id="50"/>
    <w:p>
      <w:pPr>
        <w:ind w:left="992"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82" w:lineRule="exact"/>
        <w:rPr>
          <w:sz w:val="20"/>
          <w:szCs w:val="20"/>
          <w:color w:val="auto"/>
        </w:rPr>
      </w:pPr>
    </w:p>
    <w:p>
      <w:pPr>
        <w:ind w:left="532" w:right="120" w:hanging="532"/>
        <w:spacing w:after="0" w:line="263" w:lineRule="auto"/>
        <w:tabs>
          <w:tab w:leader="none" w:pos="5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w:t>
      </w:r>
    </w:p>
    <w:p>
      <w:pPr>
        <w:spacing w:after="0" w:line="89" w:lineRule="exact"/>
        <w:rPr>
          <w:rFonts w:ascii="Arial" w:cs="Arial" w:eastAsia="Arial" w:hAnsi="Arial"/>
          <w:sz w:val="18"/>
          <w:szCs w:val="18"/>
          <w:color w:val="auto"/>
        </w:rPr>
      </w:pPr>
    </w:p>
    <w:p>
      <w:pPr>
        <w:ind w:left="532" w:hanging="532"/>
        <w:spacing w:after="0" w:line="286" w:lineRule="auto"/>
        <w:tabs>
          <w:tab w:leader="none" w:pos="532"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70" w:lineRule="exact"/>
        <w:rPr>
          <w:rFonts w:ascii="Arial" w:cs="Arial" w:eastAsia="Arial" w:hAnsi="Arial"/>
          <w:sz w:val="17"/>
          <w:szCs w:val="17"/>
          <w:color w:val="auto"/>
        </w:rPr>
      </w:pPr>
    </w:p>
    <w:p>
      <w:pPr>
        <w:ind w:left="532" w:hanging="532"/>
        <w:spacing w:after="0"/>
        <w:tabs>
          <w:tab w:leader="none" w:pos="5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any check on the extent to which any transaction contemplated by this Agreement might be unlawful for any Lender,</w:t>
      </w:r>
    </w:p>
    <w:p>
      <w:pPr>
        <w:spacing w:after="0" w:line="117" w:lineRule="exact"/>
        <w:rPr>
          <w:sz w:val="20"/>
          <w:szCs w:val="20"/>
          <w:color w:val="auto"/>
        </w:rPr>
      </w:pPr>
    </w:p>
    <w:p>
      <w:pPr>
        <w:ind w:left="552" w:right="160"/>
        <w:spacing w:after="0" w:line="277" w:lineRule="auto"/>
        <w:rPr>
          <w:sz w:val="20"/>
          <w:szCs w:val="20"/>
          <w:color w:val="auto"/>
        </w:rPr>
      </w:pPr>
      <w:r>
        <w:rPr>
          <w:rFonts w:ascii="Arial" w:cs="Arial" w:eastAsia="Arial" w:hAnsi="Arial"/>
          <w:sz w:val="18"/>
          <w:szCs w:val="18"/>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76" w:lineRule="exact"/>
        <w:rPr>
          <w:sz w:val="20"/>
          <w:szCs w:val="20"/>
          <w:color w:val="auto"/>
        </w:rPr>
      </w:pPr>
    </w:p>
    <w:p>
      <w:pPr>
        <w:ind w:left="532" w:right="20" w:hanging="532"/>
        <w:spacing w:after="0" w:line="293" w:lineRule="auto"/>
        <w:tabs>
          <w:tab w:leader="none" w:pos="532"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96" w:lineRule="exact"/>
        <w:rPr>
          <w:rFonts w:ascii="Arial" w:cs="Arial" w:eastAsia="Arial" w:hAnsi="Arial"/>
          <w:sz w:val="16"/>
          <w:szCs w:val="16"/>
          <w:color w:val="auto"/>
        </w:rPr>
      </w:pPr>
    </w:p>
    <w:p>
      <w:pPr>
        <w:ind w:left="4992" w:hanging="111"/>
        <w:spacing w:after="0"/>
        <w:tabs>
          <w:tab w:leader="none" w:pos="499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0572"/>
          </w:cols>
          <w:pgMar w:left="868" w:top="274"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22.10 </w:t>
      </w:r>
      <w:r>
        <w:rPr>
          <w:rFonts w:ascii="Arial" w:cs="Arial" w:eastAsia="Arial" w:hAnsi="Arial"/>
          <w:sz w:val="18"/>
          <w:szCs w:val="18"/>
          <w:b w:val="1"/>
          <w:bCs w:val="1"/>
          <w:color w:val="auto"/>
        </w:rPr>
        <w:t>Lender’s indemnity to the Agent</w:t>
      </w:r>
    </w:p>
    <w:p>
      <w:pPr>
        <w:spacing w:after="0" w:line="135" w:lineRule="exact"/>
        <w:rPr>
          <w:sz w:val="20"/>
          <w:szCs w:val="20"/>
          <w:color w:val="auto"/>
        </w:rPr>
      </w:pPr>
    </w:p>
    <w:p>
      <w:pPr>
        <w:ind w:left="960" w:right="20" w:hanging="532"/>
        <w:spacing w:after="0" w:line="255" w:lineRule="auto"/>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Lender shall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24.10 (</w:t>
      </w:r>
      <w:r>
        <w:rPr>
          <w:rFonts w:ascii="Arial" w:cs="Arial" w:eastAsia="Arial" w:hAnsi="Arial"/>
          <w:sz w:val="18"/>
          <w:szCs w:val="18"/>
          <w:i w:val="1"/>
          <w:iCs w:val="1"/>
          <w:color w:val="auto"/>
        </w:rPr>
        <w:t>Disruption to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systems etc.</w:t>
      </w:r>
      <w:r>
        <w:rPr>
          <w:rFonts w:ascii="Arial" w:cs="Arial" w:eastAsia="Arial" w:hAnsi="Arial"/>
          <w:sz w:val="18"/>
          <w:szCs w:val="18"/>
          <w:color w:val="auto"/>
        </w:rPr>
        <w:t>), notwithstanding the Agent’s negligence, gross negligence or any other category of liability whatsoever but not including any</w:t>
      </w:r>
      <w:r>
        <w:rPr>
          <w:rFonts w:ascii="Arial" w:cs="Arial" w:eastAsia="Arial" w:hAnsi="Arial"/>
          <w:sz w:val="18"/>
          <w:szCs w:val="18"/>
          <w:i w:val="1"/>
          <w:iCs w:val="1"/>
          <w:color w:val="auto"/>
        </w:rPr>
        <w:t xml:space="preserve"> </w:t>
      </w:r>
      <w:r>
        <w:rPr>
          <w:rFonts w:ascii="Arial" w:cs="Arial" w:eastAsia="Arial" w:hAnsi="Arial"/>
          <w:sz w:val="18"/>
          <w:szCs w:val="18"/>
          <w:color w:val="auto"/>
        </w:rPr>
        <w:t>claim based on the fraud of the Agent) in acting as Agent under the Finance Documents (unless the Agent has been reimbursed by the Borrower pursuant to a Finance Document).</w:t>
      </w:r>
    </w:p>
    <w:p>
      <w:pPr>
        <w:spacing w:after="0" w:line="97"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Borrower shall immediately on demand reimburse the Lender for any payment that Lender makes to the Agent pursuant to paragraph</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(a)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22.11 </w:t>
      </w: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960" w:right="380" w:hanging="532"/>
        <w:spacing w:after="0" w:line="27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5" w:lineRule="exact"/>
        <w:rPr>
          <w:rFonts w:ascii="Arial" w:cs="Arial" w:eastAsia="Arial" w:hAnsi="Arial"/>
          <w:sz w:val="18"/>
          <w:szCs w:val="18"/>
          <w:color w:val="auto"/>
        </w:rPr>
      </w:pPr>
    </w:p>
    <w:p>
      <w:pPr>
        <w:ind w:left="960" w:right="160" w:hanging="532"/>
        <w:spacing w:after="0" w:line="277" w:lineRule="auto"/>
        <w:tabs>
          <w:tab w:leader="none" w:pos="9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22.12 </w:t>
      </w:r>
      <w:r>
        <w:rPr>
          <w:rFonts w:ascii="Arial" w:cs="Arial" w:eastAsia="Arial" w:hAnsi="Arial"/>
          <w:sz w:val="18"/>
          <w:szCs w:val="18"/>
          <w:b w:val="1"/>
          <w:bCs w:val="1"/>
          <w:color w:val="auto"/>
        </w:rPr>
        <w:t>Relationship with the Lender</w:t>
      </w:r>
    </w:p>
    <w:p>
      <w:pPr>
        <w:spacing w:after="0" w:line="135" w:lineRule="exact"/>
        <w:rPr>
          <w:sz w:val="20"/>
          <w:szCs w:val="20"/>
          <w:color w:val="auto"/>
        </w:rPr>
      </w:pPr>
    </w:p>
    <w:p>
      <w:pPr>
        <w:ind w:left="960" w:right="240" w:hanging="532"/>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130"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62" w:lineRule="exact"/>
        <w:rPr>
          <w:sz w:val="20"/>
          <w:szCs w:val="20"/>
          <w:color w:val="auto"/>
        </w:rPr>
      </w:pPr>
    </w:p>
    <w:p>
      <w:pPr>
        <w:ind w:left="980" w:right="16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76" w:lineRule="exact"/>
        <w:rPr>
          <w:sz w:val="20"/>
          <w:szCs w:val="20"/>
          <w:color w:val="auto"/>
        </w:rPr>
      </w:pPr>
    </w:p>
    <w:p>
      <w:pPr>
        <w:ind w:left="960" w:hanging="532"/>
        <w:spacing w:after="0" w:line="290" w:lineRule="auto"/>
        <w:tabs>
          <w:tab w:leader="none" w:pos="9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26.5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26.2 (</w:t>
      </w:r>
      <w:r>
        <w:rPr>
          <w:rFonts w:ascii="Arial" w:cs="Arial" w:eastAsia="Arial" w:hAnsi="Arial"/>
          <w:sz w:val="16"/>
          <w:szCs w:val="16"/>
          <w:i w:val="1"/>
          <w:iCs w:val="1"/>
          <w:color w:val="auto"/>
        </w:rPr>
        <w:t>Addresses</w:t>
      </w:r>
      <w:r>
        <w:rPr>
          <w:rFonts w:ascii="Arial" w:cs="Arial" w:eastAsia="Arial" w:hAnsi="Arial"/>
          <w:sz w:val="16"/>
          <w:szCs w:val="16"/>
          <w:color w:val="auto"/>
        </w:rPr>
        <w:t>) and paragraph (a)(ii) of Clause 26.5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the Lender.</w:t>
      </w:r>
    </w:p>
    <w:p>
      <w:pPr>
        <w:spacing w:after="0" w:line="97" w:lineRule="exact"/>
        <w:rPr>
          <w:rFonts w:ascii="Arial" w:cs="Arial" w:eastAsia="Arial" w:hAnsi="Arial"/>
          <w:sz w:val="16"/>
          <w:szCs w:val="16"/>
          <w:color w:val="auto"/>
        </w:rPr>
      </w:pPr>
    </w:p>
    <w:p>
      <w:pPr>
        <w:ind w:left="5420" w:hanging="111"/>
        <w:spacing w:after="0"/>
        <w:tabs>
          <w:tab w:leader="none" w:pos="5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0960"/>
          </w:cols>
          <w:pgMar w:left="440" w:top="270" w:right="499" w:bottom="1440" w:gutter="0" w:footer="0" w:header="0"/>
        </w:sectPr>
      </w:pPr>
    </w:p>
    <w:bookmarkStart w:id="52" w:name="page53"/>
    <w:bookmarkEnd w:id="5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22.13 </w:t>
      </w:r>
      <w:r>
        <w:rPr>
          <w:rFonts w:ascii="Arial" w:cs="Arial" w:eastAsia="Arial" w:hAnsi="Arial"/>
          <w:sz w:val="18"/>
          <w:szCs w:val="18"/>
          <w:b w:val="1"/>
          <w:bCs w:val="1"/>
          <w:color w:val="auto"/>
        </w:rPr>
        <w:t>Credit appraisal by the Lender</w:t>
      </w:r>
    </w:p>
    <w:p>
      <w:pPr>
        <w:spacing w:after="0" w:line="121" w:lineRule="exact"/>
        <w:rPr>
          <w:sz w:val="20"/>
          <w:szCs w:val="20"/>
          <w:color w:val="auto"/>
        </w:rPr>
      </w:pPr>
    </w:p>
    <w:p>
      <w:pPr>
        <w:ind w:left="444" w:right="60"/>
        <w:spacing w:after="0" w:line="286" w:lineRule="auto"/>
        <w:rPr>
          <w:sz w:val="20"/>
          <w:szCs w:val="20"/>
          <w:color w:val="auto"/>
        </w:rPr>
      </w:pPr>
      <w:r>
        <w:rPr>
          <w:rFonts w:ascii="Arial" w:cs="Arial" w:eastAsia="Arial" w:hAnsi="Arial"/>
          <w:sz w:val="17"/>
          <w:szCs w:val="17"/>
          <w:color w:val="auto"/>
        </w:rPr>
        <w:t>Without affecting the responsibility of the Borrower for information supplied by it or on its behalf in connection with any Finance Document, the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71" w:lineRule="exact"/>
        <w:rPr>
          <w:sz w:val="20"/>
          <w:szCs w:val="20"/>
          <w:color w:val="auto"/>
        </w:rPr>
      </w:pPr>
    </w:p>
    <w:p>
      <w:pPr>
        <w:ind w:left="964" w:hanging="532"/>
        <w:spacing w:after="0"/>
        <w:tabs>
          <w:tab w:leader="none" w:pos="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financial condition, status and nature of the Borrower;</w:t>
      </w:r>
    </w:p>
    <w:p>
      <w:pPr>
        <w:spacing w:after="0" w:line="130" w:lineRule="exact"/>
        <w:rPr>
          <w:rFonts w:ascii="Arial" w:cs="Arial" w:eastAsia="Arial" w:hAnsi="Arial"/>
          <w:sz w:val="18"/>
          <w:szCs w:val="18"/>
          <w:color w:val="auto"/>
        </w:rPr>
      </w:pPr>
    </w:p>
    <w:p>
      <w:pPr>
        <w:ind w:left="964" w:right="620" w:hanging="532"/>
        <w:spacing w:after="0" w:line="342" w:lineRule="auto"/>
        <w:tabs>
          <w:tab w:leader="none" w:pos="964"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29" w:lineRule="exact"/>
        <w:rPr>
          <w:rFonts w:ascii="Arial" w:cs="Arial" w:eastAsia="Arial" w:hAnsi="Arial"/>
          <w:sz w:val="16"/>
          <w:szCs w:val="16"/>
          <w:color w:val="auto"/>
        </w:rPr>
      </w:pPr>
    </w:p>
    <w:p>
      <w:pPr>
        <w:ind w:left="964" w:right="40" w:hanging="532"/>
        <w:spacing w:after="0" w:line="286" w:lineRule="auto"/>
        <w:tabs>
          <w:tab w:leader="none" w:pos="96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whether the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70" w:lineRule="exact"/>
        <w:rPr>
          <w:rFonts w:ascii="Arial" w:cs="Arial" w:eastAsia="Arial" w:hAnsi="Arial"/>
          <w:sz w:val="17"/>
          <w:szCs w:val="17"/>
          <w:color w:val="auto"/>
        </w:rPr>
      </w:pPr>
    </w:p>
    <w:p>
      <w:pPr>
        <w:ind w:left="964" w:right="260" w:hanging="532"/>
        <w:spacing w:after="0" w:line="259" w:lineRule="auto"/>
        <w:tabs>
          <w:tab w:leader="none" w:pos="96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adequacy, accuracy or completeness of the Information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8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22.14 </w:t>
      </w:r>
      <w:r>
        <w:rPr>
          <w:rFonts w:ascii="Arial" w:cs="Arial" w:eastAsia="Arial" w:hAnsi="Arial"/>
          <w:sz w:val="18"/>
          <w:szCs w:val="18"/>
          <w:b w:val="1"/>
          <w:bCs w:val="1"/>
          <w:color w:val="auto"/>
        </w:rPr>
        <w:t>Deduction from amounts payable by the Agent</w:t>
      </w:r>
    </w:p>
    <w:p>
      <w:pPr>
        <w:spacing w:after="0" w:line="121" w:lineRule="exact"/>
        <w:rPr>
          <w:sz w:val="20"/>
          <w:szCs w:val="20"/>
          <w:color w:val="auto"/>
        </w:rPr>
      </w:pPr>
    </w:p>
    <w:p>
      <w:pPr>
        <w:ind w:left="444"/>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88" w:lineRule="exact"/>
        <w:rPr>
          <w:sz w:val="20"/>
          <w:szCs w:val="20"/>
          <w:color w:val="auto"/>
        </w:rPr>
      </w:pPr>
    </w:p>
    <w:p>
      <w:pPr>
        <w:ind w:left="444" w:right="6020" w:hanging="444"/>
        <w:spacing w:after="0" w:line="385" w:lineRule="auto"/>
        <w:tabs>
          <w:tab w:leader="none" w:pos="436"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 xml:space="preserve">CONDUCT OF BUSINESS BY THE FINANCE PARTIES </w:t>
      </w:r>
      <w:r>
        <w:rPr>
          <w:rFonts w:ascii="Arial" w:cs="Arial" w:eastAsia="Arial" w:hAnsi="Arial"/>
          <w:sz w:val="18"/>
          <w:szCs w:val="18"/>
          <w:color w:val="auto"/>
        </w:rPr>
        <w:t>No provision of this Agreement will:</w:t>
      </w:r>
    </w:p>
    <w:p>
      <w:pPr>
        <w:spacing w:after="0" w:line="1"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30"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39"/>
        </w:numPr>
        <w:rPr>
          <w:rFonts w:ascii="Arial" w:cs="Arial" w:eastAsia="Arial" w:hAnsi="Arial"/>
          <w:sz w:val="17"/>
          <w:szCs w:val="17"/>
          <w:color w:val="auto"/>
        </w:rPr>
      </w:pPr>
      <w:r>
        <w:rPr>
          <w:rFonts w:ascii="Arial" w:cs="Arial" w:eastAsia="Arial" w:hAnsi="Arial"/>
          <w:sz w:val="17"/>
          <w:szCs w:val="17"/>
          <w:color w:val="auto"/>
        </w:rPr>
        <w:t>oblige any Finance Party to disclose any information relating to its affairs (tax or otherwise) or any computations in respect of Tax.</w:t>
      </w:r>
    </w:p>
    <w:p>
      <w:pPr>
        <w:spacing w:after="0" w:line="169" w:lineRule="exact"/>
        <w:rPr>
          <w:rFonts w:ascii="Arial" w:cs="Arial" w:eastAsia="Arial" w:hAnsi="Arial"/>
          <w:sz w:val="17"/>
          <w:szCs w:val="17"/>
          <w:color w:val="auto"/>
        </w:rPr>
      </w:pPr>
    </w:p>
    <w:p>
      <w:pPr>
        <w:ind w:left="5424" w:hanging="111"/>
        <w:spacing w:after="0"/>
        <w:tabs>
          <w:tab w:leader="none" w:pos="5424" w:val="left"/>
        </w:tabs>
        <w:numPr>
          <w:ilvl w:val="2"/>
          <w:numId w:val="139"/>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0964"/>
          </w:cols>
          <w:pgMar w:left="436" w:top="270" w:right="499" w:bottom="1440" w:gutter="0" w:footer="0" w:header="0"/>
        </w:sectPr>
      </w:pPr>
    </w:p>
    <w:bookmarkStart w:id="53" w:name="page54"/>
    <w:bookmarkEnd w:id="53"/>
    <w:p>
      <w:pPr>
        <w:ind w:left="424" w:hanging="424"/>
        <w:spacing w:after="0"/>
        <w:tabs>
          <w:tab w:leader="none" w:pos="424"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MECHANICS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b w:val="1"/>
          <w:bCs w:val="1"/>
          <w:color w:val="auto"/>
        </w:rPr>
        <w:t>Payments to the Agent</w:t>
      </w:r>
    </w:p>
    <w:p>
      <w:pPr>
        <w:spacing w:after="0" w:line="135" w:lineRule="exact"/>
        <w:rPr>
          <w:sz w:val="20"/>
          <w:szCs w:val="20"/>
          <w:color w:val="auto"/>
        </w:rPr>
      </w:pPr>
    </w:p>
    <w:p>
      <w:pPr>
        <w:ind w:left="964" w:right="80" w:hanging="532"/>
        <w:spacing w:after="0" w:line="259" w:lineRule="auto"/>
        <w:tabs>
          <w:tab w:leader="none" w:pos="9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On each date on which the Borrower or the Lender is required to make a payment under a Finance Document, the Borrower or the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92" w:lineRule="exact"/>
        <w:rPr>
          <w:rFonts w:ascii="Arial" w:cs="Arial" w:eastAsia="Arial" w:hAnsi="Arial"/>
          <w:sz w:val="18"/>
          <w:szCs w:val="18"/>
          <w:color w:val="auto"/>
        </w:rPr>
      </w:pPr>
    </w:p>
    <w:p>
      <w:pPr>
        <w:ind w:left="964" w:right="40" w:hanging="532"/>
        <w:spacing w:after="0" w:line="277" w:lineRule="auto"/>
        <w:tabs>
          <w:tab w:leader="none" w:pos="96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and with such bank as the Agent, in each case, specifies.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24.2  </w:t>
      </w:r>
      <w:r>
        <w:rPr>
          <w:rFonts w:ascii="Arial" w:cs="Arial" w:eastAsia="Arial" w:hAnsi="Arial"/>
          <w:sz w:val="18"/>
          <w:szCs w:val="18"/>
          <w:b w:val="1"/>
          <w:bCs w:val="1"/>
          <w:color w:val="auto"/>
        </w:rPr>
        <w:t>Distributions by the Agent</w:t>
      </w:r>
    </w:p>
    <w:p>
      <w:pPr>
        <w:spacing w:after="0" w:line="121" w:lineRule="exact"/>
        <w:rPr>
          <w:sz w:val="20"/>
          <w:szCs w:val="20"/>
          <w:color w:val="auto"/>
        </w:rPr>
      </w:pPr>
    </w:p>
    <w:p>
      <w:pPr>
        <w:ind w:left="444" w:right="20"/>
        <w:spacing w:after="0" w:line="275" w:lineRule="auto"/>
        <w:rPr>
          <w:sz w:val="20"/>
          <w:szCs w:val="20"/>
          <w:color w:val="auto"/>
        </w:rPr>
      </w:pPr>
      <w:r>
        <w:rPr>
          <w:rFonts w:ascii="Arial" w:cs="Arial" w:eastAsia="Arial" w:hAnsi="Arial"/>
          <w:sz w:val="17"/>
          <w:szCs w:val="17"/>
          <w:color w:val="auto"/>
        </w:rPr>
        <w:t>Each payment received by the Agent under the Finance Documents for another Party shall, subject to Clause 24.3 (</w:t>
      </w:r>
      <w:r>
        <w:rPr>
          <w:rFonts w:ascii="Arial" w:cs="Arial" w:eastAsia="Arial" w:hAnsi="Arial"/>
          <w:sz w:val="17"/>
          <w:szCs w:val="17"/>
          <w:i w:val="1"/>
          <w:iCs w:val="1"/>
          <w:color w:val="auto"/>
        </w:rPr>
        <w:t>Distributions to the Borrower</w:t>
      </w:r>
      <w:r>
        <w:rPr>
          <w:rFonts w:ascii="Arial" w:cs="Arial" w:eastAsia="Arial" w:hAnsi="Arial"/>
          <w:sz w:val="17"/>
          <w:szCs w:val="17"/>
          <w:color w:val="auto"/>
        </w:rPr>
        <w:t>), Clause 24.4 (</w:t>
      </w:r>
      <w:r>
        <w:rPr>
          <w:rFonts w:ascii="Arial" w:cs="Arial" w:eastAsia="Arial" w:hAnsi="Arial"/>
          <w:sz w:val="17"/>
          <w:szCs w:val="17"/>
          <w:i w:val="1"/>
          <w:iCs w:val="1"/>
          <w:color w:val="auto"/>
        </w:rPr>
        <w:t>Clawback and pre-funding</w:t>
      </w:r>
      <w:r>
        <w:rPr>
          <w:rFonts w:ascii="Arial" w:cs="Arial" w:eastAsia="Arial" w:hAnsi="Arial"/>
          <w:sz w:val="17"/>
          <w:szCs w:val="17"/>
          <w:color w:val="auto"/>
        </w:rPr>
        <w:t>) and Clause 22.14 (</w:t>
      </w:r>
      <w:r>
        <w:rPr>
          <w:rFonts w:ascii="Arial" w:cs="Arial" w:eastAsia="Arial" w:hAnsi="Arial"/>
          <w:sz w:val="17"/>
          <w:szCs w:val="17"/>
          <w:i w:val="1"/>
          <w:iCs w:val="1"/>
          <w:color w:val="auto"/>
        </w:rPr>
        <w:t>Deduction from amounts payable by the Agent</w:t>
      </w:r>
      <w:r>
        <w:rPr>
          <w:rFonts w:ascii="Arial" w:cs="Arial" w:eastAsia="Arial" w:hAnsi="Arial"/>
          <w:sz w:val="17"/>
          <w:szCs w:val="17"/>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78"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24.3  </w:t>
      </w:r>
      <w:r>
        <w:rPr>
          <w:rFonts w:ascii="Arial" w:cs="Arial" w:eastAsia="Arial" w:hAnsi="Arial"/>
          <w:sz w:val="18"/>
          <w:szCs w:val="18"/>
          <w:b w:val="1"/>
          <w:bCs w:val="1"/>
          <w:color w:val="auto"/>
        </w:rPr>
        <w:t>Distributions to the Borrower</w:t>
      </w:r>
    </w:p>
    <w:p>
      <w:pPr>
        <w:spacing w:after="0" w:line="121" w:lineRule="exact"/>
        <w:rPr>
          <w:sz w:val="20"/>
          <w:szCs w:val="20"/>
          <w:color w:val="auto"/>
        </w:rPr>
      </w:pPr>
    </w:p>
    <w:p>
      <w:pPr>
        <w:jc w:val="both"/>
        <w:ind w:left="444" w:right="80"/>
        <w:spacing w:after="0" w:line="263" w:lineRule="auto"/>
        <w:rPr>
          <w:sz w:val="20"/>
          <w:szCs w:val="20"/>
          <w:color w:val="auto"/>
        </w:rPr>
      </w:pPr>
      <w:r>
        <w:rPr>
          <w:rFonts w:ascii="Arial" w:cs="Arial" w:eastAsia="Arial" w:hAnsi="Arial"/>
          <w:sz w:val="18"/>
          <w:szCs w:val="18"/>
          <w:color w:val="auto"/>
        </w:rPr>
        <w:t>The Agent may (with the consent of the Borrower or in accordance with Clause 25 (</w:t>
      </w:r>
      <w:r>
        <w:rPr>
          <w:rFonts w:ascii="Arial" w:cs="Arial" w:eastAsia="Arial" w:hAnsi="Arial"/>
          <w:sz w:val="18"/>
          <w:szCs w:val="18"/>
          <w:i w:val="1"/>
          <w:iCs w:val="1"/>
          <w:color w:val="auto"/>
        </w:rPr>
        <w:t>Set-off</w:t>
      </w:r>
      <w:r>
        <w:rPr>
          <w:rFonts w:ascii="Arial" w:cs="Arial" w:eastAsia="Arial" w:hAnsi="Arial"/>
          <w:sz w:val="18"/>
          <w:szCs w:val="18"/>
          <w:color w:val="auto"/>
        </w:rPr>
        <w:t>)) apply any amount received by it for the Borrower in or towards payment (on the date and in the currency and funds of receipt) of any amount due from the Borrower under the Finance Documents or in or towards purchase of any amount of any currency to be so applied.</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b w:val="1"/>
          <w:bCs w:val="1"/>
          <w:color w:val="auto"/>
        </w:rPr>
        <w:t>Clawback and pre-funding</w:t>
      </w:r>
    </w:p>
    <w:p>
      <w:pPr>
        <w:spacing w:after="0" w:line="135" w:lineRule="exact"/>
        <w:rPr>
          <w:sz w:val="20"/>
          <w:szCs w:val="20"/>
          <w:color w:val="auto"/>
        </w:rPr>
      </w:pPr>
    </w:p>
    <w:p>
      <w:pPr>
        <w:ind w:left="964" w:right="280" w:hanging="532"/>
        <w:spacing w:after="0" w:line="263"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89" w:lineRule="exact"/>
        <w:rPr>
          <w:rFonts w:ascii="Arial" w:cs="Arial" w:eastAsia="Arial" w:hAnsi="Arial"/>
          <w:sz w:val="18"/>
          <w:szCs w:val="18"/>
          <w:color w:val="auto"/>
        </w:rPr>
      </w:pPr>
    </w:p>
    <w:p>
      <w:pPr>
        <w:ind w:left="964" w:right="140" w:hanging="532"/>
        <w:spacing w:after="0" w:line="259"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92" w:lineRule="exact"/>
        <w:rPr>
          <w:rFonts w:ascii="Arial" w:cs="Arial" w:eastAsia="Arial" w:hAnsi="Arial"/>
          <w:sz w:val="18"/>
          <w:szCs w:val="18"/>
          <w:color w:val="auto"/>
        </w:rPr>
      </w:pPr>
    </w:p>
    <w:p>
      <w:pPr>
        <w:jc w:val="both"/>
        <w:ind w:left="964" w:hanging="532"/>
        <w:spacing w:after="0" w:line="263" w:lineRule="auto"/>
        <w:tabs>
          <w:tab w:leader="none" w:pos="9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the Borrower before receiving funds from the Lender then if and to the extent that the Agent does so but it proves to be the case that it does not then receive funds from a Lender in respect of a sum which it paid to the Borrower:</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42"/>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0984"/>
          </w:cols>
          <w:pgMar w:left="436" w:top="270" w:right="479" w:bottom="1440" w:gutter="0" w:footer="0" w:header="0"/>
        </w:sectPr>
      </w:pPr>
    </w:p>
    <w:bookmarkStart w:id="54" w:name="page55"/>
    <w:bookmarkEnd w:id="54"/>
    <w:p>
      <w:pPr>
        <w:ind w:left="1420" w:hanging="439"/>
        <w:spacing w:after="0"/>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on demand refund it to the Agent; and</w:t>
      </w:r>
    </w:p>
    <w:p>
      <w:pPr>
        <w:spacing w:after="0" w:line="130" w:lineRule="exact"/>
        <w:rPr>
          <w:rFonts w:ascii="Arial" w:cs="Arial" w:eastAsia="Arial" w:hAnsi="Arial"/>
          <w:sz w:val="18"/>
          <w:szCs w:val="18"/>
          <w:color w:val="auto"/>
        </w:rPr>
      </w:pPr>
    </w:p>
    <w:p>
      <w:pPr>
        <w:jc w:val="both"/>
        <w:ind w:left="1420" w:hanging="439"/>
        <w:spacing w:after="0" w:line="263"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b w:val="1"/>
          <w:bCs w:val="1"/>
          <w:color w:val="auto"/>
        </w:rPr>
        <w:t>Partial payments</w:t>
      </w:r>
    </w:p>
    <w:p>
      <w:pPr>
        <w:spacing w:after="0" w:line="135" w:lineRule="exact"/>
        <w:rPr>
          <w:sz w:val="20"/>
          <w:szCs w:val="20"/>
          <w:color w:val="auto"/>
        </w:rPr>
      </w:pPr>
    </w:p>
    <w:p>
      <w:pPr>
        <w:ind w:left="960" w:right="220" w:hanging="532"/>
        <w:spacing w:after="0" w:line="263"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the Borrower under the Finance Documents, the Agent shall apply that payment towards the obligations of the Borrower under the Finance Documents in the following order:</w:t>
      </w:r>
    </w:p>
    <w:p>
      <w:pPr>
        <w:spacing w:after="0" w:line="85" w:lineRule="exact"/>
        <w:rPr>
          <w:rFonts w:ascii="Arial" w:cs="Arial" w:eastAsia="Arial" w:hAnsi="Arial"/>
          <w:sz w:val="18"/>
          <w:szCs w:val="18"/>
          <w:color w:val="auto"/>
        </w:rPr>
      </w:pPr>
    </w:p>
    <w:p>
      <w:pPr>
        <w:ind w:left="1420" w:hanging="439"/>
        <w:spacing w:after="0"/>
        <w:tabs>
          <w:tab w:leader="none" w:pos="142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unpaid amount owing to the Agent under the Finance Documents;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4"/>
        </w:numPr>
        <w:rPr>
          <w:rFonts w:ascii="Arial" w:cs="Arial" w:eastAsia="Arial" w:hAnsi="Arial"/>
          <w:sz w:val="17"/>
          <w:szCs w:val="17"/>
          <w:color w:val="auto"/>
        </w:rPr>
      </w:pPr>
      <w:r>
        <w:rPr>
          <w:rFonts w:ascii="Arial" w:cs="Arial" w:eastAsia="Arial" w:hAnsi="Arial"/>
          <w:sz w:val="17"/>
          <w:szCs w:val="17"/>
          <w:b w:val="1"/>
          <w:bCs w:val="1"/>
          <w:color w:val="auto"/>
        </w:rPr>
        <w:t>secondly</w:t>
      </w:r>
      <w:r>
        <w:rPr>
          <w:rFonts w:ascii="Arial" w:cs="Arial" w:eastAsia="Arial" w:hAnsi="Arial"/>
          <w:sz w:val="17"/>
          <w:szCs w:val="17"/>
          <w:color w:val="auto"/>
        </w:rPr>
        <w:t>, in or towards payment pro rata of any accrued interest, fee or commission due but unpaid under this Agreement;</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but unpaid under this Agreement;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4"/>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134" w:lineRule="exact"/>
        <w:rPr>
          <w:rFonts w:ascii="Arial" w:cs="Arial" w:eastAsia="Arial" w:hAnsi="Arial"/>
          <w:sz w:val="18"/>
          <w:szCs w:val="18"/>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Agent shall, if so directed by the Lender, vary the order set out in paragraphs (a)(ii) to (a)(iv) above.</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the Borrower.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24.6  </w:t>
      </w:r>
      <w:r>
        <w:rPr>
          <w:rFonts w:ascii="Arial" w:cs="Arial" w:eastAsia="Arial" w:hAnsi="Arial"/>
          <w:sz w:val="18"/>
          <w:szCs w:val="18"/>
          <w:b w:val="1"/>
          <w:bCs w:val="1"/>
          <w:color w:val="auto"/>
        </w:rPr>
        <w:t>No set-off by the Borrower</w:t>
      </w:r>
    </w:p>
    <w:p>
      <w:pPr>
        <w:spacing w:after="0" w:line="121" w:lineRule="exact"/>
        <w:rPr>
          <w:sz w:val="20"/>
          <w:szCs w:val="20"/>
          <w:color w:val="auto"/>
        </w:rPr>
      </w:pPr>
    </w:p>
    <w:p>
      <w:pPr>
        <w:ind w:left="440" w:right="540"/>
        <w:spacing w:after="0" w:line="277" w:lineRule="auto"/>
        <w:rPr>
          <w:sz w:val="20"/>
          <w:szCs w:val="20"/>
          <w:color w:val="auto"/>
        </w:rPr>
      </w:pPr>
      <w:r>
        <w:rPr>
          <w:rFonts w:ascii="Arial" w:cs="Arial" w:eastAsia="Arial" w:hAnsi="Arial"/>
          <w:sz w:val="18"/>
          <w:szCs w:val="18"/>
          <w:color w:val="auto"/>
        </w:rPr>
        <w:t>All payments to be made by the Borrower under the Finance Documents shall be calculated and be made without (and free and clear of any deduction for) set-off or counterclaim.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24.7  </w:t>
      </w:r>
      <w:r>
        <w:rPr>
          <w:rFonts w:ascii="Arial" w:cs="Arial" w:eastAsia="Arial" w:hAnsi="Arial"/>
          <w:sz w:val="18"/>
          <w:szCs w:val="18"/>
          <w:b w:val="1"/>
          <w:bCs w:val="1"/>
          <w:color w:val="auto"/>
        </w:rPr>
        <w:t>Business Days</w:t>
      </w:r>
    </w:p>
    <w:p>
      <w:pPr>
        <w:spacing w:after="0" w:line="135" w:lineRule="exact"/>
        <w:rPr>
          <w:sz w:val="20"/>
          <w:szCs w:val="20"/>
          <w:color w:val="auto"/>
        </w:rPr>
      </w:pPr>
    </w:p>
    <w:p>
      <w:pPr>
        <w:ind w:left="960" w:right="660" w:hanging="532"/>
        <w:spacing w:after="0" w:line="308" w:lineRule="auto"/>
        <w:tabs>
          <w:tab w:leader="none" w:pos="96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Any payment under any Finance Document which is due to be made on a day that is not a Business Day shall be made on the next Business Day in the same calendar month (if there is one) or the preceding Business Day (if there is not).</w:t>
      </w:r>
    </w:p>
    <w:p>
      <w:pPr>
        <w:spacing w:after="0" w:line="51"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000"/>
          </w:cols>
          <w:pgMar w:left="440" w:top="274"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24.8  </w:t>
      </w:r>
      <w:r>
        <w:rPr>
          <w:rFonts w:ascii="Arial" w:cs="Arial" w:eastAsia="Arial" w:hAnsi="Arial"/>
          <w:sz w:val="18"/>
          <w:szCs w:val="18"/>
          <w:b w:val="1"/>
          <w:bCs w:val="1"/>
          <w:color w:val="auto"/>
        </w:rPr>
        <w:t>Currency of account</w:t>
      </w:r>
    </w:p>
    <w:p>
      <w:pPr>
        <w:spacing w:after="0" w:line="135" w:lineRule="exact"/>
        <w:rPr>
          <w:sz w:val="20"/>
          <w:szCs w:val="20"/>
          <w:color w:val="auto"/>
        </w:rPr>
      </w:pPr>
    </w:p>
    <w:p>
      <w:pPr>
        <w:ind w:left="960" w:right="380" w:hanging="532"/>
        <w:spacing w:after="0" w:line="277"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Subject to paragraphs (b) and (c) below, dollars is the currency of account and payment for any sum due from the Borrower under any Finance Document.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24.9  </w:t>
      </w:r>
      <w:r>
        <w:rPr>
          <w:rFonts w:ascii="Arial" w:cs="Arial" w:eastAsia="Arial" w:hAnsi="Arial"/>
          <w:sz w:val="18"/>
          <w:szCs w:val="18"/>
          <w:b w:val="1"/>
          <w:bCs w:val="1"/>
          <w:color w:val="auto"/>
        </w:rPr>
        <w:t>Change of currency</w:t>
      </w:r>
    </w:p>
    <w:p>
      <w:pPr>
        <w:spacing w:after="0" w:line="135" w:lineRule="exact"/>
        <w:rPr>
          <w:sz w:val="20"/>
          <w:szCs w:val="20"/>
          <w:color w:val="auto"/>
        </w:rPr>
      </w:pPr>
    </w:p>
    <w:p>
      <w:pPr>
        <w:ind w:left="960" w:right="120" w:hanging="532"/>
        <w:spacing w:after="0" w:line="277"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75"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89" w:lineRule="exact"/>
        <w:rPr>
          <w:rFonts w:ascii="Arial" w:cs="Arial" w:eastAsia="Arial" w:hAnsi="Arial"/>
          <w:sz w:val="18"/>
          <w:szCs w:val="18"/>
          <w:color w:val="auto"/>
        </w:rPr>
      </w:pPr>
    </w:p>
    <w:p>
      <w:pPr>
        <w:ind w:left="1420" w:right="100" w:hanging="439"/>
        <w:spacing w:after="0" w:line="308" w:lineRule="auto"/>
        <w:tabs>
          <w:tab w:leader="none" w:pos="142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51" w:lineRule="exact"/>
        <w:rPr>
          <w:rFonts w:ascii="Arial" w:cs="Arial" w:eastAsia="Arial" w:hAnsi="Arial"/>
          <w:sz w:val="17"/>
          <w:szCs w:val="17"/>
          <w:color w:val="auto"/>
        </w:rPr>
      </w:pPr>
    </w:p>
    <w:p>
      <w:pPr>
        <w:ind w:left="960" w:right="60" w:hanging="532"/>
        <w:spacing w:after="0" w:line="263" w:lineRule="auto"/>
        <w:tabs>
          <w:tab w:leader="none" w:pos="9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24.10 </w:t>
      </w:r>
      <w:r>
        <w:rPr>
          <w:rFonts w:ascii="Arial" w:cs="Arial" w:eastAsia="Arial" w:hAnsi="Arial"/>
          <w:sz w:val="18"/>
          <w:szCs w:val="18"/>
          <w:b w:val="1"/>
          <w:bCs w:val="1"/>
          <w:color w:val="auto"/>
        </w:rPr>
        <w:t>Disruption to payment systems etc.</w:t>
      </w:r>
    </w:p>
    <w:p>
      <w:pPr>
        <w:spacing w:after="0" w:line="121" w:lineRule="exact"/>
        <w:rPr>
          <w:sz w:val="20"/>
          <w:szCs w:val="20"/>
          <w:color w:val="auto"/>
        </w:rPr>
      </w:pPr>
    </w:p>
    <w:p>
      <w:pPr>
        <w:ind w:left="440" w:right="260"/>
        <w:spacing w:after="0" w:line="277" w:lineRule="auto"/>
        <w:rPr>
          <w:sz w:val="20"/>
          <w:szCs w:val="20"/>
          <w:color w:val="auto"/>
        </w:rPr>
      </w:pPr>
      <w:r>
        <w:rPr>
          <w:rFonts w:ascii="Arial" w:cs="Arial" w:eastAsia="Arial" w:hAnsi="Arial"/>
          <w:sz w:val="18"/>
          <w:szCs w:val="18"/>
          <w:color w:val="auto"/>
        </w:rPr>
        <w:t>If either the Agent determines (in its discretion) that a Disruption Event has occurred or the Agent is notified by the Borrower that a Disruption Event has occurred:</w:t>
      </w:r>
    </w:p>
    <w:p>
      <w:pPr>
        <w:spacing w:after="0" w:line="76" w:lineRule="exact"/>
        <w:rPr>
          <w:sz w:val="20"/>
          <w:szCs w:val="20"/>
          <w:color w:val="auto"/>
        </w:rPr>
      </w:pPr>
    </w:p>
    <w:p>
      <w:pPr>
        <w:ind w:left="960" w:right="80" w:hanging="532"/>
        <w:spacing w:after="0" w:line="308" w:lineRule="auto"/>
        <w:tabs>
          <w:tab w:leader="none" w:pos="9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51" w:lineRule="exact"/>
        <w:rPr>
          <w:rFonts w:ascii="Arial" w:cs="Arial" w:eastAsia="Arial" w:hAnsi="Arial"/>
          <w:sz w:val="17"/>
          <w:szCs w:val="17"/>
          <w:color w:val="auto"/>
        </w:rPr>
      </w:pPr>
    </w:p>
    <w:p>
      <w:pPr>
        <w:ind w:left="960" w:hanging="532"/>
        <w:spacing w:after="0" w:line="308" w:lineRule="auto"/>
        <w:tabs>
          <w:tab w:leader="none" w:pos="9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51" w:lineRule="exact"/>
        <w:rPr>
          <w:rFonts w:ascii="Arial" w:cs="Arial" w:eastAsia="Arial" w:hAnsi="Arial"/>
          <w:sz w:val="17"/>
          <w:szCs w:val="17"/>
          <w:color w:val="auto"/>
        </w:rPr>
      </w:pPr>
    </w:p>
    <w:p>
      <w:pPr>
        <w:ind w:left="960" w:right="120" w:hanging="532"/>
        <w:spacing w:after="0" w:line="277" w:lineRule="auto"/>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1000"/>
          </w:cols>
          <w:pgMar w:left="440" w:top="270" w:right="459" w:bottom="1440" w:gutter="0" w:footer="0" w:header="0"/>
        </w:sectPr>
      </w:pPr>
    </w:p>
    <w:bookmarkStart w:id="56" w:name="page57"/>
    <w:bookmarkEnd w:id="56"/>
    <w:p>
      <w:pPr>
        <w:ind w:left="1744" w:right="20" w:hanging="543"/>
        <w:spacing w:after="0" w:line="263" w:lineRule="auto"/>
        <w:tabs>
          <w:tab w:leader="none" w:pos="17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30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744" w:right="80" w:hanging="543"/>
        <w:spacing w:after="0" w:line="259" w:lineRule="auto"/>
        <w:tabs>
          <w:tab w:leader="none" w:pos="17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24.10; and</w:t>
      </w:r>
    </w:p>
    <w:p>
      <w:pPr>
        <w:spacing w:after="0" w:line="92" w:lineRule="exact"/>
        <w:rPr>
          <w:rFonts w:ascii="Arial" w:cs="Arial" w:eastAsia="Arial" w:hAnsi="Arial"/>
          <w:sz w:val="18"/>
          <w:szCs w:val="18"/>
          <w:color w:val="auto"/>
        </w:rPr>
      </w:pPr>
    </w:p>
    <w:p>
      <w:pPr>
        <w:ind w:left="1744" w:hanging="543"/>
        <w:spacing w:after="0"/>
        <w:tabs>
          <w:tab w:leader="none" w:pos="174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27" w:lineRule="exact"/>
        <w:rPr>
          <w:sz w:val="20"/>
          <w:szCs w:val="20"/>
          <w:color w:val="auto"/>
        </w:rPr>
      </w:pPr>
    </w:p>
    <w:p>
      <w:pPr>
        <w:ind w:left="544" w:hanging="544"/>
        <w:spacing w:after="0"/>
        <w:tabs>
          <w:tab w:leader="none" w:pos="544"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121" w:lineRule="exact"/>
        <w:rPr>
          <w:sz w:val="20"/>
          <w:szCs w:val="20"/>
          <w:color w:val="auto"/>
        </w:rPr>
      </w:pPr>
    </w:p>
    <w:p>
      <w:pPr>
        <w:ind w:left="444" w:right="180"/>
        <w:spacing w:after="0" w:line="259" w:lineRule="auto"/>
        <w:rPr>
          <w:sz w:val="20"/>
          <w:szCs w:val="20"/>
          <w:color w:val="auto"/>
        </w:rPr>
      </w:pPr>
      <w:r>
        <w:rPr>
          <w:rFonts w:ascii="Arial" w:cs="Arial" w:eastAsia="Arial" w:hAnsi="Arial"/>
          <w:sz w:val="18"/>
          <w:szCs w:val="18"/>
          <w:color w:val="auto"/>
        </w:rPr>
        <w:t>A Finance Party may set 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88" w:lineRule="exact"/>
        <w:rPr>
          <w:sz w:val="20"/>
          <w:szCs w:val="20"/>
          <w:color w:val="auto"/>
        </w:rPr>
      </w:pPr>
    </w:p>
    <w:p>
      <w:pPr>
        <w:ind w:left="544" w:hanging="544"/>
        <w:spacing w:after="0"/>
        <w:tabs>
          <w:tab w:leader="none" w:pos="544" w:val="left"/>
        </w:tabs>
        <w:numPr>
          <w:ilvl w:val="0"/>
          <w:numId w:val="151"/>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Addresses</w:t>
      </w:r>
    </w:p>
    <w:p>
      <w:pPr>
        <w:spacing w:after="0" w:line="121"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76" w:lineRule="exact"/>
        <w:rPr>
          <w:sz w:val="20"/>
          <w:szCs w:val="20"/>
          <w:color w:val="auto"/>
        </w:rPr>
      </w:pPr>
    </w:p>
    <w:p>
      <w:pPr>
        <w:ind w:left="1744" w:hanging="543"/>
        <w:spacing w:after="0"/>
        <w:tabs>
          <w:tab w:leader="none" w:pos="17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the Borrower, that identified with its name below;</w:t>
      </w:r>
    </w:p>
    <w:p>
      <w:pPr>
        <w:spacing w:after="0" w:line="130" w:lineRule="exact"/>
        <w:rPr>
          <w:rFonts w:ascii="Arial" w:cs="Arial" w:eastAsia="Arial" w:hAnsi="Arial"/>
          <w:sz w:val="18"/>
          <w:szCs w:val="18"/>
          <w:color w:val="auto"/>
        </w:rPr>
      </w:pPr>
    </w:p>
    <w:p>
      <w:pPr>
        <w:ind w:left="1744" w:hanging="543"/>
        <w:spacing w:after="0"/>
        <w:tabs>
          <w:tab w:leader="none" w:pos="1744"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the case of each Lender, that notified in writing to the Agent on or prior to the date on which it becomes a Party; and</w:t>
      </w:r>
    </w:p>
    <w:p>
      <w:pPr>
        <w:spacing w:after="0" w:line="142" w:lineRule="exact"/>
        <w:rPr>
          <w:rFonts w:ascii="Arial" w:cs="Arial" w:eastAsia="Arial" w:hAnsi="Arial"/>
          <w:sz w:val="17"/>
          <w:szCs w:val="17"/>
          <w:color w:val="auto"/>
        </w:rPr>
      </w:pPr>
    </w:p>
    <w:p>
      <w:pPr>
        <w:ind w:left="1744" w:hanging="543"/>
        <w:spacing w:after="0"/>
        <w:tabs>
          <w:tab w:leader="none" w:pos="174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 the case of the Agent, that identified with its name below,</w:t>
      </w:r>
    </w:p>
    <w:p>
      <w:pPr>
        <w:spacing w:after="0" w:line="117"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0984"/>
          </w:cols>
          <w:pgMar w:left="436" w:top="274" w:right="47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26.3  </w:t>
      </w:r>
      <w:r>
        <w:rPr>
          <w:rFonts w:ascii="Arial" w:cs="Arial" w:eastAsia="Arial" w:hAnsi="Arial"/>
          <w:sz w:val="18"/>
          <w:szCs w:val="18"/>
          <w:b w:val="1"/>
          <w:bCs w:val="1"/>
          <w:color w:val="auto"/>
        </w:rPr>
        <w:t>Delivery</w:t>
      </w:r>
    </w:p>
    <w:p>
      <w:pPr>
        <w:spacing w:after="0" w:line="135" w:lineRule="exact"/>
        <w:rPr>
          <w:sz w:val="20"/>
          <w:szCs w:val="20"/>
          <w:color w:val="auto"/>
        </w:rPr>
      </w:pPr>
    </w:p>
    <w:p>
      <w:pPr>
        <w:jc w:val="both"/>
        <w:ind w:left="960" w:right="300" w:hanging="532"/>
        <w:spacing w:after="0" w:line="279" w:lineRule="auto"/>
        <w:tabs>
          <w:tab w:leader="none" w:pos="96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26.2 (</w:t>
      </w:r>
      <w:r>
        <w:rPr>
          <w:rFonts w:ascii="Arial" w:cs="Arial" w:eastAsia="Arial" w:hAnsi="Arial"/>
          <w:sz w:val="17"/>
          <w:szCs w:val="17"/>
          <w:i w:val="1"/>
          <w:iCs w:val="1"/>
          <w:color w:val="auto"/>
        </w:rPr>
        <w:t>Addresses</w:t>
      </w:r>
      <w:r>
        <w:rPr>
          <w:rFonts w:ascii="Arial" w:cs="Arial" w:eastAsia="Arial" w:hAnsi="Arial"/>
          <w:sz w:val="17"/>
          <w:szCs w:val="17"/>
          <w:color w:val="auto"/>
        </w:rPr>
        <w:t>), if addressed to that department or officer.</w:t>
      </w:r>
    </w:p>
    <w:p>
      <w:pPr>
        <w:spacing w:after="0" w:line="76" w:lineRule="exact"/>
        <w:rPr>
          <w:rFonts w:ascii="Arial" w:cs="Arial" w:eastAsia="Arial" w:hAnsi="Arial"/>
          <w:sz w:val="17"/>
          <w:szCs w:val="17"/>
          <w:color w:val="auto"/>
        </w:rPr>
      </w:pPr>
    </w:p>
    <w:p>
      <w:pPr>
        <w:ind w:left="960" w:right="20" w:hanging="532"/>
        <w:spacing w:after="0" w:line="263"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All notices from or to the Borrower shall be sent through the Agent.</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(c) above, after 5:00 p.m. in the place of receipt shall be deemed only to become effective on the following day.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26.4  </w:t>
      </w:r>
      <w:r>
        <w:rPr>
          <w:rFonts w:ascii="Arial" w:cs="Arial" w:eastAsia="Arial" w:hAnsi="Arial"/>
          <w:sz w:val="18"/>
          <w:szCs w:val="18"/>
          <w:b w:val="1"/>
          <w:bCs w:val="1"/>
          <w:color w:val="auto"/>
        </w:rPr>
        <w:t>Notification of address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Promptly upon changing its address, the Agent shall notify the other Parties.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26.5  </w:t>
      </w:r>
      <w:r>
        <w:rPr>
          <w:rFonts w:ascii="Arial" w:cs="Arial" w:eastAsia="Arial" w:hAnsi="Arial"/>
          <w:sz w:val="18"/>
          <w:szCs w:val="18"/>
          <w:b w:val="1"/>
          <w:bCs w:val="1"/>
          <w:color w:val="auto"/>
        </w:rPr>
        <w:t>Electronic communication</w:t>
      </w:r>
    </w:p>
    <w:p>
      <w:pPr>
        <w:spacing w:after="0" w:line="135" w:lineRule="exact"/>
        <w:rPr>
          <w:sz w:val="20"/>
          <w:szCs w:val="20"/>
          <w:color w:val="auto"/>
        </w:rPr>
      </w:pPr>
    </w:p>
    <w:p>
      <w:pPr>
        <w:ind w:left="960" w:hanging="532"/>
        <w:spacing w:after="0" w:line="263"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by one Party to another under or in connection with the Finance Documents may be made by electronic mail or other electronic means (including, without limitation, by way of posting to a secure website) if those two Parties:</w:t>
      </w:r>
    </w:p>
    <w:p>
      <w:pPr>
        <w:spacing w:after="0" w:line="89" w:lineRule="exact"/>
        <w:rPr>
          <w:rFonts w:ascii="Arial" w:cs="Arial" w:eastAsia="Arial" w:hAnsi="Arial"/>
          <w:sz w:val="18"/>
          <w:szCs w:val="18"/>
          <w:color w:val="auto"/>
        </w:rPr>
      </w:pPr>
    </w:p>
    <w:p>
      <w:pPr>
        <w:ind w:left="1420" w:right="460" w:hanging="439"/>
        <w:spacing w:after="0" w:line="277" w:lineRule="auto"/>
        <w:tabs>
          <w:tab w:leader="none" w:pos="14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75"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Any such electronic communication or delivery as specified in paragraph (a) above to be made between the Borrower and a Finance Party may only be made in that way to the extent that those two Parties agree that, unless and until notified to the contrary, this is to be an accepted form of communication or delivery.</w:t>
      </w:r>
    </w:p>
    <w:p>
      <w:pPr>
        <w:spacing w:after="0" w:line="89" w:lineRule="exact"/>
        <w:rPr>
          <w:rFonts w:ascii="Arial" w:cs="Arial" w:eastAsia="Arial" w:hAnsi="Arial"/>
          <w:sz w:val="18"/>
          <w:szCs w:val="18"/>
          <w:color w:val="auto"/>
        </w:rPr>
      </w:pPr>
    </w:p>
    <w:p>
      <w:pPr>
        <w:ind w:left="960" w:right="180" w:hanging="532"/>
        <w:spacing w:after="0" w:line="311" w:lineRule="auto"/>
        <w:tabs>
          <w:tab w:leader="none" w:pos="96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81" w:lineRule="exact"/>
        <w:rPr>
          <w:rFonts w:ascii="Arial" w:cs="Arial" w:eastAsia="Arial" w:hAnsi="Arial"/>
          <w:sz w:val="16"/>
          <w:szCs w:val="16"/>
          <w:color w:val="auto"/>
        </w:rPr>
      </w:pPr>
    </w:p>
    <w:p>
      <w:pPr>
        <w:ind w:left="5420" w:hanging="111"/>
        <w:spacing w:after="0"/>
        <w:tabs>
          <w:tab w:leader="none" w:pos="542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00"/>
          </w:cols>
          <w:pgMar w:left="440" w:top="270" w:right="459" w:bottom="1440" w:gutter="0" w:footer="0" w:header="0"/>
        </w:sectPr>
      </w:pPr>
    </w:p>
    <w:bookmarkStart w:id="58" w:name="page59"/>
    <w:bookmarkEnd w:id="58"/>
    <w:p>
      <w:pPr>
        <w:ind w:left="964" w:hanging="532"/>
        <w:spacing w:after="0" w:line="263" w:lineRule="auto"/>
        <w:tabs>
          <w:tab w:leader="none" w:pos="9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electronic communication or document which becomes effective, in accordance with paragraph I above, after 5:00 p.m. in the place in which the Party to whom the relevant communication or document is sent or made available has its address for the purpose of this Agreement shall be deemed only to become effective on the following day.</w:t>
      </w:r>
    </w:p>
    <w:p>
      <w:pPr>
        <w:spacing w:after="0" w:line="89" w:lineRule="exact"/>
        <w:rPr>
          <w:rFonts w:ascii="Arial" w:cs="Arial" w:eastAsia="Arial" w:hAnsi="Arial"/>
          <w:sz w:val="18"/>
          <w:szCs w:val="18"/>
          <w:color w:val="auto"/>
        </w:rPr>
      </w:pPr>
    </w:p>
    <w:p>
      <w:pPr>
        <w:ind w:left="964" w:right="400" w:hanging="532"/>
        <w:spacing w:after="0" w:line="277" w:lineRule="auto"/>
        <w:tabs>
          <w:tab w:leader="none" w:pos="9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or a document being delivered shall be construed to include that communication or document being made available in accordance with this Clause 26.5.</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26.6  </w:t>
      </w:r>
      <w:r>
        <w:rPr>
          <w:rFonts w:ascii="Arial" w:cs="Arial" w:eastAsia="Arial" w:hAnsi="Arial"/>
          <w:sz w:val="18"/>
          <w:szCs w:val="18"/>
          <w:b w:val="1"/>
          <w:bCs w:val="1"/>
          <w:color w:val="auto"/>
        </w:rPr>
        <w:t>English language</w:t>
      </w:r>
    </w:p>
    <w:p>
      <w:pPr>
        <w:spacing w:after="0" w:line="135" w:lineRule="exact"/>
        <w:rPr>
          <w:sz w:val="20"/>
          <w:szCs w:val="20"/>
          <w:color w:val="auto"/>
        </w:rPr>
      </w:pPr>
    </w:p>
    <w:p>
      <w:pPr>
        <w:ind w:left="964" w:hanging="532"/>
        <w:spacing w:after="0"/>
        <w:tabs>
          <w:tab w:leader="none" w:pos="9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1424" w:right="540" w:hanging="439"/>
        <w:spacing w:after="0" w:line="277" w:lineRule="auto"/>
        <w:tabs>
          <w:tab w:leader="none" w:pos="1424" w:val="left"/>
        </w:tabs>
        <w:numPr>
          <w:ilvl w:val="2"/>
          <w:numId w:val="156"/>
        </w:numPr>
        <w:rPr>
          <w:rFonts w:ascii="Arial" w:cs="Arial" w:eastAsia="Arial" w:hAnsi="Arial"/>
          <w:sz w:val="18"/>
          <w:szCs w:val="18"/>
          <w:color w:val="auto"/>
        </w:rPr>
      </w:pPr>
      <w:r>
        <w:rPr>
          <w:rFonts w:ascii="Arial" w:cs="Arial" w:eastAsia="Arial" w:hAnsi="Arial"/>
          <w:sz w:val="18"/>
          <w:szCs w:val="18"/>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CALCULATIONS AND CERTIFICATES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b w:val="1"/>
          <w:bCs w:val="1"/>
          <w:color w:val="auto"/>
        </w:rPr>
        <w:t>Accounts</w:t>
      </w:r>
    </w:p>
    <w:p>
      <w:pPr>
        <w:spacing w:after="0" w:line="121"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27.2  </w:t>
      </w:r>
      <w:r>
        <w:rPr>
          <w:rFonts w:ascii="Arial" w:cs="Arial" w:eastAsia="Arial" w:hAnsi="Arial"/>
          <w:sz w:val="18"/>
          <w:szCs w:val="18"/>
          <w:b w:val="1"/>
          <w:bCs w:val="1"/>
          <w:color w:val="auto"/>
        </w:rPr>
        <w:t>Certificates and determinations</w:t>
      </w:r>
    </w:p>
    <w:p>
      <w:pPr>
        <w:spacing w:after="0" w:line="121" w:lineRule="exact"/>
        <w:rPr>
          <w:sz w:val="20"/>
          <w:szCs w:val="20"/>
          <w:color w:val="auto"/>
        </w:rPr>
      </w:pPr>
    </w:p>
    <w:p>
      <w:pPr>
        <w:ind w:left="444" w:right="54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27.3  </w:t>
      </w:r>
      <w:r>
        <w:rPr>
          <w:rFonts w:ascii="Arial" w:cs="Arial" w:eastAsia="Arial" w:hAnsi="Arial"/>
          <w:sz w:val="18"/>
          <w:szCs w:val="18"/>
          <w:b w:val="1"/>
          <w:bCs w:val="1"/>
          <w:color w:val="auto"/>
        </w:rPr>
        <w:t>Day count convention</w:t>
      </w:r>
    </w:p>
    <w:p>
      <w:pPr>
        <w:spacing w:after="0" w:line="121" w:lineRule="exact"/>
        <w:rPr>
          <w:sz w:val="20"/>
          <w:szCs w:val="20"/>
          <w:color w:val="auto"/>
        </w:rPr>
      </w:pPr>
    </w:p>
    <w:p>
      <w:pPr>
        <w:ind w:left="444" w:right="220"/>
        <w:spacing w:after="0" w:line="263"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984"/>
          </w:cols>
          <w:pgMar w:left="436" w:top="274" w:right="479" w:bottom="1440" w:gutter="0" w:footer="0" w:header="0"/>
        </w:sectPr>
      </w:pPr>
    </w:p>
    <w:bookmarkStart w:id="59" w:name="page60"/>
    <w:bookmarkEnd w:id="59"/>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INVALIDITY</w:t>
      </w:r>
    </w:p>
    <w:p>
      <w:pPr>
        <w:spacing w:after="0" w:line="121" w:lineRule="exact"/>
        <w:rPr>
          <w:rFonts w:ascii="Arial" w:cs="Arial" w:eastAsia="Arial" w:hAnsi="Arial"/>
          <w:sz w:val="18"/>
          <w:szCs w:val="18"/>
          <w:color w:val="auto"/>
        </w:rPr>
      </w:pPr>
    </w:p>
    <w:p>
      <w:pPr>
        <w:ind w:left="444" w:right="120"/>
        <w:spacing w:after="0" w:line="263" w:lineRule="auto"/>
        <w:rPr>
          <w:rFonts w:ascii="Arial" w:cs="Arial" w:eastAsia="Arial" w:hAnsi="Arial"/>
          <w:sz w:val="18"/>
          <w:szCs w:val="18"/>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121" w:lineRule="exact"/>
        <w:rPr>
          <w:rFonts w:ascii="Arial" w:cs="Arial" w:eastAsia="Arial" w:hAnsi="Arial"/>
          <w:sz w:val="18"/>
          <w:szCs w:val="18"/>
          <w:color w:val="auto"/>
        </w:rPr>
      </w:pPr>
    </w:p>
    <w:p>
      <w:pPr>
        <w:ind w:left="444" w:right="40"/>
        <w:spacing w:after="0" w:line="257" w:lineRule="auto"/>
        <w:rPr>
          <w:rFonts w:ascii="Arial" w:cs="Arial" w:eastAsia="Arial" w:hAnsi="Arial"/>
          <w:sz w:val="18"/>
          <w:szCs w:val="18"/>
          <w:color w:val="auto"/>
        </w:rPr>
      </w:pPr>
      <w:r>
        <w:rPr>
          <w:rFonts w:ascii="Arial" w:cs="Arial" w:eastAsia="Arial" w:hAnsi="Arial"/>
          <w:sz w:val="18"/>
          <w:szCs w:val="18"/>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Any term of the Finance Documents may be amended or waived only with the written consent of the Agent, the Lender(s) and the Borrower.</w:t>
      </w:r>
    </w:p>
    <w:p>
      <w:pPr>
        <w:spacing w:after="0" w:line="138" w:lineRule="exact"/>
        <w:rPr>
          <w:rFonts w:ascii="Arial" w:cs="Arial" w:eastAsia="Arial" w:hAnsi="Arial"/>
          <w:sz w:val="18"/>
          <w:szCs w:val="18"/>
          <w:color w:val="auto"/>
        </w:rPr>
      </w:pPr>
    </w:p>
    <w:p>
      <w:pPr>
        <w:ind w:left="424" w:hanging="424"/>
        <w:spacing w:after="0"/>
        <w:tabs>
          <w:tab w:leader="none" w:pos="42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b w:val="1"/>
          <w:bCs w:val="1"/>
          <w:color w:val="auto"/>
        </w:rPr>
        <w:t>Confidentiality</w:t>
      </w:r>
    </w:p>
    <w:p>
      <w:pPr>
        <w:spacing w:after="0" w:line="121" w:lineRule="exact"/>
        <w:rPr>
          <w:sz w:val="20"/>
          <w:szCs w:val="20"/>
          <w:color w:val="auto"/>
        </w:rPr>
      </w:pPr>
    </w:p>
    <w:p>
      <w:pPr>
        <w:ind w:left="444"/>
        <w:spacing w:after="0" w:line="263"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31.2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85"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b w:val="1"/>
          <w:bCs w:val="1"/>
          <w:color w:val="auto"/>
        </w:rPr>
        <w:t>Disclosure of Confidential Information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Any Finance Party may disclose:</w:t>
      </w:r>
    </w:p>
    <w:p>
      <w:pPr>
        <w:spacing w:after="0" w:line="131" w:lineRule="exact"/>
        <w:rPr>
          <w:sz w:val="20"/>
          <w:szCs w:val="20"/>
          <w:color w:val="auto"/>
        </w:rPr>
      </w:pPr>
    </w:p>
    <w:p>
      <w:pPr>
        <w:ind w:left="964" w:right="60" w:hanging="532"/>
        <w:spacing w:after="0" w:line="255" w:lineRule="auto"/>
        <w:tabs>
          <w:tab w:leader="none" w:pos="96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24" w:lineRule="exact"/>
        <w:rPr>
          <w:rFonts w:ascii="Arial" w:cs="Arial" w:eastAsia="Arial" w:hAnsi="Arial"/>
          <w:sz w:val="18"/>
          <w:szCs w:val="18"/>
          <w:color w:val="auto"/>
        </w:rPr>
      </w:pPr>
    </w:p>
    <w:p>
      <w:pPr>
        <w:ind w:left="5424" w:hanging="111"/>
        <w:spacing w:after="0"/>
        <w:tabs>
          <w:tab w:leader="none" w:pos="542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004"/>
          </w:cols>
          <w:pgMar w:left="436" w:top="270" w:right="459" w:bottom="1440" w:gutter="0" w:footer="0" w:header="0"/>
        </w:sectPr>
      </w:pPr>
    </w:p>
    <w:bookmarkStart w:id="60" w:name="page61"/>
    <w:bookmarkEnd w:id="60"/>
    <w:p>
      <w:pPr>
        <w:ind w:left="532" w:hanging="532"/>
        <w:spacing w:after="0"/>
        <w:tabs>
          <w:tab w:leader="none" w:pos="532"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person:</w:t>
      </w:r>
    </w:p>
    <w:p>
      <w:pPr>
        <w:spacing w:after="0" w:line="130" w:lineRule="exact"/>
        <w:rPr>
          <w:rFonts w:ascii="Arial" w:cs="Arial" w:eastAsia="Arial" w:hAnsi="Arial"/>
          <w:sz w:val="18"/>
          <w:szCs w:val="18"/>
          <w:color w:val="auto"/>
        </w:rPr>
      </w:pPr>
    </w:p>
    <w:p>
      <w:pPr>
        <w:ind w:left="992" w:hanging="439"/>
        <w:spacing w:after="0" w:line="263"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89" w:lineRule="exact"/>
        <w:rPr>
          <w:rFonts w:ascii="Arial" w:cs="Arial" w:eastAsia="Arial" w:hAnsi="Arial"/>
          <w:sz w:val="18"/>
          <w:szCs w:val="18"/>
          <w:color w:val="auto"/>
        </w:rPr>
      </w:pPr>
    </w:p>
    <w:p>
      <w:pPr>
        <w:jc w:val="both"/>
        <w:ind w:left="992" w:right="120" w:hanging="439"/>
        <w:spacing w:after="0" w:line="311" w:lineRule="auto"/>
        <w:tabs>
          <w:tab w:leader="none" w:pos="992" w:val="left"/>
        </w:tabs>
        <w:numPr>
          <w:ilvl w:val="1"/>
          <w:numId w:val="160"/>
        </w:numPr>
        <w:rPr>
          <w:rFonts w:ascii="Arial" w:cs="Arial" w:eastAsia="Arial" w:hAnsi="Arial"/>
          <w:sz w:val="16"/>
          <w:szCs w:val="16"/>
          <w:color w:val="auto"/>
        </w:rPr>
      </w:pPr>
      <w:r>
        <w:rPr>
          <w:rFonts w:ascii="Arial" w:cs="Arial" w:eastAsia="Arial" w:hAnsi="Arial"/>
          <w:sz w:val="16"/>
          <w:szCs w:val="16"/>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p>
      <w:pPr>
        <w:spacing w:after="0" w:line="54" w:lineRule="exact"/>
        <w:rPr>
          <w:rFonts w:ascii="Arial" w:cs="Arial" w:eastAsia="Arial" w:hAnsi="Arial"/>
          <w:sz w:val="16"/>
          <w:szCs w:val="16"/>
          <w:color w:val="auto"/>
        </w:rPr>
      </w:pPr>
    </w:p>
    <w:p>
      <w:pPr>
        <w:ind w:left="992" w:right="260" w:hanging="439"/>
        <w:spacing w:after="0" w:line="286" w:lineRule="auto"/>
        <w:tabs>
          <w:tab w:leader="none" w:pos="992" w:val="left"/>
        </w:tabs>
        <w:numPr>
          <w:ilvl w:val="1"/>
          <w:numId w:val="160"/>
        </w:numPr>
        <w:rPr>
          <w:rFonts w:ascii="Arial" w:cs="Arial" w:eastAsia="Arial" w:hAnsi="Arial"/>
          <w:sz w:val="17"/>
          <w:szCs w:val="17"/>
          <w:color w:val="auto"/>
        </w:rPr>
      </w:pPr>
      <w:r>
        <w:rPr>
          <w:rFonts w:ascii="Arial" w:cs="Arial" w:eastAsia="Arial" w:hAnsi="Arial"/>
          <w:sz w:val="17"/>
          <w:szCs w:val="17"/>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22.12 (</w:t>
      </w:r>
      <w:r>
        <w:rPr>
          <w:rFonts w:ascii="Arial" w:cs="Arial" w:eastAsia="Arial" w:hAnsi="Arial"/>
          <w:sz w:val="17"/>
          <w:szCs w:val="17"/>
          <w:i w:val="1"/>
          <w:iCs w:val="1"/>
          <w:color w:val="auto"/>
        </w:rPr>
        <w:t>Relationship with the Lender</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92" w:right="560" w:hanging="439"/>
        <w:spacing w:after="0" w:line="277"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75" w:lineRule="exact"/>
        <w:rPr>
          <w:rFonts w:ascii="Arial" w:cs="Arial" w:eastAsia="Arial" w:hAnsi="Arial"/>
          <w:sz w:val="18"/>
          <w:szCs w:val="18"/>
          <w:color w:val="auto"/>
        </w:rPr>
      </w:pPr>
    </w:p>
    <w:p>
      <w:pPr>
        <w:jc w:val="both"/>
        <w:ind w:left="992" w:right="160" w:hanging="439"/>
        <w:spacing w:after="0" w:line="263"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9" w:lineRule="exact"/>
        <w:rPr>
          <w:rFonts w:ascii="Arial" w:cs="Arial" w:eastAsia="Arial" w:hAnsi="Arial"/>
          <w:sz w:val="18"/>
          <w:szCs w:val="18"/>
          <w:color w:val="auto"/>
        </w:rPr>
      </w:pPr>
    </w:p>
    <w:p>
      <w:pPr>
        <w:ind w:left="992" w:hanging="439"/>
        <w:spacing w:after="0" w:line="277"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75" w:lineRule="exact"/>
        <w:rPr>
          <w:rFonts w:ascii="Arial" w:cs="Arial" w:eastAsia="Arial" w:hAnsi="Arial"/>
          <w:sz w:val="18"/>
          <w:szCs w:val="18"/>
          <w:color w:val="auto"/>
        </w:rPr>
      </w:pPr>
    </w:p>
    <w:p>
      <w:pPr>
        <w:ind w:left="992" w:right="280" w:hanging="439"/>
        <w:spacing w:after="0" w:line="277" w:lineRule="auto"/>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20.2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992" w:hanging="439"/>
        <w:spacing w:after="0"/>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130" w:lineRule="exact"/>
        <w:rPr>
          <w:rFonts w:ascii="Arial" w:cs="Arial" w:eastAsia="Arial" w:hAnsi="Arial"/>
          <w:sz w:val="18"/>
          <w:szCs w:val="18"/>
          <w:color w:val="auto"/>
        </w:rPr>
      </w:pPr>
    </w:p>
    <w:p>
      <w:pPr>
        <w:ind w:left="992" w:hanging="439"/>
        <w:spacing w:after="0"/>
        <w:tabs>
          <w:tab w:leader="none" w:pos="992" w:val="left"/>
        </w:tabs>
        <w:numPr>
          <w:ilvl w:val="1"/>
          <w:numId w:val="160"/>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31" w:lineRule="exact"/>
        <w:rPr>
          <w:sz w:val="20"/>
          <w:szCs w:val="20"/>
          <w:color w:val="auto"/>
        </w:rPr>
      </w:pPr>
    </w:p>
    <w:p>
      <w:pPr>
        <w:ind w:left="1532" w:right="20" w:hanging="533"/>
        <w:spacing w:after="0" w:line="259" w:lineRule="auto"/>
        <w:tabs>
          <w:tab w:leader="none" w:pos="1532"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19" w:lineRule="exact"/>
        <w:rPr>
          <w:rFonts w:ascii="Arial" w:cs="Arial" w:eastAsia="Arial" w:hAnsi="Arial"/>
          <w:sz w:val="18"/>
          <w:szCs w:val="18"/>
          <w:color w:val="auto"/>
        </w:rPr>
      </w:pPr>
    </w:p>
    <w:p>
      <w:pPr>
        <w:ind w:left="4992" w:hanging="111"/>
        <w:spacing w:after="0"/>
        <w:tabs>
          <w:tab w:leader="none" w:pos="499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572"/>
          </w:cols>
          <w:pgMar w:left="868" w:top="274" w:right="459" w:bottom="1440" w:gutter="0" w:footer="0" w:header="0"/>
        </w:sectPr>
      </w:pPr>
    </w:p>
    <w:bookmarkStart w:id="61" w:name="page62"/>
    <w:bookmarkEnd w:id="61"/>
    <w:p>
      <w:pPr>
        <w:ind w:left="1960" w:right="380" w:hanging="533"/>
        <w:spacing w:after="0" w:line="259" w:lineRule="auto"/>
        <w:tabs>
          <w:tab w:leader="none" w:pos="1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92" w:lineRule="exact"/>
        <w:rPr>
          <w:rFonts w:ascii="Arial" w:cs="Arial" w:eastAsia="Arial" w:hAnsi="Arial"/>
          <w:sz w:val="18"/>
          <w:szCs w:val="18"/>
          <w:color w:val="auto"/>
        </w:rPr>
      </w:pPr>
    </w:p>
    <w:p>
      <w:pPr>
        <w:jc w:val="both"/>
        <w:ind w:left="1960" w:right="60" w:hanging="533"/>
        <w:spacing w:after="0" w:line="259" w:lineRule="auto"/>
        <w:tabs>
          <w:tab w:leader="none" w:pos="196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92"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00"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p>
      <w:pPr>
        <w:spacing w:after="0" w:line="79" w:lineRule="exact"/>
        <w:rPr>
          <w:sz w:val="20"/>
          <w:szCs w:val="20"/>
          <w:color w:val="auto"/>
        </w:rPr>
      </w:pPr>
    </w:p>
    <w:p>
      <w:pPr>
        <w:ind w:left="440" w:right="140"/>
        <w:spacing w:after="0" w:line="311" w:lineRule="auto"/>
        <w:rPr>
          <w:sz w:val="20"/>
          <w:szCs w:val="20"/>
          <w:color w:val="auto"/>
        </w:rPr>
      </w:pPr>
      <w:r>
        <w:rPr>
          <w:rFonts w:ascii="Arial" w:cs="Arial" w:eastAsia="Arial" w:hAnsi="Arial"/>
          <w:sz w:val="16"/>
          <w:szCs w:val="16"/>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b w:val="1"/>
          <w:bCs w:val="1"/>
          <w:color w:val="auto"/>
        </w:rPr>
        <w:t>Entire agreement</w:t>
      </w:r>
    </w:p>
    <w:p>
      <w:pPr>
        <w:spacing w:after="0" w:line="121" w:lineRule="exact"/>
        <w:rPr>
          <w:sz w:val="20"/>
          <w:szCs w:val="20"/>
          <w:color w:val="auto"/>
        </w:rPr>
      </w:pPr>
    </w:p>
    <w:p>
      <w:pPr>
        <w:ind w:left="440" w:right="460"/>
        <w:spacing w:after="0" w:line="263" w:lineRule="auto"/>
        <w:rPr>
          <w:sz w:val="20"/>
          <w:szCs w:val="20"/>
          <w:color w:val="auto"/>
        </w:rPr>
      </w:pPr>
      <w:r>
        <w:rPr>
          <w:rFonts w:ascii="Arial" w:cs="Arial" w:eastAsia="Arial" w:hAnsi="Arial"/>
          <w:sz w:val="18"/>
          <w:szCs w:val="18"/>
          <w:color w:val="auto"/>
        </w:rPr>
        <w:t>This Clause 31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960"/>
          </w:cols>
          <w:pgMar w:left="440" w:top="274" w:right="499" w:bottom="1440" w:gutter="0" w:footer="0" w:header="0"/>
        </w:sectPr>
      </w:pPr>
    </w:p>
    <w:bookmarkStart w:id="62" w:name="page63"/>
    <w:bookmarkEnd w:id="62"/>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31.4  </w:t>
      </w:r>
      <w:r>
        <w:rPr>
          <w:rFonts w:ascii="Arial" w:cs="Arial" w:eastAsia="Arial" w:hAnsi="Arial"/>
          <w:sz w:val="18"/>
          <w:szCs w:val="18"/>
          <w:b w:val="1"/>
          <w:bCs w:val="1"/>
          <w:color w:val="auto"/>
        </w:rPr>
        <w:t>Inside information</w:t>
      </w:r>
    </w:p>
    <w:p>
      <w:pPr>
        <w:spacing w:after="0" w:line="121" w:lineRule="exact"/>
        <w:rPr>
          <w:sz w:val="20"/>
          <w:szCs w:val="20"/>
          <w:color w:val="auto"/>
        </w:rPr>
      </w:pPr>
    </w:p>
    <w:p>
      <w:pPr>
        <w:jc w:val="both"/>
        <w:ind w:left="444" w:right="180"/>
        <w:spacing w:after="0" w:line="286" w:lineRule="auto"/>
        <w:rPr>
          <w:sz w:val="20"/>
          <w:szCs w:val="20"/>
          <w:color w:val="auto"/>
        </w:rPr>
      </w:pPr>
      <w:r>
        <w:rPr>
          <w:rFonts w:ascii="Arial" w:cs="Arial" w:eastAsia="Arial" w:hAnsi="Arial"/>
          <w:sz w:val="17"/>
          <w:szCs w:val="17"/>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b w:val="1"/>
          <w:bCs w:val="1"/>
          <w:color w:val="auto"/>
        </w:rPr>
        <w:t>Notification of disclosure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131" w:lineRule="exact"/>
        <w:rPr>
          <w:sz w:val="20"/>
          <w:szCs w:val="20"/>
          <w:color w:val="auto"/>
        </w:rPr>
      </w:pPr>
    </w:p>
    <w:p>
      <w:pPr>
        <w:ind w:left="964" w:right="300" w:hanging="532"/>
        <w:spacing w:after="0" w:line="263" w:lineRule="auto"/>
        <w:tabs>
          <w:tab w:leader="none" w:pos="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31.2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course of its supervisory or regulatory function;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31.</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b w:val="1"/>
          <w:bCs w:val="1"/>
          <w:color w:val="auto"/>
        </w:rPr>
        <w:t>Continuing obligations</w:t>
      </w:r>
    </w:p>
    <w:p>
      <w:pPr>
        <w:spacing w:after="0" w:line="12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The obligations in this Clause 31 are continuing and, in particular, shall survive and remain binding on each Finance Party for a period of twelve months from the earlier of:</w:t>
      </w:r>
    </w:p>
    <w:p>
      <w:pPr>
        <w:spacing w:after="0" w:line="76" w:lineRule="exact"/>
        <w:rPr>
          <w:sz w:val="20"/>
          <w:szCs w:val="20"/>
          <w:color w:val="auto"/>
        </w:rPr>
      </w:pPr>
    </w:p>
    <w:p>
      <w:pPr>
        <w:ind w:left="964" w:right="20" w:hanging="532"/>
        <w:spacing w:after="0" w:line="277" w:lineRule="auto"/>
        <w:tabs>
          <w:tab w:leader="none" w:pos="96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date on which all amounts payable by the Borrower under or in connection with this Agreement have been paid in full and the Facility has been cancelled or otherwise cease to be available;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CONFIDENTIALITY OF FUNDING RATES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b w:val="1"/>
          <w:bCs w:val="1"/>
          <w:color w:val="auto"/>
        </w:rPr>
        <w:t>Confidentiality and disclosure</w:t>
      </w:r>
    </w:p>
    <w:p>
      <w:pPr>
        <w:spacing w:after="0" w:line="135" w:lineRule="exact"/>
        <w:rPr>
          <w:sz w:val="20"/>
          <w:szCs w:val="20"/>
          <w:color w:val="auto"/>
        </w:rPr>
      </w:pPr>
    </w:p>
    <w:p>
      <w:pPr>
        <w:ind w:left="964" w:hanging="532"/>
        <w:spacing w:after="0" w:line="277" w:lineRule="auto"/>
        <w:tabs>
          <w:tab w:leader="none" w:pos="96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Agent and the Borrower agree to keep each Funding Rate confidential and not to disclose it to anyone, save to the extent permitted by paragraphs (b) and (c) below.</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Funding Rate to the Borrower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4" w:right="80" w:hanging="439"/>
        <w:spacing w:after="0" w:line="257" w:lineRule="auto"/>
        <w:tabs>
          <w:tab w:leader="none" w:pos="1424"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2"/>
          <w:numId w:val="167"/>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924"/>
          </w:cols>
          <w:pgMar w:left="436" w:top="270" w:right="539" w:bottom="1440" w:gutter="0" w:footer="0" w:header="0"/>
        </w:sectPr>
      </w:pPr>
    </w:p>
    <w:bookmarkStart w:id="63" w:name="page64"/>
    <w:bookmarkEnd w:id="63"/>
    <w:p>
      <w:pPr>
        <w:ind w:left="960" w:hanging="532"/>
        <w:spacing w:after="0"/>
        <w:tabs>
          <w:tab w:leader="none" w:pos="9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may disclose any Funding Rate, and the Borrower may disclose any Funding Rate, to:</w:t>
      </w:r>
    </w:p>
    <w:p>
      <w:pPr>
        <w:spacing w:after="0" w:line="130" w:lineRule="exact"/>
        <w:rPr>
          <w:rFonts w:ascii="Arial" w:cs="Arial" w:eastAsia="Arial" w:hAnsi="Arial"/>
          <w:sz w:val="18"/>
          <w:szCs w:val="18"/>
          <w:color w:val="auto"/>
        </w:rPr>
      </w:pPr>
    </w:p>
    <w:p>
      <w:pPr>
        <w:jc w:val="both"/>
        <w:ind w:left="1420" w:hanging="439"/>
        <w:spacing w:after="0" w:line="257" w:lineRule="auto"/>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93" w:lineRule="exact"/>
        <w:rPr>
          <w:rFonts w:ascii="Arial" w:cs="Arial" w:eastAsia="Arial" w:hAnsi="Arial"/>
          <w:sz w:val="18"/>
          <w:szCs w:val="18"/>
          <w:color w:val="auto"/>
        </w:rPr>
      </w:pPr>
    </w:p>
    <w:p>
      <w:pPr>
        <w:ind w:left="1420" w:hanging="439"/>
        <w:spacing w:after="0" w:line="275" w:lineRule="auto"/>
        <w:tabs>
          <w:tab w:leader="none" w:pos="142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p>
      <w:pPr>
        <w:spacing w:after="0" w:line="81" w:lineRule="exact"/>
        <w:rPr>
          <w:rFonts w:ascii="Arial" w:cs="Arial" w:eastAsia="Arial" w:hAnsi="Arial"/>
          <w:sz w:val="17"/>
          <w:szCs w:val="17"/>
          <w:color w:val="auto"/>
        </w:rPr>
      </w:pPr>
    </w:p>
    <w:p>
      <w:pPr>
        <w:ind w:left="1420" w:right="40" w:hanging="439"/>
        <w:spacing w:after="0" w:line="301" w:lineRule="auto"/>
        <w:tabs>
          <w:tab w:leader="none" w:pos="14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p>
      <w:pPr>
        <w:spacing w:after="0" w:line="62" w:lineRule="exact"/>
        <w:rPr>
          <w:rFonts w:ascii="Arial" w:cs="Arial" w:eastAsia="Arial" w:hAnsi="Arial"/>
          <w:sz w:val="16"/>
          <w:szCs w:val="16"/>
          <w:color w:val="auto"/>
        </w:rPr>
      </w:pPr>
    </w:p>
    <w:p>
      <w:pPr>
        <w:ind w:left="1420" w:hanging="439"/>
        <w:spacing w:after="0"/>
        <w:tabs>
          <w:tab w:leader="none" w:pos="14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b w:val="1"/>
          <w:bCs w:val="1"/>
          <w:color w:val="auto"/>
        </w:rPr>
        <w:t>Related obligations</w:t>
      </w:r>
    </w:p>
    <w:p>
      <w:pPr>
        <w:spacing w:after="0" w:line="135" w:lineRule="exact"/>
        <w:rPr>
          <w:sz w:val="20"/>
          <w:szCs w:val="20"/>
          <w:color w:val="auto"/>
        </w:rPr>
      </w:pPr>
    </w:p>
    <w:p>
      <w:pPr>
        <w:ind w:left="960" w:hanging="532"/>
        <w:spacing w:after="0" w:line="263" w:lineRule="auto"/>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use any Funding Rate for any unlawful purpose.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Agent and the Borrower agree (to the extent permitted by law and regulation) to inform the relevant Lender:</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000"/>
          </w:cols>
          <w:pgMar w:left="440" w:top="274" w:right="459" w:bottom="1440" w:gutter="0" w:footer="0" w:header="0"/>
        </w:sectPr>
      </w:pPr>
    </w:p>
    <w:bookmarkStart w:id="64" w:name="page65"/>
    <w:bookmarkEnd w:id="64"/>
    <w:p>
      <w:pPr>
        <w:jc w:val="both"/>
        <w:ind w:left="1424" w:hanging="439"/>
        <w:spacing w:after="0" w:line="263" w:lineRule="auto"/>
        <w:tabs>
          <w:tab w:leader="none" w:pos="1424" w:val="left"/>
        </w:tabs>
        <w:numPr>
          <w:ilvl w:val="0"/>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circumstances of any disclosure made pursuant to paragraph I(ii) of Clause 32.1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32.</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b w:val="1"/>
          <w:bCs w:val="1"/>
          <w:color w:val="auto"/>
        </w:rPr>
        <w:t>No Event of Default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No Event of Default will occur under Clause 19.2 (</w:t>
      </w:r>
      <w:r>
        <w:rPr>
          <w:rFonts w:ascii="Arial" w:cs="Arial" w:eastAsia="Arial" w:hAnsi="Arial"/>
          <w:sz w:val="17"/>
          <w:szCs w:val="17"/>
          <w:i w:val="1"/>
          <w:iCs w:val="1"/>
          <w:color w:val="auto"/>
        </w:rPr>
        <w:t>Other obligations</w:t>
      </w:r>
      <w:r>
        <w:rPr>
          <w:rFonts w:ascii="Arial" w:cs="Arial" w:eastAsia="Arial" w:hAnsi="Arial"/>
          <w:sz w:val="17"/>
          <w:szCs w:val="17"/>
          <w:color w:val="auto"/>
        </w:rPr>
        <w:t>) by reason only of the Borrower’s failure to comply with this Clause 32.</w:t>
      </w:r>
    </w:p>
    <w:p>
      <w:pPr>
        <w:spacing w:after="0" w:line="138"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b w:val="1"/>
          <w:bCs w:val="1"/>
          <w:color w:val="auto"/>
        </w:rPr>
        <w:t>Jurisdiction</w:t>
      </w:r>
    </w:p>
    <w:p>
      <w:pPr>
        <w:spacing w:after="0" w:line="135" w:lineRule="exact"/>
        <w:rPr>
          <w:sz w:val="20"/>
          <w:szCs w:val="20"/>
          <w:color w:val="auto"/>
        </w:rPr>
      </w:pPr>
    </w:p>
    <w:p>
      <w:pPr>
        <w:ind w:left="964" w:right="300" w:hanging="532"/>
        <w:spacing w:after="0" w:line="263" w:lineRule="auto"/>
        <w:tabs>
          <w:tab w:leader="none" w:pos="9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964" w:right="400" w:hanging="532"/>
        <w:spacing w:after="0" w:line="277" w:lineRule="auto"/>
        <w:tabs>
          <w:tab w:leader="none" w:pos="96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Borrower agrees that the courts of England are the most appropriate and convenient courts to settle Disputes and accordingly the Borrower will not argue to the contrary.</w:t>
      </w:r>
    </w:p>
    <w:p>
      <w:pPr>
        <w:spacing w:after="0" w:line="75" w:lineRule="exact"/>
        <w:rPr>
          <w:rFonts w:ascii="Arial" w:cs="Arial" w:eastAsia="Arial" w:hAnsi="Arial"/>
          <w:sz w:val="18"/>
          <w:szCs w:val="18"/>
          <w:color w:val="auto"/>
        </w:rPr>
      </w:pPr>
    </w:p>
    <w:p>
      <w:pPr>
        <w:ind w:left="964" w:right="480" w:hanging="532"/>
        <w:spacing w:after="0" w:line="342" w:lineRule="auto"/>
        <w:tabs>
          <w:tab w:leader="none" w:pos="96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Notwithstanding paragraph (a) and (b) above, any Finance Party may take proceedings relating to a Dispute in any other courts with jurisdiction. To the extent allowed by law, the Finance Parties may take concurrent proceedings in any number of jurisdictions.</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0964"/>
          </w:cols>
          <w:pgMar w:left="436" w:top="274" w:right="499" w:bottom="1440" w:gutter="0" w:footer="0" w:header="0"/>
        </w:sectPr>
      </w:pPr>
    </w:p>
    <w:bookmarkStart w:id="65" w:name="page66"/>
    <w:bookmarkEnd w:id="65"/>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CONDITIONS PRECEDENT TO INITIAL UTILISATION</w:t>
      </w:r>
    </w:p>
    <w:p>
      <w:pPr>
        <w:spacing w:after="0" w:line="112"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The Borrower</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the constitutional documents of the Borrower.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the Borrower:</w:t>
      </w:r>
    </w:p>
    <w:p>
      <w:pPr>
        <w:spacing w:after="0" w:line="130" w:lineRule="exact"/>
        <w:rPr>
          <w:rFonts w:ascii="Arial" w:cs="Arial" w:eastAsia="Arial" w:hAnsi="Arial"/>
          <w:sz w:val="18"/>
          <w:szCs w:val="18"/>
          <w:color w:val="auto"/>
        </w:rPr>
      </w:pPr>
    </w:p>
    <w:p>
      <w:pPr>
        <w:ind w:left="1424" w:right="360" w:hanging="439"/>
        <w:spacing w:after="0" w:line="277" w:lineRule="auto"/>
        <w:tabs>
          <w:tab w:leader="none" w:pos="1424"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execute the Finance Documents to which it is a party;</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173"/>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the Finance Documents to which it is a party on its behalf; and</w:t>
      </w:r>
    </w:p>
    <w:p>
      <w:pPr>
        <w:spacing w:after="0" w:line="130" w:lineRule="exact"/>
        <w:rPr>
          <w:rFonts w:ascii="Arial" w:cs="Arial" w:eastAsia="Arial" w:hAnsi="Arial"/>
          <w:sz w:val="18"/>
          <w:szCs w:val="18"/>
          <w:color w:val="auto"/>
        </w:rPr>
      </w:pPr>
    </w:p>
    <w:p>
      <w:pPr>
        <w:ind w:left="1424" w:hanging="439"/>
        <w:spacing w:after="0" w:line="342" w:lineRule="auto"/>
        <w:tabs>
          <w:tab w:leader="none" w:pos="1424" w:val="left"/>
        </w:tabs>
        <w:numPr>
          <w:ilvl w:val="2"/>
          <w:numId w:val="173"/>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(including, any Utilisation Request) to be signed and/or despatched by it under or in connection with the Finance Documents to which it is a party.</w:t>
      </w:r>
    </w:p>
    <w:p>
      <w:pPr>
        <w:spacing w:after="0" w:line="29" w:lineRule="exact"/>
        <w:rPr>
          <w:rFonts w:ascii="Arial" w:cs="Arial" w:eastAsia="Arial" w:hAnsi="Arial"/>
          <w:sz w:val="16"/>
          <w:szCs w:val="16"/>
          <w:color w:val="auto"/>
        </w:rPr>
      </w:pPr>
    </w:p>
    <w:p>
      <w:pPr>
        <w:ind w:left="964" w:right="680" w:hanging="532"/>
        <w:spacing w:after="0" w:line="308" w:lineRule="auto"/>
        <w:tabs>
          <w:tab w:leader="none" w:pos="964" w:val="left"/>
        </w:tabs>
        <w:numPr>
          <w:ilvl w:val="1"/>
          <w:numId w:val="173"/>
        </w:numPr>
        <w:rPr>
          <w:rFonts w:ascii="Arial" w:cs="Arial" w:eastAsia="Arial" w:hAnsi="Arial"/>
          <w:sz w:val="17"/>
          <w:szCs w:val="17"/>
          <w:color w:val="auto"/>
        </w:rPr>
      </w:pPr>
      <w:r>
        <w:rPr>
          <w:rFonts w:ascii="Arial" w:cs="Arial" w:eastAsia="Arial" w:hAnsi="Arial"/>
          <w:sz w:val="17"/>
          <w:szCs w:val="17"/>
          <w:color w:val="auto"/>
        </w:rPr>
        <w:t>A certificate of the Borrower (signed by the chief executive officer or the chief financial officer of the Borrower) confirming that borrowing the Facility would not cause any borrowing or similar limit binding on the Borrower to be exceeded.</w:t>
      </w:r>
    </w:p>
    <w:p>
      <w:pPr>
        <w:spacing w:after="0" w:line="51" w:lineRule="exact"/>
        <w:rPr>
          <w:rFonts w:ascii="Arial" w:cs="Arial" w:eastAsia="Arial" w:hAnsi="Arial"/>
          <w:sz w:val="17"/>
          <w:szCs w:val="17"/>
          <w:color w:val="auto"/>
        </w:rPr>
      </w:pPr>
    </w:p>
    <w:p>
      <w:pPr>
        <w:ind w:left="964" w:right="200" w:hanging="532"/>
        <w:spacing w:after="0" w:line="263"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certificate of the chief executive officer or the chief financial officer of the Borrower certifying that each copy document relating to it specified in this Schedule 1 is correct, complete and in full force and effect as at a date no earlier than the date of the first Utilisation Request to be delivered under this Agreement.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the authorities to allot referred to in Clause 16.14 (</w:t>
      </w:r>
      <w:r>
        <w:rPr>
          <w:rFonts w:ascii="Arial" w:cs="Arial" w:eastAsia="Arial" w:hAnsi="Arial"/>
          <w:sz w:val="18"/>
          <w:szCs w:val="18"/>
          <w:i w:val="1"/>
          <w:iCs w:val="1"/>
          <w:color w:val="auto"/>
        </w:rPr>
        <w:t>Allotment of shares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Evidence that the fees, costs and expenses then due from the Borrower pursuant to Clause 15 (</w:t>
      </w:r>
      <w:r>
        <w:rPr>
          <w:rFonts w:ascii="Arial" w:cs="Arial" w:eastAsia="Arial" w:hAnsi="Arial"/>
          <w:sz w:val="18"/>
          <w:szCs w:val="18"/>
          <w:i w:val="1"/>
          <w:iCs w:val="1"/>
          <w:color w:val="auto"/>
        </w:rPr>
        <w:t>Costs and expenses</w:t>
      </w:r>
      <w:r>
        <w:rPr>
          <w:rFonts w:ascii="Arial" w:cs="Arial" w:eastAsia="Arial" w:hAnsi="Arial"/>
          <w:sz w:val="18"/>
          <w:szCs w:val="18"/>
          <w:color w:val="auto"/>
        </w:rPr>
        <w:t>) have been paid or will be paid (by authorising the Lender to withhold proceeds from the first Utilisation) by the first Utilisation Date.</w:t>
      </w:r>
    </w:p>
    <w:p>
      <w:pPr>
        <w:spacing w:after="0" w:line="75" w:lineRule="exact"/>
        <w:rPr>
          <w:rFonts w:ascii="Arial" w:cs="Arial" w:eastAsia="Arial" w:hAnsi="Arial"/>
          <w:sz w:val="18"/>
          <w:szCs w:val="18"/>
          <w:color w:val="auto"/>
        </w:rPr>
      </w:pPr>
    </w:p>
    <w:p>
      <w:pPr>
        <w:ind w:left="964" w:hanging="532"/>
        <w:spacing w:after="0" w:line="263" w:lineRule="auto"/>
        <w:tabs>
          <w:tab w:leader="none" w:pos="96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3"/>
          <w:numId w:val="173"/>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0944"/>
          </w:cols>
          <w:pgMar w:left="436" w:top="270" w:right="519" w:bottom="1440" w:gutter="0" w:footer="0" w:header="0"/>
        </w:sectPr>
      </w:pPr>
    </w:p>
    <w:bookmarkStart w:id="66" w:name="page67"/>
    <w:bookmarkEnd w:id="66"/>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UTILISATION REQUEST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Polestar Automotive Holding UK PLC as Borrower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Snita Holding B.V. as Agent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Polestar Automotive Holding UK PLC – USD800,000,000 Facility Agreement</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dated 3 November 2022 (the “Agreement”)</w:t>
      </w:r>
    </w:p>
    <w:p>
      <w:pPr>
        <w:spacing w:after="0" w:line="238" w:lineRule="exact"/>
        <w:rPr>
          <w:sz w:val="20"/>
          <w:szCs w:val="20"/>
          <w:color w:val="auto"/>
        </w:rPr>
      </w:pPr>
    </w:p>
    <w:p>
      <w:pPr>
        <w:ind w:left="424" w:right="360" w:hanging="424"/>
        <w:spacing w:after="0" w:line="277" w:lineRule="auto"/>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ectPr>
          <w:pgSz w:w="11900" w:h="16838" w:orient="portrait"/>
          <w:cols w:equalWidth="0" w:num="1">
            <w:col w:w="10904"/>
          </w:cols>
          <w:pgMar w:left="436" w:top="270" w:right="559" w:bottom="1440" w:gutter="0" w:footer="0" w:header="0"/>
        </w:sectPr>
      </w:pPr>
    </w:p>
    <w:p>
      <w:pPr>
        <w:spacing w:after="0" w:line="13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 (or, if that is not a Business Day, the next Business Day)</w:t>
      </w:r>
    </w:p>
    <w:p>
      <w:pPr>
        <w:spacing w:after="0" w:line="222" w:lineRule="exact"/>
        <w:rPr>
          <w:sz w:val="20"/>
          <w:szCs w:val="20"/>
          <w:color w:val="auto"/>
        </w:rPr>
      </w:pPr>
    </w:p>
    <w:p>
      <w:pPr>
        <w:sectPr>
          <w:pgSz w:w="11900" w:h="16838" w:orient="portrait"/>
          <w:cols w:equalWidth="0" w:num="3">
            <w:col w:w="3484" w:space="720"/>
            <w:col w:w="60" w:space="180"/>
            <w:col w:w="6460"/>
          </w:cols>
          <w:pgMar w:left="436" w:top="270" w:right="55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USD[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or, if less, the Available Facility</w:t>
      </w:r>
    </w:p>
    <w:p>
      <w:pPr>
        <w:spacing w:after="0" w:line="211" w:lineRule="exact"/>
        <w:rPr>
          <w:sz w:val="20"/>
          <w:szCs w:val="20"/>
          <w:color w:val="auto"/>
        </w:rPr>
      </w:pPr>
    </w:p>
    <w:p>
      <w:pPr>
        <w:sectPr>
          <w:pgSz w:w="11900" w:h="16838" w:orient="portrait"/>
          <w:cols w:equalWidth="0" w:num="3">
            <w:col w:w="3484" w:space="720"/>
            <w:col w:w="420" w:space="180"/>
            <w:col w:w="6100"/>
          </w:cols>
          <w:pgMar w:left="436" w:top="270" w:right="559" w:bottom="1440" w:gutter="0" w:footer="0" w:header="0"/>
          <w:type w:val="continuous"/>
        </w:sectPr>
      </w:pPr>
    </w:p>
    <w:p>
      <w:pPr>
        <w:spacing w:after="0" w:line="64" w:lineRule="exact"/>
        <w:rPr>
          <w:sz w:val="20"/>
          <w:szCs w:val="20"/>
          <w:color w:val="auto"/>
        </w:rPr>
      </w:pPr>
    </w:p>
    <w:p>
      <w:pPr>
        <w:ind w:left="424" w:hanging="424"/>
        <w:spacing w:after="0" w:line="277" w:lineRule="auto"/>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of the Agreement is satisfied on the date of this Utilisation Request.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other Utilisation Request has been delivered in this calendar month.</w:t>
      </w:r>
    </w:p>
    <w:p>
      <w:pPr>
        <w:spacing w:after="0" w:line="130"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[We authorise you to deduct from the proceeds of the Loan an aggregate amount equal to the aggregate amount of any fees, costs and expenses due from us as of the Utilisation Date pursuant to Clause 15 (</w:t>
      </w:r>
      <w:r>
        <w:rPr>
          <w:rFonts w:ascii="Arial" w:cs="Arial" w:eastAsia="Arial" w:hAnsi="Arial"/>
          <w:sz w:val="18"/>
          <w:szCs w:val="18"/>
          <w:i w:val="1"/>
          <w:iCs w:val="1"/>
          <w:color w:val="auto"/>
        </w:rPr>
        <w:t>Costs and expenses</w:t>
      </w:r>
      <w:r>
        <w:rPr>
          <w:rFonts w:ascii="Arial" w:cs="Arial" w:eastAsia="Arial" w:hAnsi="Arial"/>
          <w:sz w:val="18"/>
          <w:szCs w:val="18"/>
          <w:color w:val="auto"/>
        </w:rPr>
        <w:t>) of the Agreement, and apply such amount in discharge of such payments.]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[Following the deduction pursuant to paragraph 5 above, the]/[The]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authorised signatory for and on behalf of</w:t>
      </w:r>
    </w:p>
    <w:p>
      <w:pPr>
        <w:spacing w:after="0" w:line="2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Polestar Automotive Holding UK PLC</w:t>
      </w:r>
    </w:p>
    <w:p>
      <w:pPr>
        <w:spacing w:after="0" w:line="14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0904"/>
          </w:cols>
          <w:pgMar w:left="436" w:top="270" w:right="559" w:bottom="1440" w:gutter="0" w:footer="0" w:header="0"/>
          <w:type w:val="continuous"/>
        </w:sectPr>
      </w:pPr>
    </w:p>
    <w:bookmarkStart w:id="67" w:name="page68"/>
    <w:bookmarkEnd w:id="67"/>
    <w:p>
      <w:pPr>
        <w:jc w:val="center"/>
        <w:ind w:right="-2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7" w:lineRule="exact"/>
        <w:rPr>
          <w:sz w:val="20"/>
          <w:szCs w:val="20"/>
          <w:color w:val="auto"/>
        </w:rPr>
      </w:pPr>
    </w:p>
    <w:p>
      <w:pPr>
        <w:jc w:val="center"/>
        <w:ind w:right="-283"/>
        <w:spacing w:after="0"/>
        <w:rPr>
          <w:sz w:val="20"/>
          <w:szCs w:val="20"/>
          <w:color w:val="auto"/>
        </w:rPr>
      </w:pPr>
      <w:r>
        <w:rPr>
          <w:rFonts w:ascii="Arial" w:cs="Arial" w:eastAsia="Arial" w:hAnsi="Arial"/>
          <w:sz w:val="18"/>
          <w:szCs w:val="18"/>
          <w:b w:val="1"/>
          <w:bCs w:val="1"/>
          <w:color w:val="auto"/>
        </w:rPr>
        <w:t>FORM OF COMPLIANCE CERTIFICATE</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Polestar Automotive Holding UK PLC as Borrower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Snita Holding B.V. as Agent</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jc w:val="center"/>
        <w:ind w:right="-283"/>
        <w:spacing w:after="0"/>
        <w:rPr>
          <w:sz w:val="20"/>
          <w:szCs w:val="20"/>
          <w:color w:val="auto"/>
        </w:rPr>
      </w:pPr>
      <w:r>
        <w:rPr>
          <w:rFonts w:ascii="Arial" w:cs="Arial" w:eastAsia="Arial" w:hAnsi="Arial"/>
          <w:sz w:val="18"/>
          <w:szCs w:val="18"/>
          <w:b w:val="1"/>
          <w:bCs w:val="1"/>
          <w:color w:val="auto"/>
        </w:rPr>
        <w:t>Polestar Automotive Holding UK PLC – USD800,000,000 Facility Agreement</w:t>
      </w:r>
    </w:p>
    <w:p>
      <w:pPr>
        <w:spacing w:after="0" w:line="27" w:lineRule="exact"/>
        <w:rPr>
          <w:sz w:val="20"/>
          <w:szCs w:val="20"/>
          <w:color w:val="auto"/>
        </w:rPr>
      </w:pPr>
    </w:p>
    <w:p>
      <w:pPr>
        <w:jc w:val="center"/>
        <w:ind w:right="-283"/>
        <w:spacing w:after="0"/>
        <w:rPr>
          <w:sz w:val="20"/>
          <w:szCs w:val="20"/>
          <w:color w:val="auto"/>
        </w:rPr>
      </w:pPr>
      <w:r>
        <w:rPr>
          <w:rFonts w:ascii="Arial" w:cs="Arial" w:eastAsia="Arial" w:hAnsi="Arial"/>
          <w:sz w:val="18"/>
          <w:szCs w:val="18"/>
          <w:b w:val="1"/>
          <w:bCs w:val="1"/>
          <w:color w:val="auto"/>
        </w:rPr>
        <w:t>dated 3 November 2022 (the “ Agreement”)</w:t>
      </w:r>
    </w:p>
    <w:p>
      <w:pPr>
        <w:spacing w:after="0" w:line="238" w:lineRule="exact"/>
        <w:rPr>
          <w:sz w:val="20"/>
          <w:szCs w:val="20"/>
          <w:color w:val="auto"/>
        </w:rPr>
      </w:pPr>
    </w:p>
    <w:p>
      <w:pPr>
        <w:ind w:left="424" w:right="520" w:hanging="424"/>
        <w:spacing w:after="0" w:line="277" w:lineRule="auto"/>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[We confirm that no Event of Default is continuing.]*</w:t>
      </w:r>
    </w:p>
    <w:p>
      <w:pPr>
        <w:spacing w:after="0" w:line="225"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[Chief Executive Officer]/[Chief Financial Officer] of</w:t>
      </w:r>
    </w:p>
    <w:p>
      <w:pPr>
        <w:spacing w:after="0" w:line="23" w:lineRule="exact"/>
        <w:rPr>
          <w:sz w:val="20"/>
          <w:szCs w:val="20"/>
          <w:color w:val="auto"/>
        </w:rPr>
      </w:pPr>
    </w:p>
    <w:p>
      <w:pPr>
        <w:jc w:val="center"/>
        <w:ind w:right="-283"/>
        <w:spacing w:after="0"/>
        <w:rPr>
          <w:sz w:val="20"/>
          <w:szCs w:val="20"/>
          <w:color w:val="auto"/>
        </w:rPr>
      </w:pPr>
      <w:r>
        <w:rPr>
          <w:rFonts w:ascii="Arial" w:cs="Arial" w:eastAsia="Arial" w:hAnsi="Arial"/>
          <w:sz w:val="18"/>
          <w:szCs w:val="18"/>
          <w:color w:val="auto"/>
        </w:rPr>
        <w:t>Polestar Automotive Holding UK PLC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w:t>
      </w:r>
    </w:p>
    <w:p>
      <w:pPr>
        <w:spacing w:after="0" w:line="131" w:lineRule="exact"/>
        <w:rPr>
          <w:sz w:val="20"/>
          <w:szCs w:val="20"/>
          <w:color w:val="auto"/>
        </w:rPr>
      </w:pPr>
    </w:p>
    <w:p>
      <w:pPr>
        <w:ind w:left="424" w:hanging="424"/>
        <w:spacing w:after="0" w:line="277" w:lineRule="auto"/>
        <w:tabs>
          <w:tab w:leader="none" w:pos="42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this statement cannot be made, the Compliance Certificate should identify any Event of Default that is continuing and the steps, if any, being taken to remedy it.</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77"/>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724"/>
          </w:cols>
          <w:pgMar w:left="436" w:top="270" w:right="739" w:bottom="1440" w:gutter="0" w:footer="0" w:header="0"/>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Dollars.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funds as a fallback</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Cost of funds will apply as a fallback.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Term Rate:</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8"/>
          <w:szCs w:val="18"/>
          <w:b w:val="1"/>
          <w:bCs w:val="1"/>
          <w:color w:val="auto"/>
        </w:rPr>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-213360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7"/>
          <w:szCs w:val="17"/>
          <w:b w:val="1"/>
          <w:bCs w:val="1"/>
          <w:color w:val="auto"/>
        </w:rPr>
        <w:t>REFERENCE RATE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Any day other than:</w:t>
      </w:r>
    </w:p>
    <w:p>
      <w:pPr>
        <w:spacing w:after="0" w:line="13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(a)    a Saturday or a Sunday; and</w:t>
      </w:r>
    </w:p>
    <w:p>
      <w:pPr>
        <w:spacing w:after="0" w:line="131" w:lineRule="exact"/>
        <w:rPr>
          <w:sz w:val="20"/>
          <w:szCs w:val="20"/>
          <w:color w:val="auto"/>
        </w:rPr>
      </w:pPr>
    </w:p>
    <w:p>
      <w:pPr>
        <w:ind w:left="1760" w:right="140" w:hanging="359"/>
        <w:spacing w:after="0" w:line="301" w:lineRule="auto"/>
        <w:rPr>
          <w:sz w:val="20"/>
          <w:szCs w:val="20"/>
          <w:color w:val="auto"/>
        </w:rPr>
      </w:pPr>
      <w:r>
        <w:rPr>
          <w:rFonts w:ascii="Arial" w:cs="Arial" w:eastAsia="Arial" w:hAnsi="Arial"/>
          <w:sz w:val="16"/>
          <w:szCs w:val="16"/>
          <w:color w:val="auto"/>
        </w:rPr>
        <w:t>(b)    a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63" w:lineRule="exact"/>
        <w:rPr>
          <w:sz w:val="20"/>
          <w:szCs w:val="20"/>
          <w:color w:val="auto"/>
        </w:rPr>
      </w:pPr>
    </w:p>
    <w:p>
      <w:pPr>
        <w:ind w:left="1400"/>
        <w:spacing w:after="0" w:line="255" w:lineRule="auto"/>
        <w:rPr>
          <w:sz w:val="20"/>
          <w:szCs w:val="20"/>
          <w:color w:val="auto"/>
        </w:rPr>
      </w:pPr>
      <w:r>
        <w:rPr>
          <w:rFonts w:ascii="Arial" w:cs="Arial" w:eastAsia="Arial" w:hAnsi="Arial"/>
          <w:sz w:val="18"/>
          <w:szCs w:val="18"/>
          <w:color w:val="auto"/>
        </w:rPr>
        <w:t>The Term SOFR reference rate administered by ICE Benchmark Administration Limited (or any other person which takes over the administration of that rate) for the relevant period published (before any correction, recalculation or republication by the administrator) by ICE Benchmark Administration Limited (or any other person which takes over the publication of that rate).</w:t>
      </w:r>
    </w:p>
    <w:p>
      <w:pPr>
        <w:spacing w:after="0" w:line="80" w:lineRule="exact"/>
        <w:rPr>
          <w:sz w:val="20"/>
          <w:szCs w:val="20"/>
          <w:color w:val="auto"/>
        </w:rPr>
      </w:pPr>
    </w:p>
    <w:p>
      <w:pPr>
        <w:sectPr>
          <w:pgSz w:w="11900" w:h="16838" w:orient="portrait"/>
          <w:cols w:equalWidth="0" w:num="2">
            <w:col w:w="3620" w:space="720"/>
            <w:col w:w="6580"/>
          </w:cols>
          <w:pgMar w:left="440" w:top="270" w:right="539" w:bottom="1440" w:gutter="0" w:footer="0" w:header="0"/>
        </w:sectPr>
      </w:pPr>
    </w:p>
    <w:p>
      <w:pPr>
        <w:spacing w:after="0"/>
        <w:tabs>
          <w:tab w:leader="none" w:pos="5720" w:val="left"/>
        </w:tabs>
        <w:rPr>
          <w:sz w:val="20"/>
          <w:szCs w:val="20"/>
          <w:color w:val="auto"/>
        </w:rPr>
      </w:pPr>
      <w:r>
        <w:rPr>
          <w:rFonts w:ascii="Arial" w:cs="Arial" w:eastAsia="Arial" w:hAnsi="Arial"/>
          <w:sz w:val="18"/>
          <w:szCs w:val="18"/>
          <w:b w:val="1"/>
          <w:bCs w:val="1"/>
          <w:color w:val="auto"/>
        </w:rPr>
        <w:t>Alternative Term Rate Adjustment:</w:t>
      </w:r>
      <w:r>
        <w:rPr>
          <w:sz w:val="20"/>
          <w:szCs w:val="20"/>
          <w:color w:val="auto"/>
        </w:rPr>
        <w:tab/>
      </w:r>
      <w:r>
        <w:rPr>
          <w:rFonts w:ascii="Arial" w:cs="Arial" w:eastAsia="Arial" w:hAnsi="Arial"/>
          <w:sz w:val="16"/>
          <w:szCs w:val="16"/>
          <w:color w:val="auto"/>
        </w:rPr>
        <w:t>None specified.</w:t>
      </w:r>
    </w:p>
    <w:p>
      <w:pPr>
        <w:spacing w:after="0" w:line="11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Business Day Conventions (definition of “Month” and Clause 9.2</w:t>
      </w:r>
      <w:r>
        <w:rPr>
          <w:sz w:val="20"/>
          <w:szCs w:val="20"/>
          <w:color w:val="auto"/>
        </w:rPr>
        <w:tab/>
      </w:r>
      <w:r>
        <w:rPr>
          <w:rFonts w:ascii="Arial" w:cs="Arial" w:eastAsia="Arial" w:hAnsi="Arial"/>
          <w:sz w:val="16"/>
          <w:szCs w:val="16"/>
          <w:color w:val="auto"/>
        </w:rPr>
        <w:t>(a)    If any period is expressed to accrue by reference to a Month or any</w:t>
      </w:r>
    </w:p>
    <w:p>
      <w:pPr>
        <w:spacing w:after="0" w:line="27" w:lineRule="exact"/>
        <w:rPr>
          <w:sz w:val="20"/>
          <w:szCs w:val="20"/>
          <w:color w:val="auto"/>
        </w:rPr>
      </w:pPr>
    </w:p>
    <w:p>
      <w:pPr>
        <w:spacing w:after="0"/>
        <w:tabs>
          <w:tab w:leader="none" w:pos="6080" w:val="left"/>
        </w:tabs>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Non-Business Days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number of Months then, in respect of the last Month of that period:</w:t>
      </w:r>
    </w:p>
    <w:p>
      <w:pPr>
        <w:spacing w:after="0" w:line="103" w:lineRule="exact"/>
        <w:rPr>
          <w:sz w:val="20"/>
          <w:szCs w:val="20"/>
          <w:color w:val="auto"/>
        </w:rPr>
      </w:pPr>
    </w:p>
    <w:p>
      <w:pPr>
        <w:ind w:left="6100"/>
        <w:spacing w:after="0"/>
        <w:tabs>
          <w:tab w:leader="none" w:pos="6420" w:val="left"/>
        </w:tabs>
        <w:rPr>
          <w:sz w:val="20"/>
          <w:szCs w:val="20"/>
          <w:color w:val="auto"/>
        </w:rPr>
      </w:pPr>
      <w:r>
        <w:rPr>
          <w:rFonts w:ascii="Arial" w:cs="Arial" w:eastAsia="Arial" w:hAnsi="Arial"/>
          <w:sz w:val="18"/>
          <w:szCs w:val="18"/>
          <w:color w:val="auto"/>
        </w:rPr>
        <w:t xml:space="preserve">(i) </w:t>
      </w:r>
      <w:r>
        <w:rPr>
          <w:sz w:val="20"/>
          <w:szCs w:val="20"/>
          <w:color w:val="auto"/>
        </w:rPr>
        <w:tab/>
      </w:r>
      <w:r>
        <w:rPr>
          <w:rFonts w:ascii="Arial" w:cs="Arial" w:eastAsia="Arial" w:hAnsi="Arial"/>
          <w:sz w:val="16"/>
          <w:szCs w:val="16"/>
          <w:color w:val="auto"/>
        </w:rPr>
        <w:t>subject to paragraph (iii) below, if the numerically</w:t>
      </w:r>
    </w:p>
    <w:p>
      <w:pPr>
        <w:spacing w:after="0" w:line="23"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corresponding day is not a Business Day, that period shall end</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on the next Business Day in that calendar month in which that</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period is to end if there is one, or if there is not, on the</w:t>
      </w:r>
    </w:p>
    <w:p>
      <w:pPr>
        <w:spacing w:after="0" w:line="9"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immediately preceding Business Day;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- 62 -</w:t>
      </w:r>
    </w:p>
    <w:p>
      <w:pPr>
        <w:sectPr>
          <w:pgSz w:w="11900" w:h="16838" w:orient="portrait"/>
          <w:cols w:equalWidth="0" w:num="1">
            <w:col w:w="10920"/>
          </w:cols>
          <w:pgMar w:left="440" w:top="270" w:right="539" w:bottom="1440" w:gutter="0" w:footer="0" w:header="0"/>
          <w:type w:val="continuous"/>
        </w:sectPr>
      </w:pPr>
    </w:p>
    <w:bookmarkStart w:id="69" w:name="page70"/>
    <w:bookmarkEnd w:id="69"/>
    <w:p>
      <w:pPr>
        <w:ind w:left="61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if there is no numerically corresponding day in the calendar</w:t>
      </w:r>
    </w:p>
    <w:p>
      <w:pPr>
        <w:spacing w:after="0" w:line="46" w:lineRule="exact"/>
        <w:rPr>
          <w:sz w:val="20"/>
          <w:szCs w:val="20"/>
          <w:color w:val="auto"/>
        </w:rPr>
      </w:pPr>
    </w:p>
    <w:p>
      <w:pPr>
        <w:ind w:left="6460"/>
        <w:spacing w:after="0"/>
        <w:rPr>
          <w:sz w:val="20"/>
          <w:szCs w:val="20"/>
          <w:color w:val="auto"/>
        </w:rPr>
      </w:pPr>
      <w:r>
        <w:rPr>
          <w:rFonts w:ascii="Arial" w:cs="Arial" w:eastAsia="Arial" w:hAnsi="Arial"/>
          <w:sz w:val="16"/>
          <w:szCs w:val="16"/>
          <w:color w:val="auto"/>
        </w:rPr>
        <w:t>month in which that period is to end, that period shall end on</w:t>
      </w:r>
    </w:p>
    <w:p>
      <w:pPr>
        <w:spacing w:after="0" w:line="32"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the last Business Day in that calendar month; and</w:t>
      </w:r>
    </w:p>
    <w:p>
      <w:pPr>
        <w:spacing w:after="0" w:line="103"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(iii)  if an Interest Period begins on the last Business Day of a</w:t>
      </w:r>
    </w:p>
    <w:p>
      <w:pPr>
        <w:spacing w:after="0" w:line="35"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calendar month, that Interest Period shall end on the last</w:t>
      </w:r>
    </w:p>
    <w:p>
      <w:pPr>
        <w:spacing w:after="0" w:line="21" w:lineRule="exact"/>
        <w:rPr>
          <w:sz w:val="20"/>
          <w:szCs w:val="20"/>
          <w:color w:val="auto"/>
        </w:rPr>
      </w:pPr>
    </w:p>
    <w:p>
      <w:pPr>
        <w:ind w:left="6460"/>
        <w:spacing w:after="0"/>
        <w:rPr>
          <w:sz w:val="20"/>
          <w:szCs w:val="20"/>
          <w:color w:val="auto"/>
        </w:rPr>
      </w:pPr>
      <w:r>
        <w:rPr>
          <w:rFonts w:ascii="Arial" w:cs="Arial" w:eastAsia="Arial" w:hAnsi="Arial"/>
          <w:sz w:val="17"/>
          <w:szCs w:val="17"/>
          <w:color w:val="auto"/>
        </w:rPr>
        <w:t>Business Day in the calendar month in which that Interest</w:t>
      </w:r>
    </w:p>
    <w:p>
      <w:pPr>
        <w:spacing w:after="0" w:line="21"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Period is to end.</w:t>
      </w:r>
    </w:p>
    <w:p>
      <w:pPr>
        <w:spacing w:after="0" w:line="103"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    If an Interest Period would otherwise end on a day which is not a</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Business Day, that Interest Period will instead end on the next</w:t>
      </w:r>
    </w:p>
    <w:p>
      <w:pPr>
        <w:spacing w:after="0" w:line="2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Business Day in that calendar month (if there is one) or the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preceding Business Day (if there is not).</w:t>
      </w:r>
    </w:p>
    <w:p>
      <w:pPr>
        <w:sectPr>
          <w:pgSz w:w="11900" w:h="16838" w:orient="portrait"/>
          <w:cols w:equalWidth="0" w:num="1">
            <w:col w:w="10980"/>
          </w:cols>
          <w:pgMar w:left="440" w:top="382" w:right="479" w:bottom="1440" w:gutter="0" w:footer="0" w:header="0"/>
        </w:sectPr>
      </w:pP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Disruption Rate:</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ind w:right="4120"/>
        <w:spacing w:after="0"/>
        <w:rPr>
          <w:sz w:val="20"/>
          <w:szCs w:val="20"/>
          <w:color w:val="auto"/>
        </w:rPr>
      </w:pPr>
      <w:r>
        <w:rPr>
          <w:rFonts w:ascii="Arial" w:cs="Arial" w:eastAsia="Arial" w:hAnsi="Arial"/>
          <w:sz w:val="16"/>
          <w:szCs w:val="16"/>
          <w:color w:val="auto"/>
        </w:rPr>
        <w:t>None specified.</w:t>
      </w:r>
    </w:p>
    <w:p>
      <w:pPr>
        <w:spacing w:after="0" w:line="136"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Overnight Rate:</w:t>
      </w:r>
    </w:p>
    <w:p>
      <w:pPr>
        <w:spacing w:after="0" w:line="20" w:lineRule="exact"/>
        <w:rPr>
          <w:sz w:val="20"/>
          <w:szCs w:val="20"/>
          <w:color w:val="auto"/>
        </w:rPr>
      </w:pPr>
      <w:r>
        <w:rPr>
          <w:sz w:val="20"/>
          <w:szCs w:val="20"/>
          <w:color w:val="auto"/>
        </w:rPr>
        <w:br w:type="column"/>
      </w:r>
    </w:p>
    <w:p>
      <w:pPr>
        <w:ind w:right="240"/>
        <w:spacing w:after="0" w:line="255" w:lineRule="auto"/>
        <w:rPr>
          <w:sz w:val="20"/>
          <w:szCs w:val="20"/>
          <w:color w:val="auto"/>
        </w:rPr>
      </w:pPr>
      <w:r>
        <w:rPr>
          <w:rFonts w:ascii="Arial" w:cs="Arial" w:eastAsia="Arial" w:hAnsi="Arial"/>
          <w:sz w:val="18"/>
          <w:szCs w:val="18"/>
          <w:color w:val="auto"/>
        </w:rPr>
        <w:t>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80"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Overnight Reference Day:</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The day which is two Additional Business Days before the Quotation Day.</w:t>
      </w:r>
    </w:p>
    <w:p>
      <w:pPr>
        <w:spacing w:after="0" w:line="58"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Primary Term Rate:</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7"/>
          <w:szCs w:val="17"/>
          <w:color w:val="auto"/>
        </w:rPr>
        <w:t>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10" w:lineRule="exact"/>
        <w:rPr>
          <w:sz w:val="20"/>
          <w:szCs w:val="20"/>
          <w:color w:val="auto"/>
        </w:rPr>
      </w:pPr>
    </w:p>
    <w:p>
      <w:pPr>
        <w:sectPr>
          <w:pgSz w:w="11900" w:h="16838" w:orient="portrait"/>
          <w:cols w:equalWidth="0" w:num="2">
            <w:col w:w="5020" w:space="720"/>
            <w:col w:w="5240"/>
          </w:cols>
          <w:pgMar w:left="440" w:top="382"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- 63 -</w:t>
      </w:r>
    </w:p>
    <w:p>
      <w:pPr>
        <w:sectPr>
          <w:pgSz w:w="11900" w:h="16838" w:orient="portrait"/>
          <w:cols w:equalWidth="0" w:num="1">
            <w:col w:w="10980"/>
          </w:cols>
          <w:pgMar w:left="440" w:top="382" w:right="47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Quotation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Market: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Day:</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Reporting Times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Deadline for the Lender to report market disruption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Deadline for the Lender to report their cost of funds in accordance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Clause 10.3 (</w:t>
      </w:r>
      <w:r>
        <w:rPr>
          <w:rFonts w:ascii="Arial" w:cs="Arial" w:eastAsia="Arial" w:hAnsi="Arial"/>
          <w:sz w:val="18"/>
          <w:szCs w:val="18"/>
          <w:i w:val="1"/>
          <w:iCs w:val="1"/>
          <w:color w:val="auto"/>
        </w:rPr>
        <w:t>Cost of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left="440" w:right="100"/>
        <w:spacing w:after="0" w:line="255" w:lineRule="auto"/>
        <w:rPr>
          <w:sz w:val="20"/>
          <w:szCs w:val="20"/>
          <w:color w:val="auto"/>
        </w:rPr>
      </w:pPr>
      <w:r>
        <w:rPr>
          <w:rFonts w:ascii="Arial" w:cs="Arial" w:eastAsia="Arial" w:hAnsi="Arial"/>
          <w:sz w:val="18"/>
          <w:szCs w:val="18"/>
          <w:color w:val="auto"/>
        </w:rPr>
        <w:t>Two Additional Business Days before the first day of the relevant Interest Period (unless market practice differs in the relevant syndicated loan market, in which case the Quotation Day will be determined by the Agent in accordance with that market practice (and if quotations would normally be given on more than one day, the Quotation Day will be the last of those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-991235</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Quotation Day.</w:t>
      </w:r>
    </w:p>
    <w:p>
      <w:pPr>
        <w:spacing w:after="0" w:line="117" w:lineRule="exact"/>
        <w:rPr>
          <w:sz w:val="20"/>
          <w:szCs w:val="20"/>
          <w:color w:val="auto"/>
        </w:rPr>
      </w:pPr>
    </w:p>
    <w:p>
      <w:pPr>
        <w:ind w:left="440" w:right="800"/>
        <w:spacing w:after="0" w:line="277" w:lineRule="auto"/>
        <w:rPr>
          <w:sz w:val="20"/>
          <w:szCs w:val="20"/>
          <w:color w:val="auto"/>
        </w:rPr>
      </w:pPr>
      <w:r>
        <w:rPr>
          <w:rFonts w:ascii="Arial" w:cs="Arial" w:eastAsia="Arial" w:hAnsi="Arial"/>
          <w:sz w:val="18"/>
          <w:szCs w:val="18"/>
          <w:color w:val="auto"/>
        </w:rPr>
        <w:t>The market for overnight cash borrowing collateralised by US Government securities.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 Subject to paragraph (b) below, the Quotation Day.</w:t>
      </w:r>
    </w:p>
    <w:p>
      <w:pPr>
        <w:spacing w:after="0" w:line="131" w:lineRule="exact"/>
        <w:rPr>
          <w:sz w:val="20"/>
          <w:szCs w:val="20"/>
          <w:color w:val="auto"/>
        </w:rPr>
      </w:pPr>
    </w:p>
    <w:p>
      <w:pPr>
        <w:ind w:left="800" w:right="200" w:hanging="359"/>
        <w:spacing w:after="0" w:line="342" w:lineRule="auto"/>
        <w:rPr>
          <w:sz w:val="20"/>
          <w:szCs w:val="20"/>
          <w:color w:val="auto"/>
        </w:rPr>
      </w:pPr>
      <w:r>
        <w:rPr>
          <w:rFonts w:ascii="Arial" w:cs="Arial" w:eastAsia="Arial" w:hAnsi="Arial"/>
          <w:sz w:val="16"/>
          <w:szCs w:val="16"/>
          <w:color w:val="auto"/>
        </w:rPr>
        <w:t>(b)    If the Term Reference Rate is, or is based on the Alternative Term Rate, the date falling one Business Day after the Quotation Day.</w:t>
      </w:r>
    </w:p>
    <w:p>
      <w:pPr>
        <w:spacing w:after="0" w:line="35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Close of business in London on the Reporting Day for the relevant Loan.</w:t>
      </w:r>
    </w:p>
    <w:p>
      <w:pPr>
        <w:spacing w:after="0" w:line="356" w:lineRule="exact"/>
        <w:rPr>
          <w:sz w:val="20"/>
          <w:szCs w:val="20"/>
          <w:color w:val="auto"/>
        </w:rPr>
      </w:pPr>
    </w:p>
    <w:p>
      <w:pPr>
        <w:ind w:left="440"/>
        <w:spacing w:after="0" w:line="259" w:lineRule="auto"/>
        <w:rPr>
          <w:sz w:val="20"/>
          <w:szCs w:val="20"/>
          <w:color w:val="auto"/>
        </w:rPr>
      </w:pPr>
      <w:r>
        <w:rPr>
          <w:rFonts w:ascii="Arial" w:cs="Arial" w:eastAsia="Arial" w:hAnsi="Arial"/>
          <w:sz w:val="18"/>
          <w:szCs w:val="18"/>
          <w:color w:val="auto"/>
        </w:rPr>
        <w:t>Close of business on the date falling two Business Days after the Reporting Day for the relevant Loan (or, if earlier, on the date falling two Business Days before the date on which interest is due to be paid in respect of the Interest Period for that Loan).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- 64 -</w:t>
      </w:r>
    </w:p>
    <w:p>
      <w:pPr>
        <w:sectPr>
          <w:pgSz w:w="11900" w:h="16838" w:orient="portrait"/>
          <w:cols w:equalWidth="0" w:num="2">
            <w:col w:w="5140" w:space="160"/>
            <w:col w:w="5720"/>
          </w:cols>
          <w:pgMar w:left="440" w:top="378" w:right="439" w:bottom="1440" w:gutter="0" w:footer="0" w:header="0"/>
        </w:sectPr>
      </w:pPr>
    </w:p>
    <w:bookmarkStart w:id="71" w:name="page72"/>
    <w:bookmarkEnd w:id="71"/>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POLESTAR AUTOMOTIVE HOLDING UK PLC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Thomas Ingenlath</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Thomas Ingenlath</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Johan Malmqvist</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840" w:type="dxa"/>
            <w:vAlign w:val="bottom"/>
          </w:tcPr>
          <w:p>
            <w:pPr>
              <w:ind w:left="60"/>
              <w:spacing w:after="0" w:line="195" w:lineRule="exact"/>
              <w:rPr>
                <w:sz w:val="20"/>
                <w:szCs w:val="20"/>
                <w:color w:val="auto"/>
              </w:rPr>
            </w:pPr>
            <w:r>
              <w:rPr>
                <w:rFonts w:ascii="Arial" w:cs="Arial" w:eastAsia="Arial" w:hAnsi="Arial"/>
                <w:sz w:val="18"/>
                <w:szCs w:val="18"/>
                <w:color w:val="auto"/>
              </w:rPr>
              <w:t>Johan Malmqvist</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60"/>
              <w:spacing w:after="0"/>
              <w:rPr>
                <w:sz w:val="20"/>
                <w:szCs w:val="20"/>
                <w:color w:val="auto"/>
              </w:rPr>
            </w:pPr>
            <w:r>
              <w:rPr>
                <w:rFonts w:ascii="Arial" w:cs="Arial" w:eastAsia="Arial" w:hAnsi="Arial"/>
                <w:sz w:val="18"/>
                <w:szCs w:val="18"/>
                <w:color w:val="auto"/>
              </w:rPr>
              <w:t>Chief Finnacial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Address: The Pavilions, Bridgwater Road, Bristol BS13 8AE, United KingdomAttention: Chief Financial Officer</w:t>
      </w:r>
    </w:p>
    <w:p>
      <w:pPr>
        <w:spacing w:after="0" w:line="1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0019"/>
          </w:cols>
          <w:pgMar w:left="440" w:top="270" w:right="1440"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SNITA HOLDING B.V.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Per Ansgar</w:t>
            </w:r>
          </w:p>
        </w:tc>
        <w:tc>
          <w:tcPr>
            <w:tcW w:w="1220" w:type="dxa"/>
            <w:vAlign w:val="bottom"/>
          </w:tcPr>
          <w:p>
            <w:pPr>
              <w:ind w:left="68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Lex Kerssemakers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Per Ansgar</w:t>
            </w:r>
          </w:p>
        </w:tc>
        <w:tc>
          <w:tcPr>
            <w:tcW w:w="1220" w:type="dxa"/>
            <w:vAlign w:val="bottom"/>
          </w:tcPr>
          <w:p>
            <w:pPr>
              <w:ind w:left="680"/>
              <w:spacing w:after="0" w:line="195" w:lineRule="exact"/>
              <w:rPr>
                <w:sz w:val="20"/>
                <w:szCs w:val="20"/>
                <w:color w:val="auto"/>
              </w:rPr>
            </w:pPr>
            <w:r>
              <w:rPr>
                <w:rFonts w:ascii="Arial" w:cs="Arial" w:eastAsia="Arial" w:hAnsi="Arial"/>
                <w:sz w:val="18"/>
                <w:szCs w:val="18"/>
                <w:color w:val="auto"/>
                <w:w w:val="98"/>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Lex Kerssemakers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680"/>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Copy:</w:t>
            </w:r>
          </w:p>
        </w:tc>
        <w:tc>
          <w:tcPr>
            <w:tcW w:w="4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520" w:type="dxa"/>
            <w:vAlign w:val="bottom"/>
          </w:tcPr>
          <w:p>
            <w:pPr>
              <w:spacing w:after="0"/>
              <w:rPr>
                <w:sz w:val="20"/>
                <w:szCs w:val="20"/>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ORIGINAL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SNITA HOLDING B.V.</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Per Ansgar</w:t>
            </w:r>
          </w:p>
        </w:tc>
        <w:tc>
          <w:tcPr>
            <w:tcW w:w="1220" w:type="dxa"/>
            <w:vAlign w:val="bottom"/>
          </w:tcPr>
          <w:p>
            <w:pPr>
              <w:ind w:left="68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Lex Kerssemakers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Per Ansgar</w:t>
            </w:r>
          </w:p>
        </w:tc>
        <w:tc>
          <w:tcPr>
            <w:tcW w:w="1220" w:type="dxa"/>
            <w:vAlign w:val="bottom"/>
          </w:tcPr>
          <w:p>
            <w:pPr>
              <w:ind w:left="680"/>
              <w:spacing w:after="0" w:line="195" w:lineRule="exact"/>
              <w:rPr>
                <w:sz w:val="20"/>
                <w:szCs w:val="20"/>
                <w:color w:val="auto"/>
              </w:rPr>
            </w:pPr>
            <w:r>
              <w:rPr>
                <w:rFonts w:ascii="Arial" w:cs="Arial" w:eastAsia="Arial" w:hAnsi="Arial"/>
                <w:sz w:val="18"/>
                <w:szCs w:val="18"/>
                <w:color w:val="auto"/>
                <w:w w:val="98"/>
              </w:rPr>
              <w:t>Name:</w:t>
            </w:r>
          </w:p>
        </w:tc>
        <w:tc>
          <w:tcPr>
            <w:tcW w:w="4520" w:type="dxa"/>
            <w:vAlign w:val="bottom"/>
          </w:tcPr>
          <w:p>
            <w:pPr>
              <w:ind w:left="120"/>
              <w:spacing w:after="0" w:line="195" w:lineRule="exact"/>
              <w:rPr>
                <w:sz w:val="20"/>
                <w:szCs w:val="20"/>
                <w:color w:val="auto"/>
              </w:rPr>
            </w:pPr>
            <w:r>
              <w:rPr>
                <w:rFonts w:ascii="Arial" w:cs="Arial" w:eastAsia="Arial" w:hAnsi="Arial"/>
                <w:sz w:val="18"/>
                <w:szCs w:val="18"/>
                <w:color w:val="auto"/>
              </w:rPr>
              <w:t>Lex Kerssemakers</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220" w:type="dxa"/>
            <w:vAlign w:val="bottom"/>
          </w:tcPr>
          <w:p>
            <w:pPr>
              <w:ind w:left="680"/>
              <w:spacing w:after="0"/>
              <w:rPr>
                <w:sz w:val="20"/>
                <w:szCs w:val="20"/>
                <w:color w:val="auto"/>
              </w:rPr>
            </w:pPr>
            <w:r>
              <w:rPr>
                <w:rFonts w:ascii="Arial" w:cs="Arial" w:eastAsia="Arial" w:hAnsi="Arial"/>
                <w:sz w:val="18"/>
                <w:szCs w:val="18"/>
                <w:color w:val="auto"/>
              </w:rPr>
              <w:t>Title:</w:t>
            </w:r>
          </w:p>
        </w:tc>
        <w:tc>
          <w:tcPr>
            <w:tcW w:w="4520" w:type="dxa"/>
            <w:vAlign w:val="bottom"/>
          </w:tcPr>
          <w:p>
            <w:pPr>
              <w:ind w:left="120"/>
              <w:spacing w:after="0"/>
              <w:rPr>
                <w:sz w:val="20"/>
                <w:szCs w:val="20"/>
                <w:color w:val="auto"/>
              </w:rPr>
            </w:pPr>
            <w:r>
              <w:rPr>
                <w:rFonts w:ascii="Arial" w:cs="Arial" w:eastAsia="Arial" w:hAnsi="Arial"/>
                <w:sz w:val="18"/>
                <w:szCs w:val="18"/>
                <w:color w:val="auto"/>
              </w:rPr>
              <w:t>Director</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Address:</w:t>
            </w:r>
          </w:p>
        </w:tc>
        <w:tc>
          <w:tcPr>
            <w:tcW w:w="4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5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Copy:</w:t>
            </w:r>
          </w:p>
        </w:tc>
        <w:tc>
          <w:tcPr>
            <w:tcW w:w="4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364"/>
        </w:trPr>
        <w:tc>
          <w:tcPr>
            <w:tcW w:w="7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220" w:type="dxa"/>
            <w:vAlign w:val="bottom"/>
          </w:tcPr>
          <w:p>
            <w:pPr>
              <w:jc w:val="right"/>
              <w:ind w:right="710"/>
              <w:spacing w:after="0"/>
              <w:rPr>
                <w:sz w:val="20"/>
                <w:szCs w:val="20"/>
                <w:color w:val="auto"/>
              </w:rPr>
            </w:pPr>
            <w:r>
              <w:rPr>
                <w:rFonts w:ascii="Arial" w:cs="Arial" w:eastAsia="Arial" w:hAnsi="Arial"/>
                <w:sz w:val="18"/>
                <w:szCs w:val="18"/>
                <w:color w:val="auto"/>
                <w:w w:val="95"/>
              </w:rPr>
              <w:t>- 66 -</w:t>
            </w:r>
          </w:p>
        </w:tc>
        <w:tc>
          <w:tcPr>
            <w:tcW w:w="45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22E7CD"/>
    <w:multiLevelType w:val="hybridMultilevel"/>
    <w:lvl w:ilvl="0">
      <w:lvlJc w:val="left"/>
      <w:lvlText w:val="(%1)"/>
      <w:numFmt w:val="lowerRoman"/>
      <w:start w:val="3"/>
    </w:lvl>
  </w:abstractNum>
  <w:abstractNum w:abstractNumId="1">
    <w:nsid w:val="74DE0EE3"/>
    <w:multiLevelType w:val="hybridMultilevel"/>
    <w:lvl w:ilvl="0">
      <w:lvlJc w:val="left"/>
      <w:lvlText w:val="(%1)"/>
      <w:numFmt w:val="lowerRoman"/>
      <w:start w:val="6"/>
    </w:lvl>
  </w:abstractNum>
  <w:abstractNum w:abstractNumId="2">
    <w:nsid w:val="68EBC550"/>
    <w:multiLevelType w:val="hybridMultilevel"/>
    <w:lvl w:ilvl="0">
      <w:lvlJc w:val="left"/>
      <w:lvlText w:val="(%1)"/>
      <w:numFmt w:val="decimal"/>
      <w:start w:val="1"/>
    </w:lvl>
  </w:abstractNum>
  <w:abstractNum w:abstractNumId="3">
    <w:nsid w:val="2DF6D648"/>
    <w:multiLevelType w:val="hybridMultilevel"/>
    <w:lvl w:ilvl="0">
      <w:lvlJc w:val="left"/>
      <w:lvlText w:val="%1."/>
      <w:numFmt w:val="decimal"/>
      <w:start w:val="1"/>
    </w:lvl>
  </w:abstractNum>
  <w:abstractNum w:abstractNumId="4">
    <w:nsid w:val="46B7D447"/>
    <w:multiLevelType w:val="hybridMultilevel"/>
    <w:lvl w:ilvl="0">
      <w:lvlJc w:val="left"/>
      <w:lvlText w:val="(%1)"/>
      <w:numFmt w:val="lowerLetter"/>
      <w:start w:val="1"/>
    </w:lvl>
  </w:abstractNum>
  <w:abstractNum w:abstractNumId="5">
    <w:nsid w:val="4A2AC315"/>
    <w:multiLevelType w:val="hybridMultilevel"/>
    <w:lvl w:ilvl="0">
      <w:lvlJc w:val="left"/>
      <w:lvlText w:val="(%1)"/>
      <w:numFmt w:val="lowerLetter"/>
      <w:start w:val="1"/>
    </w:lvl>
    <w:lvl w:ilvl="1">
      <w:lvlJc w:val="left"/>
      <w:lvlText w:val="-"/>
      <w:numFmt w:val="bullet"/>
      <w:start w:val="1"/>
    </w:lvl>
  </w:abstractNum>
  <w:abstractNum w:abstractNumId="6">
    <w:nsid w:val="39EE015C"/>
    <w:multiLevelType w:val="hybridMultilevel"/>
    <w:lvl w:ilvl="0">
      <w:lvlJc w:val="left"/>
      <w:lvlText w:val="(%1)"/>
      <w:numFmt w:val="lowerLetter"/>
      <w:start w:val="1"/>
    </w:lvl>
  </w:abstractNum>
  <w:abstractNum w:abstractNumId="7">
    <w:nsid w:val="57FC4FB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
    <w:nsid w:val="CC1016F"/>
    <w:multiLevelType w:val="hybridMultilevel"/>
    <w:lvl w:ilvl="0">
      <w:lvlJc w:val="left"/>
      <w:lvlText w:val="(%1)"/>
      <w:numFmt w:val="lowerLetter"/>
      <w:start w:val="2"/>
    </w:lvl>
  </w:abstractNum>
  <w:abstractNum w:abstractNumId="9">
    <w:nsid w:val="43F18422"/>
    <w:multiLevelType w:val="hybridMultilevel"/>
    <w:lvl w:ilvl="0">
      <w:lvlJc w:val="left"/>
      <w:lvlText w:val="(%1)"/>
      <w:numFmt w:val="lowerLetter"/>
      <w:start w:val="1"/>
    </w:lvl>
  </w:abstractNum>
  <w:abstractNum w:abstractNumId="10">
    <w:nsid w:val="60EF011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
    <w:nsid w:val="26F324BA"/>
    <w:multiLevelType w:val="hybridMultilevel"/>
    <w:lvl w:ilvl="0">
      <w:lvlJc w:val="left"/>
      <w:lvlText w:val="(%1)"/>
      <w:numFmt w:val="lowerRoman"/>
      <w:start w:val="2"/>
    </w:lvl>
  </w:abstractNum>
  <w:abstractNum w:abstractNumId="12">
    <w:nsid w:val="7F01579B"/>
    <w:multiLevelType w:val="hybridMultilevel"/>
    <w:lvl w:ilvl="0">
      <w:lvlJc w:val="left"/>
      <w:lvlText w:val="(%1)"/>
      <w:numFmt w:val="lowerLetter"/>
      <w:start w:val="1"/>
    </w:lvl>
  </w:abstractNum>
  <w:abstractNum w:abstractNumId="13">
    <w:nsid w:val="49DA307D"/>
    <w:multiLevelType w:val="hybridMultilevel"/>
    <w:lvl w:ilvl="0">
      <w:lvlJc w:val="left"/>
      <w:lvlText w:val="(%1)"/>
      <w:numFmt w:val="lowerLetter"/>
      <w:start w:val="1"/>
    </w:lvl>
  </w:abstractNum>
  <w:abstractNum w:abstractNumId="14">
    <w:nsid w:val="7055A5F5"/>
    <w:multiLevelType w:val="hybridMultilevel"/>
    <w:lvl w:ilvl="0">
      <w:lvlJc w:val="left"/>
      <w:lvlText w:val="(%1)"/>
      <w:numFmt w:val="lowerLetter"/>
      <w:start w:val="1"/>
    </w:lvl>
    <w:lvl w:ilvl="1">
      <w:lvlJc w:val="left"/>
      <w:lvlText w:val="(%2)"/>
      <w:numFmt w:val="lowerRoman"/>
      <w:start w:val="1"/>
    </w:lvl>
  </w:abstractNum>
  <w:abstractNum w:abstractNumId="15">
    <w:nsid w:val="5FB8370B"/>
    <w:multiLevelType w:val="hybridMultilevel"/>
    <w:lvl w:ilvl="0">
      <w:lvlJc w:val="left"/>
      <w:lvlText w:val="(%1)"/>
      <w:numFmt w:val="lowerLetter"/>
      <w:start w:val="1"/>
    </w:lvl>
    <w:lvl w:ilvl="1">
      <w:lvlJc w:val="left"/>
      <w:lvlText w:val="(%2)"/>
      <w:numFmt w:val="lowerRoman"/>
      <w:start w:val="1"/>
    </w:lvl>
  </w:abstractNum>
  <w:abstractNum w:abstractNumId="16">
    <w:nsid w:val="50801EE1"/>
    <w:multiLevelType w:val="hybridMultilevel"/>
    <w:lvl w:ilvl="0">
      <w:lvlJc w:val="left"/>
      <w:lvlText w:val="(%1)"/>
      <w:numFmt w:val="lowerLetter"/>
      <w:start w:val="1"/>
    </w:lvl>
    <w:lvl w:ilvl="1">
      <w:lvlJc w:val="left"/>
      <w:lvlText w:val="(%2)"/>
      <w:numFmt w:val="lowerRoman"/>
      <w:start w:val="1"/>
    </w:lvl>
  </w:abstractNum>
  <w:abstractNum w:abstractNumId="17">
    <w:nsid w:val="488AC1A"/>
    <w:multiLevelType w:val="hybridMultilevel"/>
    <w:lvl w:ilvl="0">
      <w:lvlJc w:val="left"/>
      <w:lvlText w:val="(%1)"/>
      <w:numFmt w:val="lowerLetter"/>
      <w:start w:val="1"/>
    </w:lvl>
  </w:abstractNum>
  <w:abstractNum w:abstractNumId="18">
    <w:nsid w:val="5FB8011C"/>
    <w:multiLevelType w:val="hybridMultilevel"/>
    <w:lvl w:ilvl="0">
      <w:lvlJc w:val="left"/>
      <w:lvlText w:val="(%1)"/>
      <w:numFmt w:val="lowerLetter"/>
      <w:start w:val="1"/>
    </w:lvl>
  </w:abstractNum>
  <w:abstractNum w:abstractNumId="19">
    <w:nsid w:val="6AA78F7F"/>
    <w:multiLevelType w:val="hybridMultilevel"/>
    <w:lvl w:ilvl="0">
      <w:lvlJc w:val="left"/>
      <w:lvlText w:val="(%1)"/>
      <w:numFmt w:val="lowerLetter"/>
      <w:start w:val="1"/>
    </w:lvl>
  </w:abstractNum>
  <w:abstractNum w:abstractNumId="20">
    <w:nsid w:val="7672BD23"/>
    <w:multiLevelType w:val="hybridMultilevel"/>
    <w:lvl w:ilvl="0">
      <w:lvlJc w:val="left"/>
      <w:lvlText w:val="(%1)"/>
      <w:numFmt w:val="lowerLetter"/>
      <w:start w:val="1"/>
    </w:lvl>
  </w:abstractNum>
  <w:abstractNum w:abstractNumId="21">
    <w:nsid w:val="6FC75AF8"/>
    <w:multiLevelType w:val="hybridMultilevel"/>
    <w:lvl w:ilvl="0">
      <w:lvlJc w:val="left"/>
      <w:lvlText w:val="(%1)"/>
      <w:numFmt w:val="lowerLetter"/>
      <w:start w:val="1"/>
    </w:lvl>
    <w:lvl w:ilvl="1">
      <w:lvlJc w:val="left"/>
      <w:lvlText w:val="-"/>
      <w:numFmt w:val="bullet"/>
      <w:start w:val="1"/>
    </w:lvl>
  </w:abstractNum>
  <w:abstractNum w:abstractNumId="22">
    <w:nsid w:val="6A5F7029"/>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
    <w:nsid w:val="7D5E18F8"/>
    <w:multiLevelType w:val="hybridMultilevel"/>
    <w:lvl w:ilvl="0">
      <w:lvlJc w:val="left"/>
      <w:lvlText w:val="(%1)"/>
      <w:numFmt w:val="lowerLetter"/>
      <w:start w:val="5"/>
    </w:lvl>
    <w:lvl w:ilvl="1">
      <w:lvlJc w:val="left"/>
      <w:lvlText w:val="(%2)"/>
      <w:numFmt w:val="lowerRoman"/>
      <w:start w:val="1"/>
    </w:lvl>
  </w:abstractNum>
  <w:abstractNum w:abstractNumId="24">
    <w:nsid w:val="5F3534A4"/>
    <w:multiLevelType w:val="hybridMultilevel"/>
    <w:lvl w:ilvl="0">
      <w:lvlJc w:val="left"/>
      <w:lvlText w:val="%1."/>
      <w:numFmt w:val="decimal"/>
      <w:start w:val="2"/>
    </w:lvl>
  </w:abstractNum>
  <w:abstractNum w:abstractNumId="25">
    <w:nsid w:val="73A1821B"/>
    <w:multiLevelType w:val="hybridMultilevel"/>
    <w:lvl w:ilvl="0">
      <w:lvlJc w:val="left"/>
      <w:lvlText w:val="%1."/>
      <w:numFmt w:val="decimal"/>
      <w:start w:val="3"/>
    </w:lvl>
  </w:abstractNum>
  <w:abstractNum w:abstractNumId="26">
    <w:nsid w:val="7DE67713"/>
    <w:multiLevelType w:val="hybridMultilevel"/>
    <w:lvl w:ilvl="0">
      <w:lvlJc w:val="left"/>
      <w:lvlText w:val="%1."/>
      <w:numFmt w:val="decimal"/>
      <w:start w:val="4"/>
    </w:lvl>
  </w:abstractNum>
  <w:abstractNum w:abstractNumId="27">
    <w:nsid w:val="555C55B5"/>
    <w:multiLevelType w:val="hybridMultilevel"/>
    <w:lvl w:ilvl="0">
      <w:lvlJc w:val="left"/>
      <w:lvlText w:val="%1"/>
      <w:numFmt w:val="decimal"/>
      <w:start w:val="1"/>
    </w:lvl>
    <w:lvl w:ilvl="1">
      <w:lvlJc w:val="left"/>
      <w:lvlText w:val="(%2)"/>
      <w:numFmt w:val="lowerLetter"/>
      <w:start w:val="1"/>
    </w:lvl>
  </w:abstractNum>
  <w:abstractNum w:abstractNumId="28">
    <w:nsid w:val="3FA62ACA"/>
    <w:multiLevelType w:val="hybridMultilevel"/>
    <w:lvl w:ilvl="0">
      <w:lvlJc w:val="left"/>
      <w:lvlText w:val="%1."/>
      <w:numFmt w:val="decimal"/>
      <w:start w:val="5"/>
    </w:lvl>
    <w:lvl w:ilvl="1">
      <w:lvlJc w:val="left"/>
      <w:lvlText w:val="%2"/>
      <w:numFmt w:val="lowerLetter"/>
      <w:start w:val="1"/>
    </w:lvl>
  </w:abstractNum>
  <w:abstractNum w:abstractNumId="29">
    <w:nsid w:val="14FCE74E"/>
    <w:multiLevelType w:val="hybridMultilevel"/>
    <w:lvl w:ilvl="0">
      <w:lvlJc w:val="left"/>
      <w:lvlText w:val="(%1)"/>
      <w:numFmt w:val="lowerLetter"/>
      <w:start w:val="1"/>
    </w:lvl>
  </w:abstractNum>
  <w:abstractNum w:abstractNumId="30">
    <w:nsid w:val="6A3DD3E8"/>
    <w:multiLevelType w:val="hybridMultilevel"/>
    <w:lvl w:ilvl="0">
      <w:lvlJc w:val="left"/>
      <w:lvlText w:val="(%1)"/>
      <w:numFmt w:val="lowerLetter"/>
      <w:start w:val="1"/>
    </w:lvl>
    <w:lvl w:ilvl="1">
      <w:lvlJc w:val="left"/>
      <w:lvlText w:val="(%2)"/>
      <w:numFmt w:val="lowerRoman"/>
      <w:start w:val="1"/>
    </w:lvl>
  </w:abstractNum>
  <w:abstractNum w:abstractNumId="31">
    <w:nsid w:val="71C91298"/>
    <w:multiLevelType w:val="hybridMultilevel"/>
    <w:lvl w:ilvl="0">
      <w:lvlJc w:val="left"/>
      <w:lvlText w:val="(%1)"/>
      <w:numFmt w:val="lowerLetter"/>
      <w:start w:val="1"/>
    </w:lvl>
  </w:abstractNum>
  <w:abstractNum w:abstractNumId="32">
    <w:nsid w:val="9DAF632"/>
    <w:multiLevelType w:val="hybridMultilevel"/>
    <w:lvl w:ilvl="0">
      <w:lvlJc w:val="left"/>
      <w:lvlText w:val="%1."/>
      <w:numFmt w:val="decimal"/>
      <w:start w:val="6"/>
    </w:lvl>
  </w:abstractNum>
  <w:abstractNum w:abstractNumId="33">
    <w:nsid w:val="53299938"/>
    <w:multiLevelType w:val="hybridMultilevel"/>
    <w:lvl w:ilvl="0">
      <w:lvlJc w:val="left"/>
      <w:lvlText w:val="(%1)"/>
      <w:numFmt w:val="lowerLetter"/>
      <w:start w:val="1"/>
    </w:lvl>
  </w:abstractNum>
  <w:abstractNum w:abstractNumId="34">
    <w:nsid w:val="1FBFE8E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5">
    <w:nsid w:val="5092CA79"/>
    <w:multiLevelType w:val="hybridMultilevel"/>
    <w:lvl w:ilvl="0">
      <w:lvlJc w:val="left"/>
      <w:lvlText w:val="%1."/>
      <w:numFmt w:val="decimal"/>
      <w:start w:val="7"/>
    </w:lvl>
  </w:abstractNum>
  <w:abstractNum w:abstractNumId="36">
    <w:nsid w:val="1D545C4D"/>
    <w:multiLevelType w:val="hybridMultilevel"/>
    <w:lvl w:ilvl="0">
      <w:lvlJc w:val="left"/>
      <w:lvlText w:val="(%1)"/>
      <w:numFmt w:val="lowerLetter"/>
      <w:start w:val="1"/>
    </w:lvl>
  </w:abstractNum>
  <w:abstractNum w:abstractNumId="37">
    <w:nsid w:val="59ADEA3D"/>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8">
    <w:nsid w:val="288F1A34"/>
    <w:multiLevelType w:val="hybridMultilevel"/>
    <w:lvl w:ilvl="0">
      <w:lvlJc w:val="left"/>
      <w:lvlText w:val="(%1)"/>
      <w:numFmt w:val="lowerRoman"/>
      <w:start w:val="2"/>
    </w:lvl>
    <w:lvl w:ilvl="1">
      <w:lvlJc w:val="left"/>
      <w:lvlText w:val="(%2)"/>
      <w:numFmt w:val="upperLetter"/>
      <w:start w:val="1"/>
    </w:lvl>
  </w:abstractNum>
  <w:abstractNum w:abstractNumId="39">
    <w:nsid w:val="2A155DBC"/>
    <w:multiLevelType w:val="hybridMultilevel"/>
    <w:lvl w:ilvl="0">
      <w:lvlJc w:val="left"/>
      <w:lvlText w:val="(%1)"/>
      <w:numFmt w:val="lowerLetter"/>
      <w:start w:val="1"/>
    </w:lvl>
    <w:lvl w:ilvl="1">
      <w:lvlJc w:val="left"/>
      <w:lvlText w:val="-"/>
      <w:numFmt w:val="bullet"/>
      <w:start w:val="1"/>
    </w:lvl>
  </w:abstractNum>
  <w:abstractNum w:abstractNumId="40">
    <w:nsid w:val="1D9F6E5F"/>
    <w:multiLevelType w:val="hybridMultilevel"/>
    <w:lvl w:ilvl="0">
      <w:lvlJc w:val="left"/>
      <w:lvlText w:val="%1."/>
      <w:numFmt w:val="decimal"/>
      <w:start w:val="8"/>
    </w:lvl>
  </w:abstractNum>
  <w:abstractNum w:abstractNumId="41">
    <w:nsid w:val="97E1B4E"/>
    <w:multiLevelType w:val="hybridMultilevel"/>
    <w:lvl w:ilvl="0">
      <w:lvlJc w:val="left"/>
      <w:lvlText w:val="(%1)"/>
      <w:numFmt w:val="lowerLetter"/>
      <w:start w:val="1"/>
    </w:lvl>
  </w:abstractNum>
  <w:abstractNum w:abstractNumId="42">
    <w:nsid w:val="51088277"/>
    <w:multiLevelType w:val="hybridMultilevel"/>
    <w:lvl w:ilvl="0">
      <w:lvlJc w:val="left"/>
      <w:lvlText w:val="(%1)"/>
      <w:numFmt w:val="lowerLetter"/>
      <w:start w:val="1"/>
    </w:lvl>
    <w:lvl w:ilvl="1">
      <w:lvlJc w:val="left"/>
      <w:lvlText w:val="(%2)"/>
      <w:numFmt w:val="lowerRoman"/>
      <w:start w:val="1"/>
    </w:lvl>
  </w:abstractNum>
  <w:abstractNum w:abstractNumId="43">
    <w:nsid w:val="1CA0C5FA"/>
    <w:multiLevelType w:val="hybridMultilevel"/>
    <w:lvl w:ilvl="0">
      <w:lvlJc w:val="left"/>
      <w:lvlText w:val="(%1)"/>
      <w:numFmt w:val="lowerLetter"/>
      <w:start w:val="1"/>
    </w:lvl>
    <w:lvl w:ilvl="1">
      <w:lvlJc w:val="left"/>
      <w:lvlText w:val="-"/>
      <w:numFmt w:val="bullet"/>
      <w:start w:val="1"/>
    </w:lvl>
  </w:abstractNum>
  <w:abstractNum w:abstractNumId="44">
    <w:nsid w:val="53584BCB"/>
    <w:multiLevelType w:val="hybridMultilevel"/>
    <w:lvl w:ilvl="0">
      <w:lvlJc w:val="left"/>
      <w:lvlText w:val="%1"/>
      <w:numFmt w:val="decimal"/>
      <w:start w:val="1"/>
    </w:lvl>
    <w:lvl w:ilvl="1">
      <w:lvlJc w:val="left"/>
      <w:lvlText w:val="(%2)"/>
      <w:numFmt w:val="lowerLetter"/>
      <w:start w:val="3"/>
    </w:lvl>
  </w:abstractNum>
  <w:abstractNum w:abstractNumId="45">
    <w:nsid w:val="415E286C"/>
    <w:multiLevelType w:val="hybridMultilevel"/>
    <w:lvl w:ilvl="0">
      <w:lvlJc w:val="left"/>
      <w:lvlText w:val="%1."/>
      <w:numFmt w:val="decimal"/>
      <w:start w:val="9"/>
    </w:lvl>
    <w:lvl w:ilvl="1">
      <w:lvlJc w:val="left"/>
      <w:lvlText w:val="%2"/>
      <w:numFmt w:val="lowerLetter"/>
      <w:start w:val="1"/>
    </w:lvl>
  </w:abstractNum>
  <w:abstractNum w:abstractNumId="46">
    <w:nsid w:val="7C58FD05"/>
    <w:multiLevelType w:val="hybridMultilevel"/>
    <w:lvl w:ilvl="0">
      <w:lvlJc w:val="left"/>
      <w:lvlText w:val="(%1)"/>
      <w:numFmt w:val="lowerLetter"/>
      <w:start w:val="1"/>
    </w:lvl>
  </w:abstractNum>
  <w:abstractNum w:abstractNumId="47">
    <w:nsid w:val="23D86AAC"/>
    <w:multiLevelType w:val="hybridMultilevel"/>
    <w:lvl w:ilvl="0">
      <w:lvlJc w:val="left"/>
      <w:lvlText w:val="%1."/>
      <w:numFmt w:val="decimal"/>
      <w:start w:val="10"/>
    </w:lvl>
  </w:abstractNum>
  <w:abstractNum w:abstractNumId="48">
    <w:nsid w:val="45E6D48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9">
    <w:nsid w:val="5C10FE21"/>
    <w:multiLevelType w:val="hybridMultilevel"/>
    <w:lvl w:ilvl="0">
      <w:lvlJc w:val="left"/>
      <w:lvlText w:val="(%1)"/>
      <w:numFmt w:val="lowerLetter"/>
      <w:start w:val="4"/>
    </w:lvl>
  </w:abstractNum>
  <w:abstractNum w:abstractNumId="50">
    <w:nsid w:val="E7FFA2B"/>
    <w:multiLevelType w:val="hybridMultilevel"/>
    <w:lvl w:ilvl="0">
      <w:lvlJc w:val="left"/>
      <w:lvlText w:val="(%1)"/>
      <w:numFmt w:val="lowerLetter"/>
      <w:start w:val="1"/>
    </w:lvl>
  </w:abstractNum>
  <w:abstractNum w:abstractNumId="51">
    <w:nsid w:val="3C5991AA"/>
    <w:multiLevelType w:val="hybridMultilevel"/>
    <w:lvl w:ilvl="0">
      <w:lvlJc w:val="left"/>
      <w:lvlText w:val="(%1)"/>
      <w:numFmt w:val="lowerLetter"/>
      <w:start w:val="1"/>
    </w:lvl>
    <w:lvl w:ilvl="1">
      <w:lvlJc w:val="left"/>
      <w:lvlText w:val="(%2)"/>
      <w:numFmt w:val="lowerRoman"/>
      <w:start w:val="1"/>
    </w:lvl>
  </w:abstractNum>
  <w:abstractNum w:abstractNumId="52">
    <w:nsid w:val="4BD8591A"/>
    <w:multiLevelType w:val="hybridMultilevel"/>
    <w:lvl w:ilvl="0">
      <w:lvlJc w:val="left"/>
      <w:lvlText w:val="(%1)"/>
      <w:numFmt w:val="lowerLetter"/>
      <w:start w:val="1"/>
    </w:lvl>
  </w:abstractNum>
  <w:abstractNum w:abstractNumId="53">
    <w:nsid w:val="78DF6A55"/>
    <w:multiLevelType w:val="hybridMultilevel"/>
    <w:lvl w:ilvl="0">
      <w:lvlJc w:val="left"/>
      <w:lvlText w:val="%1"/>
      <w:numFmt w:val="decimal"/>
      <w:start w:val="1"/>
    </w:lvl>
    <w:lvl w:ilvl="1">
      <w:lvlJc w:val="left"/>
      <w:lvlText w:val="(%2)"/>
      <w:numFmt w:val="lowerLetter"/>
      <w:start w:val="1"/>
    </w:lvl>
  </w:abstractNum>
  <w:abstractNum w:abstractNumId="54">
    <w:nsid w:val="39B7AAA2"/>
    <w:multiLevelType w:val="hybridMultilevel"/>
    <w:lvl w:ilvl="0">
      <w:lvlJc w:val="left"/>
      <w:lvlText w:val="%1."/>
      <w:numFmt w:val="decimal"/>
      <w:start w:val="11"/>
    </w:lvl>
    <w:lvl w:ilvl="1">
      <w:lvlJc w:val="left"/>
      <w:lvlText w:val="%2"/>
      <w:numFmt w:val="lowerLetter"/>
      <w:start w:val="1"/>
    </w:lvl>
  </w:abstractNum>
  <w:abstractNum w:abstractNumId="55">
    <w:nsid w:val="2B0D8DBE"/>
    <w:multiLevelType w:val="hybridMultilevel"/>
    <w:lvl w:ilvl="0">
      <w:lvlJc w:val="left"/>
      <w:lvlText w:val="(%1)"/>
      <w:numFmt w:val="lowerLetter"/>
      <w:start w:val="1"/>
    </w:lvl>
    <w:lvl w:ilvl="1">
      <w:lvlJc w:val="left"/>
      <w:lvlText w:val="-"/>
      <w:numFmt w:val="bullet"/>
      <w:start w:val="1"/>
    </w:lvl>
  </w:abstractNum>
  <w:abstractNum w:abstractNumId="56">
    <w:nsid w:val="6C80EC70"/>
    <w:multiLevelType w:val="hybridMultilevel"/>
    <w:lvl w:ilvl="0">
      <w:lvlJc w:val="left"/>
      <w:lvlText w:val="(%1)"/>
      <w:numFmt w:val="lowerLetter"/>
      <w:start w:val="5"/>
    </w:lvl>
  </w:abstractNum>
  <w:abstractNum w:abstractNumId="57">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8">
    <w:nsid w:val="69E373"/>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
      <w:numFmt w:val="bullet"/>
      <w:start w:val="1"/>
    </w:lvl>
  </w:abstractNum>
  <w:abstractNum w:abstractNumId="59">
    <w:nsid w:val="2C27173B"/>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lvl w:ilvl="3">
      <w:lvlJc w:val="left"/>
      <w:lvlText w:val="-"/>
      <w:numFmt w:val="bullet"/>
      <w:start w:val="1"/>
    </w:lvl>
  </w:abstractNum>
  <w:abstractNum w:abstractNumId="60">
    <w:nsid w:val="4C9B0904"/>
    <w:multiLevelType w:val="hybridMultilevel"/>
    <w:lvl w:ilvl="0">
      <w:lvlJc w:val="left"/>
      <w:lvlText w:val="(%1)"/>
      <w:numFmt w:val="lowerLetter"/>
      <w:start w:val="1"/>
    </w:lvl>
  </w:abstractNum>
  <w:abstractNum w:abstractNumId="61">
    <w:nsid w:val="6AA7B75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2">
    <w:nsid w:val="1DF029D3"/>
    <w:multiLevelType w:val="hybridMultilevel"/>
    <w:lvl w:ilvl="0">
      <w:lvlJc w:val="left"/>
      <w:lvlText w:val="(%1)"/>
      <w:numFmt w:val="lowerLetter"/>
      <w:start w:val="3"/>
    </w:lvl>
  </w:abstractNum>
  <w:abstractNum w:abstractNumId="63">
    <w:nsid w:val="5675FF3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64">
    <w:nsid w:val="3DD15094"/>
    <w:multiLevelType w:val="hybridMultilevel"/>
    <w:lvl w:ilvl="0">
      <w:lvlJc w:val="left"/>
      <w:lvlText w:val="(%1)"/>
      <w:numFmt w:val="lowerLetter"/>
      <w:start w:val="3"/>
    </w:lvl>
    <w:lvl w:ilvl="1">
      <w:lvlJc w:val="left"/>
      <w:lvlText w:val="(%2)"/>
      <w:numFmt w:val="lowerRoman"/>
      <w:start w:val="1"/>
    </w:lvl>
  </w:abstractNum>
  <w:abstractNum w:abstractNumId="65">
    <w:nsid w:val="3DB012B3"/>
    <w:multiLevelType w:val="hybridMultilevel"/>
    <w:lvl w:ilvl="0">
      <w:lvlJc w:val="left"/>
      <w:lvlText w:val="%1"/>
      <w:numFmt w:val="decimal"/>
      <w:start w:val="1"/>
    </w:lvl>
    <w:lvl w:ilvl="1">
      <w:lvlJc w:val="left"/>
      <w:lvlText w:val="(%2)"/>
      <w:numFmt w:val="lowerLetter"/>
      <w:start w:val="1"/>
    </w:lvl>
  </w:abstractNum>
  <w:abstractNum w:abstractNumId="66">
    <w:nsid w:val="2708C9AF"/>
    <w:multiLevelType w:val="hybridMultilevel"/>
    <w:lvl w:ilvl="0">
      <w:lvlJc w:val="left"/>
      <w:lvlText w:val="%1."/>
      <w:numFmt w:val="decimal"/>
      <w:start w:val="12"/>
    </w:lvl>
    <w:lvl w:ilvl="1">
      <w:lvlJc w:val="left"/>
      <w:lvlText w:val="%2"/>
      <w:numFmt w:val="lowerLetter"/>
      <w:start w:val="1"/>
    </w:lvl>
  </w:abstractNum>
  <w:abstractNum w:abstractNumId="67">
    <w:nsid w:val="5B25ACE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8">
    <w:nsid w:val="175DFCF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9">
    <w:nsid w:val="4F97E3E4"/>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0">
    <w:nsid w:val="53B0A9E"/>
    <w:multiLevelType w:val="hybridMultilevel"/>
    <w:lvl w:ilvl="0">
      <w:lvlJc w:val="left"/>
      <w:lvlText w:val="(%1)"/>
      <w:numFmt w:val="lowerRoman"/>
      <w:start w:val="5"/>
    </w:lvl>
    <w:lvl w:ilvl="1">
      <w:lvlJc w:val="left"/>
      <w:lvlText w:val="(%2)"/>
      <w:numFmt w:val="upperLetter"/>
      <w:start w:val="1"/>
    </w:lvl>
  </w:abstractNum>
  <w:abstractNum w:abstractNumId="71">
    <w:nsid w:val="34FD6B4F"/>
    <w:multiLevelType w:val="hybridMultilevel"/>
    <w:lvl w:ilvl="0">
      <w:lvlJc w:val="left"/>
      <w:lvlText w:val="(%1)"/>
      <w:numFmt w:val="lowerLetter"/>
      <w:start w:val="1"/>
    </w:lvl>
  </w:abstractNum>
  <w:abstractNum w:abstractNumId="72">
    <w:nsid w:val="5915FF3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3">
    <w:nsid w:val="56438D15"/>
    <w:multiLevelType w:val="hybridMultilevel"/>
    <w:lvl w:ilvl="0">
      <w:lvlJc w:val="left"/>
      <w:lvlText w:val="%1."/>
      <w:numFmt w:val="decimal"/>
      <w:start w:val="13"/>
    </w:lvl>
  </w:abstractNum>
  <w:abstractNum w:abstractNumId="74">
    <w:nsid w:val="519E3149"/>
    <w:multiLevelType w:val="hybridMultilevel"/>
    <w:lvl w:ilvl="0">
      <w:lvlJc w:val="left"/>
      <w:lvlText w:val="(%1)"/>
      <w:numFmt w:val="lowerLetter"/>
      <w:start w:val="1"/>
    </w:lvl>
    <w:lvl w:ilvl="1">
      <w:lvlJc w:val="left"/>
      <w:lvlText w:val="(%2)"/>
      <w:numFmt w:val="lowerRoman"/>
      <w:start w:val="1"/>
    </w:lvl>
  </w:abstractNum>
  <w:abstractNum w:abstractNumId="75">
    <w:nsid w:val="2C6E4AFD"/>
    <w:multiLevelType w:val="hybridMultilevel"/>
    <w:lvl w:ilvl="0">
      <w:lvlJc w:val="left"/>
      <w:lvlText w:val="(%1)"/>
      <w:numFmt w:val="lowerLetter"/>
      <w:start w:val="2"/>
    </w:lvl>
  </w:abstractNum>
  <w:abstractNum w:abstractNumId="76">
    <w:nsid w:val="17A1B582"/>
    <w:multiLevelType w:val="hybridMultilevel"/>
    <w:lvl w:ilvl="0">
      <w:lvlJc w:val="left"/>
      <w:lvlText w:val="(%1)"/>
      <w:numFmt w:val="lowerLetter"/>
      <w:start w:val="1"/>
    </w:lvl>
  </w:abstractNum>
  <w:abstractNum w:abstractNumId="77">
    <w:nsid w:val="4DF72E4E"/>
    <w:multiLevelType w:val="hybridMultilevel"/>
    <w:lvl w:ilvl="0">
      <w:lvlJc w:val="left"/>
      <w:lvlText w:val="(%1)"/>
      <w:numFmt w:val="lowerLetter"/>
      <w:start w:val="1"/>
    </w:lvl>
    <w:lvl w:ilvl="1">
      <w:lvlJc w:val="left"/>
      <w:lvlText w:val="-"/>
      <w:numFmt w:val="bullet"/>
      <w:start w:val="1"/>
    </w:lvl>
  </w:abstractNum>
  <w:abstractNum w:abstractNumId="78">
    <w:nsid w:val="5046B5A9"/>
    <w:multiLevelType w:val="hybridMultilevel"/>
    <w:lvl w:ilvl="0">
      <w:lvlJc w:val="left"/>
      <w:lvlText w:val="%1"/>
      <w:numFmt w:val="decimal"/>
      <w:start w:val="1"/>
    </w:lvl>
    <w:lvl w:ilvl="1">
      <w:lvlJc w:val="left"/>
      <w:lvlText w:val="(%2)"/>
      <w:numFmt w:val="lowerLetter"/>
      <w:start w:val="3"/>
    </w:lvl>
  </w:abstractNum>
  <w:abstractNum w:abstractNumId="79">
    <w:nsid w:val="5D888A08"/>
    <w:multiLevelType w:val="hybridMultilevel"/>
    <w:lvl w:ilvl="0">
      <w:lvlJc w:val="left"/>
      <w:lvlText w:val="%1."/>
      <w:numFmt w:val="decimal"/>
      <w:start w:val="14"/>
    </w:lvl>
    <w:lvl w:ilvl="1">
      <w:lvlJc w:val="left"/>
      <w:lvlText w:val="%2"/>
      <w:numFmt w:val="lowerLetter"/>
      <w:start w:val="1"/>
    </w:lvl>
  </w:abstractNum>
  <w:abstractNum w:abstractNumId="80">
    <w:nsid w:val="2A082C70"/>
    <w:multiLevelType w:val="hybridMultilevel"/>
    <w:lvl w:ilvl="0">
      <w:lvlJc w:val="left"/>
      <w:lvlText w:val="(%1)"/>
      <w:numFmt w:val="lowerLetter"/>
      <w:start w:val="1"/>
    </w:lvl>
  </w:abstractNum>
  <w:abstractNum w:abstractNumId="81">
    <w:nsid w:val="5EC6AFD4"/>
    <w:multiLevelType w:val="hybridMultilevel"/>
    <w:lvl w:ilvl="0">
      <w:lvlJc w:val="left"/>
      <w:lvlText w:val="%1"/>
      <w:numFmt w:val="decimal"/>
      <w:start w:val="1"/>
    </w:lvl>
    <w:lvl w:ilvl="1">
      <w:lvlJc w:val="left"/>
      <w:lvlText w:val="(%2)"/>
      <w:numFmt w:val="lowerLetter"/>
      <w:start w:val="1"/>
    </w:lvl>
  </w:abstractNum>
  <w:abstractNum w:abstractNumId="82">
    <w:nsid w:val="19E21BB2"/>
    <w:multiLevelType w:val="hybridMultilevel"/>
    <w:lvl w:ilvl="0">
      <w:lvlJc w:val="left"/>
      <w:lvlText w:val="%1."/>
      <w:numFmt w:val="decimal"/>
      <w:start w:val="15"/>
    </w:lvl>
    <w:lvl w:ilvl="1">
      <w:lvlJc w:val="left"/>
      <w:lvlText w:val="%2"/>
      <w:numFmt w:val="lowerLetter"/>
      <w:start w:val="1"/>
    </w:lvl>
  </w:abstractNum>
  <w:abstractNum w:abstractNumId="83">
    <w:nsid w:val="75E0858A"/>
    <w:multiLevelType w:val="hybridMultilevel"/>
    <w:lvl w:ilvl="0">
      <w:lvlJc w:val="left"/>
      <w:lvlText w:val="(%1)"/>
      <w:numFmt w:val="lowerLetter"/>
      <w:start w:val="1"/>
    </w:lvl>
  </w:abstractNum>
  <w:abstractNum w:abstractNumId="84">
    <w:nsid w:val="57A61A29"/>
    <w:multiLevelType w:val="hybridMultilevel"/>
    <w:lvl w:ilvl="0">
      <w:lvlJc w:val="left"/>
      <w:lvlText w:val="%1."/>
      <w:numFmt w:val="decimal"/>
      <w:start w:val="16"/>
    </w:lvl>
  </w:abstractNum>
  <w:abstractNum w:abstractNumId="85">
    <w:nsid w:val="5399C654"/>
    <w:multiLevelType w:val="hybridMultilevel"/>
    <w:lvl w:ilvl="0">
      <w:lvlJc w:val="left"/>
      <w:lvlText w:val="(%1)"/>
      <w:numFmt w:val="lowerLetter"/>
      <w:start w:val="1"/>
    </w:lvl>
  </w:abstractNum>
  <w:abstractNum w:abstractNumId="86">
    <w:nsid w:val="20EE1348"/>
    <w:multiLevelType w:val="hybridMultilevel"/>
    <w:lvl w:ilvl="0">
      <w:lvlJc w:val="left"/>
      <w:lvlText w:val="(%1)"/>
      <w:numFmt w:val="lowerLetter"/>
      <w:start w:val="1"/>
    </w:lvl>
  </w:abstractNum>
  <w:abstractNum w:abstractNumId="87">
    <w:nsid w:val="4427069A"/>
    <w:multiLevelType w:val="hybridMultilevel"/>
    <w:lvl w:ilvl="0">
      <w:lvlJc w:val="left"/>
      <w:lvlText w:val="(%1)"/>
      <w:numFmt w:val="lowerLetter"/>
      <w:start w:val="1"/>
    </w:lvl>
  </w:abstractNum>
  <w:abstractNum w:abstractNumId="88">
    <w:nsid w:val="B37E80A"/>
    <w:multiLevelType w:val="hybridMultilevel"/>
    <w:lvl w:ilvl="0">
      <w:lvlJc w:val="left"/>
      <w:lvlText w:val="(%1)"/>
      <w:numFmt w:val="lowerLetter"/>
      <w:start w:val="1"/>
    </w:lvl>
  </w:abstractNum>
  <w:abstractNum w:abstractNumId="89">
    <w:nsid w:val="2157F6BC"/>
    <w:multiLevelType w:val="hybridMultilevel"/>
    <w:lvl w:ilvl="0">
      <w:lvlJc w:val="left"/>
      <w:lvlText w:val="(%1)"/>
      <w:numFmt w:val="lowerLetter"/>
      <w:start w:val="1"/>
    </w:lvl>
  </w:abstractNum>
  <w:abstractNum w:abstractNumId="90">
    <w:nsid w:val="704E1DD5"/>
    <w:multiLevelType w:val="hybridMultilevel"/>
    <w:lvl w:ilvl="0">
      <w:lvlJc w:val="left"/>
      <w:lvlText w:val="(%1)"/>
      <w:numFmt w:val="lowerLetter"/>
      <w:start w:val="1"/>
    </w:lvl>
  </w:abstractNum>
  <w:abstractNum w:abstractNumId="91">
    <w:nsid w:val="57D2F10E"/>
    <w:multiLevelType w:val="hybridMultilevel"/>
    <w:lvl w:ilvl="0">
      <w:lvlJc w:val="left"/>
      <w:lvlText w:val="%1."/>
      <w:numFmt w:val="decimal"/>
      <w:start w:val="17"/>
    </w:lvl>
  </w:abstractNum>
  <w:abstractNum w:abstractNumId="92">
    <w:nsid w:val="BFFAE18"/>
    <w:multiLevelType w:val="hybridMultilevel"/>
    <w:lvl w:ilvl="0">
      <w:lvlJc w:val="left"/>
      <w:lvlText w:val="(%1)"/>
      <w:numFmt w:val="lowerLetter"/>
      <w:start w:val="1"/>
    </w:lvl>
  </w:abstractNum>
  <w:abstractNum w:abstractNumId="93">
    <w:nsid w:val="E3E47A8"/>
    <w:multiLevelType w:val="hybridMultilevel"/>
    <w:lvl w:ilvl="0">
      <w:lvlJc w:val="left"/>
      <w:lvlText w:val="(%1)"/>
      <w:numFmt w:val="lowerLetter"/>
      <w:start w:val="1"/>
    </w:lvl>
  </w:abstractNum>
  <w:abstractNum w:abstractNumId="94">
    <w:nsid w:val="2E48F044"/>
    <w:multiLevelType w:val="hybridMultilevel"/>
    <w:lvl w:ilvl="0">
      <w:lvlJc w:val="left"/>
      <w:lvlText w:val="(%1)"/>
      <w:numFmt w:val="lowerLetter"/>
      <w:start w:val="1"/>
    </w:lvl>
  </w:abstractNum>
  <w:abstractNum w:abstractNumId="95">
    <w:nsid w:val="49D0FEA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96">
    <w:nsid w:val="4BEE5A5B"/>
    <w:multiLevelType w:val="hybridMultilevel"/>
    <w:lvl w:ilvl="0">
      <w:lvlJc w:val="left"/>
      <w:lvlText w:val="(%1)"/>
      <w:numFmt w:val="lowerRoman"/>
      <w:start w:val="2"/>
    </w:lvl>
  </w:abstractNum>
  <w:abstractNum w:abstractNumId="97">
    <w:nsid w:val="5551B9F3"/>
    <w:multiLevelType w:val="hybridMultilevel"/>
    <w:lvl w:ilvl="0">
      <w:lvlJc w:val="left"/>
      <w:lvlText w:val="%1"/>
      <w:numFmt w:val="decimal"/>
      <w:start w:val="1"/>
    </w:lvl>
    <w:lvl w:ilvl="1">
      <w:lvlJc w:val="left"/>
      <w:lvlText w:val="(%2)"/>
      <w:numFmt w:val="lowerLetter"/>
      <w:start w:val="2"/>
    </w:lvl>
  </w:abstractNum>
  <w:abstractNum w:abstractNumId="98">
    <w:nsid w:val="24F6AB8E"/>
    <w:multiLevelType w:val="hybridMultilevel"/>
    <w:lvl w:ilvl="0">
      <w:lvlJc w:val="left"/>
      <w:lvlText w:val="%1."/>
      <w:numFmt w:val="decimal"/>
      <w:start w:val="18"/>
    </w:lvl>
    <w:lvl w:ilvl="1">
      <w:lvlJc w:val="left"/>
      <w:lvlText w:val="%2"/>
      <w:numFmt w:val="lowerLetter"/>
      <w:start w:val="1"/>
    </w:lvl>
  </w:abstractNum>
  <w:abstractNum w:abstractNumId="99">
    <w:nsid w:val="634C574C"/>
    <w:multiLevelType w:val="hybridMultilevel"/>
    <w:lvl w:ilvl="0">
      <w:lvlJc w:val="left"/>
      <w:lvlText w:val="(%1)"/>
      <w:numFmt w:val="lowerLetter"/>
      <w:start w:val="1"/>
    </w:lvl>
  </w:abstractNum>
  <w:abstractNum w:abstractNumId="100">
    <w:nsid w:val="24E99DD7"/>
    <w:multiLevelType w:val="hybridMultilevel"/>
    <w:lvl w:ilvl="0">
      <w:lvlJc w:val="left"/>
      <w:lvlText w:val="(%1)"/>
      <w:numFmt w:val="lowerLetter"/>
      <w:start w:val="1"/>
    </w:lvl>
  </w:abstractNum>
  <w:abstractNum w:abstractNumId="101">
    <w:nsid w:val="2A31B62D"/>
    <w:multiLevelType w:val="hybridMultilevel"/>
    <w:lvl w:ilvl="0">
      <w:lvlJc w:val="left"/>
      <w:lvlText w:val="(%1)"/>
      <w:numFmt w:val="lowerLetter"/>
      <w:start w:val="1"/>
    </w:lvl>
    <w:lvl w:ilvl="1">
      <w:lvlJc w:val="left"/>
      <w:lvlText w:val="-"/>
      <w:numFmt w:val="bullet"/>
      <w:start w:val="1"/>
    </w:lvl>
  </w:abstractNum>
  <w:abstractNum w:abstractNumId="102">
    <w:nsid w:val="1849C29B"/>
    <w:multiLevelType w:val="hybridMultilevel"/>
    <w:lvl w:ilvl="0">
      <w:lvlJc w:val="left"/>
      <w:lvlText w:val="(%1)"/>
      <w:numFmt w:val="lowerLetter"/>
      <w:start w:val="3"/>
    </w:lvl>
  </w:abstractNum>
  <w:abstractNum w:abstractNumId="103">
    <w:nsid w:val="7DFF9D09"/>
    <w:multiLevelType w:val="hybridMultilevel"/>
    <w:lvl w:ilvl="0">
      <w:lvlJc w:val="left"/>
      <w:lvlText w:val="%1"/>
      <w:numFmt w:val="decimal"/>
      <w:start w:val="1"/>
    </w:lvl>
    <w:lvl w:ilvl="1">
      <w:lvlJc w:val="left"/>
      <w:lvlText w:val="(%2)"/>
      <w:numFmt w:val="lowerLetter"/>
      <w:start w:val="1"/>
    </w:lvl>
  </w:abstractNum>
  <w:abstractNum w:abstractNumId="104">
    <w:nsid w:val="754342"/>
    <w:multiLevelType w:val="hybridMultilevel"/>
    <w:lvl w:ilvl="0">
      <w:lvlJc w:val="left"/>
      <w:lvlText w:val="%1."/>
      <w:numFmt w:val="decimal"/>
      <w:start w:val="19"/>
    </w:lvl>
    <w:lvl w:ilvl="1">
      <w:lvlJc w:val="left"/>
      <w:lvlText w:val="%2"/>
      <w:numFmt w:val="lowerLetter"/>
      <w:start w:val="1"/>
    </w:lvl>
  </w:abstractNum>
  <w:abstractNum w:abstractNumId="105">
    <w:nsid w:val="69E7F3E5"/>
    <w:multiLevelType w:val="hybridMultilevel"/>
    <w:lvl w:ilvl="0">
      <w:lvlJc w:val="left"/>
      <w:lvlText w:val="(%1)"/>
      <w:numFmt w:val="lowerLetter"/>
      <w:start w:val="1"/>
    </w:lvl>
    <w:lvl w:ilvl="1">
      <w:lvlJc w:val="left"/>
      <w:lvlText w:val="(%2)"/>
      <w:numFmt w:val="lowerRoman"/>
      <w:start w:val="1"/>
    </w:lvl>
  </w:abstractNum>
  <w:abstractNum w:abstractNumId="106">
    <w:nsid w:val="2A6DE806"/>
    <w:multiLevelType w:val="hybridMultilevel"/>
    <w:lvl w:ilvl="0">
      <w:lvlJc w:val="left"/>
      <w:lvlText w:val="(%1)"/>
      <w:numFmt w:val="lowerLetter"/>
      <w:start w:val="1"/>
    </w:lvl>
  </w:abstractNum>
  <w:abstractNum w:abstractNumId="107">
    <w:nsid w:val="1816F8C4"/>
    <w:multiLevelType w:val="hybridMultilevel"/>
    <w:lvl w:ilvl="0">
      <w:lvlJc w:val="left"/>
      <w:lvlText w:val="(%1)"/>
      <w:numFmt w:val="lowerLetter"/>
      <w:start w:val="1"/>
    </w:lvl>
    <w:lvl w:ilvl="1">
      <w:lvlJc w:val="left"/>
      <w:lvlText w:val="-"/>
      <w:numFmt w:val="bullet"/>
      <w:start w:val="1"/>
    </w:lvl>
  </w:abstractNum>
  <w:abstractNum w:abstractNumId="108">
    <w:nsid w:val="37DF2233"/>
    <w:multiLevelType w:val="hybridMultilevel"/>
    <w:lvl w:ilvl="0">
      <w:lvlJc w:val="left"/>
      <w:lvlText w:val="(%1)"/>
      <w:numFmt w:val="lowerLetter"/>
      <w:start w:val="2"/>
    </w:lvl>
  </w:abstractNum>
  <w:abstractNum w:abstractNumId="109">
    <w:nsid w:val="7AB49DAF"/>
    <w:multiLevelType w:val="hybridMultilevel"/>
    <w:lvl w:ilvl="0">
      <w:lvlJc w:val="left"/>
      <w:lvlText w:val="(%1)"/>
      <w:numFmt w:val="lowerLetter"/>
      <w:start w:val="1"/>
    </w:lvl>
  </w:abstractNum>
  <w:abstractNum w:abstractNumId="110">
    <w:nsid w:val="759F82CD"/>
    <w:multiLevelType w:val="hybridMultilevel"/>
    <w:lvl w:ilvl="0">
      <w:lvlJc w:val="left"/>
      <w:lvlText w:val="(%1)"/>
      <w:numFmt w:val="lowerLetter"/>
      <w:start w:val="1"/>
    </w:lvl>
    <w:lvl w:ilvl="1">
      <w:lvlJc w:val="left"/>
      <w:lvlText w:val="(%2)"/>
      <w:numFmt w:val="lowerRoman"/>
      <w:start w:val="1"/>
    </w:lvl>
  </w:abstractNum>
  <w:abstractNum w:abstractNumId="111">
    <w:nsid w:val="61E74EA3"/>
    <w:multiLevelType w:val="hybridMultilevel"/>
    <w:lvl w:ilvl="0">
      <w:lvlJc w:val="left"/>
      <w:lvlText w:val="(%1)"/>
      <w:numFmt w:val="lowerLetter"/>
      <w:start w:val="1"/>
    </w:lvl>
    <w:lvl w:ilvl="1">
      <w:lvlJc w:val="left"/>
      <w:lvlText w:val="-"/>
      <w:numFmt w:val="bullet"/>
      <w:start w:val="1"/>
    </w:lvl>
  </w:abstractNum>
  <w:abstractNum w:abstractNumId="112">
    <w:nsid w:val="597B4D84"/>
    <w:multiLevelType w:val="hybridMultilevel"/>
    <w:lvl w:ilvl="0">
      <w:lvlJc w:val="left"/>
      <w:lvlText w:val="(%1)"/>
      <w:numFmt w:val="lowerLetter"/>
      <w:start w:val="3"/>
    </w:lvl>
  </w:abstractNum>
  <w:abstractNum w:abstractNumId="113">
    <w:nsid w:val="F819E7F"/>
    <w:multiLevelType w:val="hybridMultilevel"/>
    <w:lvl w:ilvl="0">
      <w:lvlJc w:val="left"/>
      <w:lvlText w:val="(%1)"/>
      <w:numFmt w:val="lowerLetter"/>
      <w:start w:val="1"/>
    </w:lvl>
    <w:lvl w:ilvl="1">
      <w:lvlJc w:val="left"/>
      <w:lvlText w:val="-"/>
      <w:numFmt w:val="bullet"/>
      <w:start w:val="1"/>
    </w:lvl>
  </w:abstractNum>
  <w:abstractNum w:abstractNumId="114">
    <w:nsid w:val="57C7D42D"/>
    <w:multiLevelType w:val="hybridMultilevel"/>
    <w:lvl w:ilvl="0">
      <w:lvlJc w:val="left"/>
      <w:lvlText w:val="%1."/>
      <w:numFmt w:val="decimal"/>
      <w:start w:val="20"/>
    </w:lvl>
  </w:abstractNum>
  <w:abstractNum w:abstractNumId="115">
    <w:nsid w:val="312167AD"/>
    <w:multiLevelType w:val="hybridMultilevel"/>
    <w:lvl w:ilvl="0">
      <w:lvlJc w:val="left"/>
      <w:lvlText w:val="(%1)"/>
      <w:numFmt w:val="lowerLetter"/>
      <w:start w:val="1"/>
    </w:lvl>
  </w:abstractNum>
  <w:abstractNum w:abstractNumId="116">
    <w:nsid w:val="631B64D4"/>
    <w:multiLevelType w:val="hybridMultilevel"/>
    <w:lvl w:ilvl="0">
      <w:lvlJc w:val="left"/>
      <w:lvlText w:val="(%1)"/>
      <w:numFmt w:val="lowerLetter"/>
      <w:start w:val="1"/>
    </w:lvl>
  </w:abstractNum>
  <w:abstractNum w:abstractNumId="117">
    <w:nsid w:val="78B5E776"/>
    <w:multiLevelType w:val="hybridMultilevel"/>
    <w:lvl w:ilvl="0">
      <w:lvlJc w:val="left"/>
      <w:lvlText w:val="%1"/>
      <w:numFmt w:val="decimal"/>
      <w:start w:val="1"/>
    </w:lvl>
    <w:lvl w:ilvl="1">
      <w:lvlJc w:val="left"/>
      <w:lvlText w:val="(%2)"/>
      <w:numFmt w:val="lowerRoman"/>
      <w:start w:val="1"/>
    </w:lvl>
  </w:abstractNum>
  <w:abstractNum w:abstractNumId="118">
    <w:nsid w:val="75486E47"/>
    <w:multiLevelType w:val="hybridMultilevel"/>
    <w:lvl w:ilvl="0">
      <w:lvlJc w:val="left"/>
      <w:lvlText w:val="%1."/>
      <w:numFmt w:val="decimal"/>
      <w:start w:val="21"/>
    </w:lvl>
    <w:lvl w:ilvl="1">
      <w:lvlJc w:val="left"/>
      <w:lvlText w:val="%2"/>
      <w:numFmt w:val="lowerRoman"/>
      <w:start w:val="1"/>
    </w:lvl>
  </w:abstractNum>
  <w:abstractNum w:abstractNumId="119">
    <w:nsid w:val="6E534CDE"/>
    <w:multiLevelType w:val="hybridMultilevel"/>
    <w:lvl w:ilvl="0">
      <w:lvlJc w:val="left"/>
      <w:lvlText w:val="(%1)"/>
      <w:numFmt w:val="lowerLetter"/>
      <w:start w:val="1"/>
    </w:lvl>
    <w:lvl w:ilvl="1">
      <w:lvlJc w:val="left"/>
      <w:lvlText w:val="-"/>
      <w:numFmt w:val="bullet"/>
      <w:start w:val="1"/>
    </w:lvl>
  </w:abstractNum>
  <w:abstractNum w:abstractNumId="120">
    <w:nsid w:val="1A0DDE32"/>
    <w:multiLevelType w:val="hybridMultilevel"/>
    <w:lvl w:ilvl="0">
      <w:lvlJc w:val="left"/>
      <w:lvlText w:val="(%1)"/>
      <w:numFmt w:val="lowerLetter"/>
      <w:start w:val="2"/>
    </w:lvl>
  </w:abstractNum>
  <w:abstractNum w:abstractNumId="121">
    <w:nsid w:val="65968C1C"/>
    <w:multiLevelType w:val="hybridMultilevel"/>
    <w:lvl w:ilvl="0">
      <w:lvlJc w:val="left"/>
      <w:lvlText w:val="(%1)"/>
      <w:numFmt w:val="lowerLetter"/>
      <w:start w:val="1"/>
    </w:lvl>
  </w:abstractNum>
  <w:abstractNum w:abstractNumId="122">
    <w:nsid w:val="46263DEC"/>
    <w:multiLevelType w:val="hybridMultilevel"/>
    <w:lvl w:ilvl="0">
      <w:lvlJc w:val="left"/>
      <w:lvlText w:val="(%1)"/>
      <w:numFmt w:val="lowerLetter"/>
      <w:start w:val="1"/>
    </w:lvl>
    <w:lvl w:ilvl="1">
      <w:lvlJc w:val="left"/>
      <w:lvlText w:val="-"/>
      <w:numFmt w:val="bullet"/>
      <w:start w:val="1"/>
    </w:lvl>
  </w:abstractNum>
  <w:abstractNum w:abstractNumId="123">
    <w:nsid w:val="260D8C4A"/>
    <w:multiLevelType w:val="hybridMultilevel"/>
    <w:lvl w:ilvl="0">
      <w:lvlJc w:val="left"/>
      <w:lvlText w:val="(%1)"/>
      <w:numFmt w:val="lowerLetter"/>
      <w:start w:val="5"/>
    </w:lvl>
  </w:abstractNum>
  <w:abstractNum w:abstractNumId="124">
    <w:nsid w:val="73D4D3C4"/>
    <w:multiLevelType w:val="hybridMultilevel"/>
    <w:lvl w:ilvl="0">
      <w:lvlJc w:val="left"/>
      <w:lvlText w:val="(%1)"/>
      <w:numFmt w:val="lowerLetter"/>
      <w:start w:val="1"/>
    </w:lvl>
  </w:abstractNum>
  <w:abstractNum w:abstractNumId="125">
    <w:nsid w:val="746F2E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6">
    <w:nsid w:val="6FDE8AF6"/>
    <w:multiLevelType w:val="hybridMultilevel"/>
    <w:lvl w:ilvl="0">
      <w:lvlJc w:val="left"/>
      <w:lvlText w:val="(%1)"/>
      <w:numFmt w:val="lowerLetter"/>
      <w:start w:val="2"/>
    </w:lvl>
    <w:lvl w:ilvl="1">
      <w:lvlJc w:val="left"/>
      <w:lvlText w:val="(%2)"/>
      <w:numFmt w:val="lowerRoman"/>
      <w:start w:val="1"/>
    </w:lvl>
  </w:abstractNum>
  <w:abstractNum w:abstractNumId="127">
    <w:nsid w:val="3FC32E20"/>
    <w:multiLevelType w:val="hybridMultilevel"/>
    <w:lvl w:ilvl="0">
      <w:lvlJc w:val="left"/>
      <w:lvlText w:val="(%1)"/>
      <w:numFmt w:val="lowerLetter"/>
      <w:start w:val="1"/>
    </w:lvl>
    <w:lvl w:ilvl="1">
      <w:lvlJc w:val="left"/>
      <w:lvlText w:val="-"/>
      <w:numFmt w:val="bullet"/>
      <w:start w:val="1"/>
    </w:lvl>
  </w:abstractNum>
  <w:abstractNum w:abstractNumId="128">
    <w:nsid w:val="49C0E823"/>
    <w:multiLevelType w:val="hybridMultilevel"/>
    <w:lvl w:ilvl="0">
      <w:lvlJc w:val="left"/>
      <w:lvlText w:val="(%1)"/>
      <w:numFmt w:val="lowerLetter"/>
      <w:start w:val="2"/>
    </w:lvl>
  </w:abstractNum>
  <w:abstractNum w:abstractNumId="129">
    <w:nsid w:val="14D53685"/>
    <w:multiLevelType w:val="hybridMultilevel"/>
    <w:lvl w:ilvl="0">
      <w:lvlJc w:val="left"/>
      <w:lvlText w:val="(%1)"/>
      <w:numFmt w:val="lowerLetter"/>
      <w:start w:val="1"/>
    </w:lvl>
  </w:abstractNum>
  <w:abstractNum w:abstractNumId="130">
    <w:nsid w:val="230F856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31">
    <w:nsid w:val="6EAA85FB"/>
    <w:multiLevelType w:val="hybridMultilevel"/>
    <w:lvl w:ilvl="0">
      <w:lvlJc w:val="left"/>
      <w:lvlText w:val="(%1)"/>
      <w:numFmt w:val="lowerLetter"/>
      <w:start w:val="2"/>
    </w:lvl>
    <w:lvl w:ilvl="1">
      <w:lvlJc w:val="left"/>
      <w:lvlText w:val="(%2)"/>
      <w:numFmt w:val="lowerRoman"/>
      <w:start w:val="1"/>
    </w:lvl>
  </w:abstractNum>
  <w:abstractNum w:abstractNumId="132">
    <w:nsid w:val="3F06ECB2"/>
    <w:multiLevelType w:val="hybridMultilevel"/>
    <w:lvl w:ilvl="0">
      <w:lvlJc w:val="left"/>
      <w:lvlText w:val="(%1)"/>
      <w:numFmt w:val="lowerLetter"/>
      <w:start w:val="5"/>
    </w:lvl>
    <w:lvl w:ilvl="1">
      <w:lvlJc w:val="left"/>
      <w:lvlText w:val="-"/>
      <w:numFmt w:val="bullet"/>
      <w:start w:val="1"/>
    </w:lvl>
  </w:abstractNum>
  <w:abstractNum w:abstractNumId="133">
    <w:nsid w:val="3B594807"/>
    <w:multiLevelType w:val="hybridMultilevel"/>
    <w:lvl w:ilvl="0">
      <w:lvlJc w:val="left"/>
      <w:lvlText w:val="(%1)"/>
      <w:numFmt w:val="lowerLetter"/>
      <w:start w:val="1"/>
    </w:lvl>
  </w:abstractNum>
  <w:abstractNum w:abstractNumId="134">
    <w:nsid w:val="6CAA2304"/>
    <w:multiLevelType w:val="hybridMultilevel"/>
    <w:lvl w:ilvl="0">
      <w:lvlJc w:val="left"/>
      <w:lvlText w:val="(%1)"/>
      <w:numFmt w:val="lowerLetter"/>
      <w:start w:val="1"/>
    </w:lvl>
  </w:abstractNum>
  <w:abstractNum w:abstractNumId="135">
    <w:nsid w:val="3F7C2FF4"/>
    <w:multiLevelType w:val="hybridMultilevel"/>
    <w:lvl w:ilvl="0">
      <w:lvlJc w:val="left"/>
      <w:lvlText w:val="(%1)"/>
      <w:numFmt w:val="lowerLetter"/>
      <w:start w:val="1"/>
    </w:lvl>
    <w:lvl w:ilvl="1">
      <w:lvlJc w:val="left"/>
      <w:lvlText w:val="(%2)"/>
      <w:numFmt w:val="lowerRoman"/>
      <w:start w:val="1"/>
    </w:lvl>
  </w:abstractNum>
  <w:abstractNum w:abstractNumId="136">
    <w:nsid w:val="25413BEC"/>
    <w:multiLevelType w:val="hybridMultilevel"/>
    <w:lvl w:ilvl="0">
      <w:lvlJc w:val="left"/>
      <w:lvlText w:val="(%1)"/>
      <w:numFmt w:val="lowerLetter"/>
      <w:start w:val="2"/>
    </w:lvl>
    <w:lvl w:ilvl="1">
      <w:lvlJc w:val="left"/>
      <w:lvlText w:val="-"/>
      <w:numFmt w:val="bullet"/>
      <w:start w:val="1"/>
    </w:lvl>
  </w:abstractNum>
  <w:abstractNum w:abstractNumId="137">
    <w:nsid w:val="17180B0B"/>
    <w:multiLevelType w:val="hybridMultilevel"/>
    <w:lvl w:ilvl="0">
      <w:lvlJc w:val="left"/>
      <w:lvlText w:val="(%1)"/>
      <w:numFmt w:val="lowerLetter"/>
      <w:start w:val="1"/>
    </w:lvl>
  </w:abstractNum>
  <w:abstractNum w:abstractNumId="138">
    <w:nsid w:val="579328B9"/>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39">
    <w:nsid w:val="5D205E20"/>
    <w:multiLevelType w:val="hybridMultilevel"/>
    <w:lvl w:ilvl="0">
      <w:lvlJc w:val="left"/>
      <w:lvlText w:val="%1."/>
      <w:numFmt w:val="decimal"/>
      <w:start w:val="24"/>
    </w:lvl>
  </w:abstractNum>
  <w:abstractNum w:abstractNumId="140">
    <w:nsid w:val="11CCA8BA"/>
    <w:multiLevelType w:val="hybridMultilevel"/>
    <w:lvl w:ilvl="0">
      <w:lvlJc w:val="left"/>
      <w:lvlText w:val="(%1)"/>
      <w:numFmt w:val="lowerLetter"/>
      <w:start w:val="1"/>
    </w:lvl>
  </w:abstractNum>
  <w:abstractNum w:abstractNumId="141">
    <w:nsid w:val="4D32AB86"/>
    <w:multiLevelType w:val="hybridMultilevel"/>
    <w:lvl w:ilvl="0">
      <w:lvlJc w:val="left"/>
      <w:lvlText w:val="(%1)"/>
      <w:numFmt w:val="lowerLetter"/>
      <w:start w:val="1"/>
    </w:lvl>
    <w:lvl w:ilvl="1">
      <w:lvlJc w:val="left"/>
      <w:lvlText w:val="-"/>
      <w:numFmt w:val="bullet"/>
      <w:start w:val="1"/>
    </w:lvl>
  </w:abstractNum>
  <w:abstractNum w:abstractNumId="142">
    <w:nsid w:val="3F07ACC3"/>
    <w:multiLevelType w:val="hybridMultilevel"/>
    <w:lvl w:ilvl="0">
      <w:lvlJc w:val="left"/>
      <w:lvlText w:val="(%1)"/>
      <w:numFmt w:val="lowerRoman"/>
      <w:start w:val="1"/>
    </w:lvl>
  </w:abstractNum>
  <w:abstractNum w:abstractNumId="143">
    <w:nsid w:val="6B47F63E"/>
    <w:multiLevelType w:val="hybridMultilevel"/>
    <w:lvl w:ilvl="0">
      <w:lvlJc w:val="left"/>
      <w:lvlText w:val="(%1)"/>
      <w:numFmt w:val="lowerLetter"/>
      <w:start w:val="1"/>
    </w:lvl>
    <w:lvl w:ilvl="1">
      <w:lvlJc w:val="left"/>
      <w:lvlText w:val="(%2)"/>
      <w:numFmt w:val="lowerRoman"/>
      <w:start w:val="1"/>
    </w:lvl>
  </w:abstractNum>
  <w:abstractNum w:abstractNumId="144">
    <w:nsid w:val="5CB44A05"/>
    <w:multiLevelType w:val="hybridMultilevel"/>
    <w:lvl w:ilvl="0">
      <w:lvlJc w:val="left"/>
      <w:lvlText w:val="(%1)"/>
      <w:numFmt w:val="lowerLetter"/>
      <w:start w:val="1"/>
    </w:lvl>
    <w:lvl w:ilvl="1">
      <w:lvlJc w:val="left"/>
      <w:lvlText w:val="-"/>
      <w:numFmt w:val="bullet"/>
      <w:start w:val="1"/>
    </w:lvl>
  </w:abstractNum>
  <w:abstractNum w:abstractNumId="145">
    <w:nsid w:val="16CF80F1"/>
    <w:multiLevelType w:val="hybridMultilevel"/>
    <w:lvl w:ilvl="0">
      <w:lvlJc w:val="left"/>
      <w:lvlText w:val="(%1)"/>
      <w:numFmt w:val="lowerLetter"/>
      <w:start w:val="1"/>
    </w:lvl>
  </w:abstractNum>
  <w:abstractNum w:abstractNumId="146">
    <w:nsid w:val="1C695DEC"/>
    <w:multiLevelType w:val="hybridMultilevel"/>
    <w:lvl w:ilvl="0">
      <w:lvlJc w:val="left"/>
      <w:lvlText w:val="(%1)"/>
      <w:numFmt w:val="lowerLetter"/>
      <w:start w:val="1"/>
    </w:lvl>
    <w:lvl w:ilvl="1">
      <w:lvlJc w:val="left"/>
      <w:lvlText w:val="(%2)"/>
      <w:numFmt w:val="lowerRoman"/>
      <w:start w:val="1"/>
    </w:lvl>
  </w:abstractNum>
  <w:abstractNum w:abstractNumId="147">
    <w:nsid w:val="3FCFAED9"/>
    <w:multiLevelType w:val="hybridMultilevel"/>
    <w:lvl w:ilvl="0">
      <w:lvlJc w:val="left"/>
      <w:lvlText w:val="(%1)"/>
      <w:numFmt w:val="lowerLetter"/>
      <w:start w:val="1"/>
    </w:lvl>
    <w:lvl w:ilvl="1">
      <w:lvlJc w:val="left"/>
      <w:lvlText w:val="-"/>
      <w:numFmt w:val="bullet"/>
      <w:start w:val="1"/>
    </w:lvl>
  </w:abstractNum>
  <w:abstractNum w:abstractNumId="148">
    <w:nsid w:val="F856867"/>
    <w:multiLevelType w:val="hybridMultilevel"/>
    <w:lvl w:ilvl="0">
      <w:lvlJc w:val="left"/>
      <w:lvlText w:val="(%1)"/>
      <w:numFmt w:val="lowerLetter"/>
      <w:start w:val="4"/>
    </w:lvl>
  </w:abstractNum>
  <w:abstractNum w:abstractNumId="149">
    <w:nsid w:val="11B1CC33"/>
    <w:multiLevelType w:val="hybridMultilevel"/>
    <w:lvl w:ilvl="0">
      <w:lvlJc w:val="left"/>
      <w:lvlText w:val="%1."/>
      <w:numFmt w:val="decimal"/>
      <w:start w:val="25"/>
    </w:lvl>
  </w:abstractNum>
  <w:abstractNum w:abstractNumId="150">
    <w:nsid w:val="2E22FBB7"/>
    <w:multiLevelType w:val="hybridMultilevel"/>
    <w:lvl w:ilvl="0">
      <w:lvlJc w:val="left"/>
      <w:lvlText w:val="%1."/>
      <w:numFmt w:val="decimal"/>
      <w:start w:val="26"/>
    </w:lvl>
  </w:abstractNum>
  <w:abstractNum w:abstractNumId="151">
    <w:nsid w:val="29934699"/>
    <w:multiLevelType w:val="hybridMultilevel"/>
    <w:lvl w:ilvl="0">
      <w:lvlJc w:val="left"/>
      <w:lvlText w:val="(%1)"/>
      <w:numFmt w:val="lowerLetter"/>
      <w:start w:val="1"/>
    </w:lvl>
  </w:abstractNum>
  <w:abstractNum w:abstractNumId="152">
    <w:nsid w:val="77485850"/>
    <w:multiLevelType w:val="hybridMultilevel"/>
    <w:lvl w:ilvl="0">
      <w:lvlJc w:val="left"/>
      <w:lvlText w:val="(%1)"/>
      <w:numFmt w:val="lowerLetter"/>
      <w:start w:val="1"/>
    </w:lvl>
  </w:abstractNum>
  <w:abstractNum w:abstractNumId="153">
    <w:nsid w:val="744939A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4">
    <w:nsid w:val="4FA0D2E3"/>
    <w:multiLevelType w:val="hybridMultilevel"/>
    <w:lvl w:ilvl="0">
      <w:lvlJc w:val="left"/>
      <w:lvlText w:val="(%1)"/>
      <w:numFmt w:val="lowerLetter"/>
      <w:start w:val="4"/>
    </w:lvl>
  </w:abstractNum>
  <w:abstractNum w:abstractNumId="155">
    <w:nsid w:val="6B1D2C1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6">
    <w:nsid w:val="68B867D3"/>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157">
    <w:nsid w:val="3F7F5DD9"/>
    <w:multiLevelType w:val="hybridMultilevel"/>
    <w:lvl w:ilvl="0">
      <w:lvlJc w:val="left"/>
      <w:lvlText w:val="%1."/>
      <w:numFmt w:val="decimal"/>
      <w:start w:val="28"/>
    </w:lvl>
  </w:abstractNum>
  <w:abstractNum w:abstractNumId="158">
    <w:nsid w:val="2AE05A34"/>
    <w:multiLevelType w:val="hybridMultilevel"/>
    <w:lvl w:ilvl="0">
      <w:lvlJc w:val="left"/>
      <w:lvlText w:val="(%1)"/>
      <w:numFmt w:val="lowerLetter"/>
      <w:start w:val="1"/>
    </w:lvl>
    <w:lvl w:ilvl="1">
      <w:lvlJc w:val="left"/>
      <w:lvlText w:val="-"/>
      <w:numFmt w:val="bullet"/>
      <w:start w:val="1"/>
    </w:lvl>
  </w:abstractNum>
  <w:abstractNum w:abstractNumId="159">
    <w:nsid w:val="32794FF7"/>
    <w:multiLevelType w:val="hybridMultilevel"/>
    <w:lvl w:ilvl="0">
      <w:lvlJc w:val="left"/>
      <w:lvlText w:val="(%1)"/>
      <w:numFmt w:val="lowerLetter"/>
      <w:start w:val="2"/>
    </w:lvl>
    <w:lvl w:ilvl="1">
      <w:lvlJc w:val="left"/>
      <w:lvlText w:val="(%2)"/>
      <w:numFmt w:val="lowerRoman"/>
      <w:start w:val="1"/>
    </w:lvl>
  </w:abstractNum>
  <w:abstractNum w:abstractNumId="160">
    <w:nsid w:val="5454945E"/>
    <w:multiLevelType w:val="hybridMultilevel"/>
    <w:lvl w:ilvl="0">
      <w:lvlJc w:val="left"/>
      <w:lvlText w:val="(%1)"/>
      <w:numFmt w:val="upperLetter"/>
      <w:start w:val="1"/>
    </w:lvl>
    <w:lvl w:ilvl="1">
      <w:lvlJc w:val="left"/>
      <w:lvlText w:val="-"/>
      <w:numFmt w:val="bullet"/>
      <w:start w:val="1"/>
    </w:lvl>
  </w:abstractNum>
  <w:abstractNum w:abstractNumId="161">
    <w:nsid w:val="4DEFDFA0"/>
    <w:multiLevelType w:val="hybridMultilevel"/>
    <w:lvl w:ilvl="0">
      <w:lvlJc w:val="left"/>
      <w:lvlText w:val="%1"/>
      <w:numFmt w:val="lowerLetter"/>
      <w:start w:val="1"/>
    </w:lvl>
    <w:lvl w:ilvl="1">
      <w:lvlJc w:val="left"/>
      <w:lvlText w:val="(%2)"/>
      <w:numFmt w:val="upperLetter"/>
      <w:start w:val="2"/>
    </w:lvl>
  </w:abstractNum>
  <w:abstractNum w:abstractNumId="162">
    <w:nsid w:val="2123D5F2"/>
    <w:multiLevelType w:val="hybridMultilevel"/>
    <w:lvl w:ilvl="0">
      <w:lvlJc w:val="left"/>
      <w:lvlText w:val="(%1)"/>
      <w:numFmt w:val="lowerLetter"/>
      <w:start w:val="3"/>
    </w:lvl>
    <w:lvl w:ilvl="1">
      <w:lvlJc w:val="left"/>
      <w:lvlText w:val="%2"/>
      <w:numFmt w:val="upperLetter"/>
      <w:start w:val="1"/>
    </w:lvl>
  </w:abstractNum>
  <w:abstractNum w:abstractNumId="163">
    <w:nsid w:val="135B8110"/>
    <w:multiLevelType w:val="hybridMultilevel"/>
    <w:lvl w:ilvl="0">
      <w:lvlJc w:val="left"/>
      <w:lvlText w:val="(%1)"/>
      <w:numFmt w:val="lowerLetter"/>
      <w:start w:val="1"/>
    </w:lvl>
  </w:abstractNum>
  <w:abstractNum w:abstractNumId="164">
    <w:nsid w:val="94927A8"/>
    <w:multiLevelType w:val="hybridMultilevel"/>
    <w:lvl w:ilvl="0">
      <w:lvlJc w:val="left"/>
      <w:lvlText w:val="%1"/>
      <w:numFmt w:val="decimal"/>
      <w:start w:val="1"/>
    </w:lvl>
    <w:lvl w:ilvl="1">
      <w:lvlJc w:val="left"/>
      <w:lvlText w:val="(%2)"/>
      <w:numFmt w:val="lowerLetter"/>
      <w:start w:val="1"/>
    </w:lvl>
  </w:abstractNum>
  <w:abstractNum w:abstractNumId="165">
    <w:nsid w:val="DCDF8F6"/>
    <w:multiLevelType w:val="hybridMultilevel"/>
    <w:lvl w:ilvl="0">
      <w:lvlJc w:val="left"/>
      <w:lvlText w:val="%1."/>
      <w:numFmt w:val="decimal"/>
      <w:start w:val="32"/>
    </w:lvl>
    <w:lvl w:ilvl="1">
      <w:lvlJc w:val="left"/>
      <w:lvlText w:val="%2"/>
      <w:numFmt w:val="lowerLetter"/>
      <w:start w:val="1"/>
    </w:lvl>
  </w:abstractNum>
  <w:abstractNum w:abstractNumId="166">
    <w:nsid w:val="52D7B10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7">
    <w:nsid w:val="2E8A6394"/>
    <w:multiLevelType w:val="hybridMultilevel"/>
    <w:lvl w:ilvl="0">
      <w:lvlJc w:val="left"/>
      <w:lvlText w:val="(%1)"/>
      <w:numFmt w:val="lowerLetter"/>
      <w:start w:val="3"/>
    </w:lvl>
    <w:lvl w:ilvl="1">
      <w:lvlJc w:val="left"/>
      <w:lvlText w:val="(%2)"/>
      <w:numFmt w:val="lowerRoman"/>
      <w:start w:val="1"/>
    </w:lvl>
  </w:abstractNum>
  <w:abstractNum w:abstractNumId="168">
    <w:nsid w:val="24E60401"/>
    <w:multiLevelType w:val="hybridMultilevel"/>
    <w:lvl w:ilvl="0">
      <w:lvlJc w:val="left"/>
      <w:lvlText w:val="(%1)"/>
      <w:numFmt w:val="lowerLetter"/>
      <w:start w:val="1"/>
    </w:lvl>
    <w:lvl w:ilvl="1">
      <w:lvlJc w:val="left"/>
      <w:lvlText w:val="-"/>
      <w:numFmt w:val="bullet"/>
      <w:start w:val="1"/>
    </w:lvl>
  </w:abstractNum>
  <w:abstractNum w:abstractNumId="169">
    <w:nsid w:val="2A6AD9BE"/>
    <w:multiLevelType w:val="hybridMultilevel"/>
    <w:lvl w:ilvl="0">
      <w:lvlJc w:val="left"/>
      <w:lvlText w:val="(%1)"/>
      <w:numFmt w:val="lowerRoman"/>
      <w:start w:val="1"/>
    </w:lvl>
  </w:abstractNum>
  <w:abstractNum w:abstractNumId="170">
    <w:nsid w:val="BAAC1B4"/>
    <w:multiLevelType w:val="hybridMultilevel"/>
    <w:lvl w:ilvl="0">
      <w:lvlJc w:val="left"/>
      <w:lvlText w:val="%1."/>
      <w:numFmt w:val="decimal"/>
      <w:start w:val="33"/>
    </w:lvl>
  </w:abstractNum>
  <w:abstractNum w:abstractNumId="171">
    <w:nsid w:val="36B2ACBC"/>
    <w:multiLevelType w:val="hybridMultilevel"/>
    <w:lvl w:ilvl="0">
      <w:lvlJc w:val="left"/>
      <w:lvlText w:val="(%1)"/>
      <w:numFmt w:val="lowerLetter"/>
      <w:start w:val="1"/>
    </w:lvl>
  </w:abstractNum>
  <w:abstractNum w:abstractNumId="172">
    <w:nsid w:val="779D85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3">
    <w:nsid w:val="4AB26E78"/>
    <w:multiLevelType w:val="hybridMultilevel"/>
    <w:lvl w:ilvl="0">
      <w:lvlJc w:val="left"/>
      <w:lvlText w:val="%1."/>
      <w:numFmt w:val="decimal"/>
      <w:start w:val="1"/>
    </w:lvl>
  </w:abstractNum>
  <w:abstractNum w:abstractNumId="174">
    <w:nsid w:val="21FAA2FA"/>
    <w:multiLevelType w:val="hybridMultilevel"/>
    <w:lvl w:ilvl="0">
      <w:lvlJc w:val="left"/>
      <w:lvlText w:val="%1."/>
      <w:numFmt w:val="decimal"/>
      <w:start w:val="3"/>
    </w:lvl>
  </w:abstractNum>
  <w:abstractNum w:abstractNumId="175">
    <w:nsid w:val="5451CF49"/>
    <w:multiLevelType w:val="hybridMultilevel"/>
    <w:lvl w:ilvl="0">
      <w:lvlJc w:val="left"/>
      <w:lvlText w:val="%1."/>
      <w:numFmt w:val="decimal"/>
      <w:start w:val="1"/>
    </w:lvl>
  </w:abstractNum>
  <w:abstractNum w:abstractNumId="176">
    <w:nsid w:val="6181EF69"/>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2022-11-03T17:12:05Z</dcterms:created>
  <dcterms:modified xsi:type="dcterms:W3CDTF">2022-11-03T17:12:05Z</dcterms:modified>
</cp:coreProperties>
</file>