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February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On February 1, 2024, Polestar Automotive Holding UK PLC (“Polestar”) issued a press release regarding Volvo Cars’ announced evaluation of a potential adjustment to its shareholding in Polestar including a distribution of shares to its shareholders, with Geely Sweden Holdings AB being the primary recipient.</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 copy of the press release is included in this Report on Form 6-K as Exhibit 99.1 and the foregoing description of the press release is qualified in its entirety by reference thereto.</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60"/>
          </w:cols>
          <w:pgMar w:left="440" w:top="266"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39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2640" w:type="dxa"/>
            <w:vAlign w:val="bottom"/>
          </w:tcPr>
          <w:p>
            <w:pPr>
              <w:jc w:val="center"/>
              <w:ind w:right="21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980" w:type="dxa"/>
            <w:vAlign w:val="bottom"/>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640" w:type="dxa"/>
            <w:vAlign w:val="bottom"/>
          </w:tcPr>
          <w:p>
            <w:pPr>
              <w:jc w:val="center"/>
              <w:ind w:right="2108"/>
              <w:spacing w:after="0"/>
              <w:rPr>
                <w:sz w:val="20"/>
                <w:szCs w:val="20"/>
                <w:color w:val="auto"/>
              </w:rPr>
            </w:pPr>
            <w:r>
              <w:rPr>
                <w:rFonts w:ascii="Times New Roman" w:cs="Times New Roman" w:eastAsia="Times New Roman" w:hAnsi="Times New Roman"/>
                <w:sz w:val="14"/>
                <w:szCs w:val="14"/>
                <w:b w:val="1"/>
                <w:bCs w:val="1"/>
                <w:color w:val="auto"/>
              </w:rPr>
              <w:t>No.</w:t>
            </w:r>
          </w:p>
        </w:tc>
        <w:tc>
          <w:tcPr>
            <w:tcW w:w="3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88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Polestar Automotive Holding UK PLC, dated February 1, 2024, titled “Polestar welcomes Geely’s long-term commitment to its development and growth as an independent exclusive performance brand</w:t>
      </w:r>
      <w:r>
        <w:rPr>
          <w:rFonts w:ascii="Times New Roman" w:cs="Times New Roman" w:eastAsia="Times New Roman" w:hAnsi="Times New Roman"/>
          <w:sz w:val="18"/>
          <w:szCs w:val="18"/>
          <w:color w:val="000000"/>
        </w:rPr>
        <w:t>”</w:t>
      </w:r>
    </w:p>
    <w:p>
      <w:pPr>
        <w:sectPr>
          <w:pgSz w:w="11900" w:h="16838" w:orient="portrait"/>
          <w:cols w:equalWidth="0" w:num="1">
            <w:col w:w="10940"/>
          </w:cols>
          <w:pgMar w:left="440" w:top="266"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4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39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 2024</w:t>
            </w:r>
          </w:p>
        </w:tc>
        <w:tc>
          <w:tcPr>
            <w:tcW w:w="25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540" w:type="dxa"/>
            <w:vAlign w:val="bottom"/>
          </w:tcPr>
          <w:p>
            <w:pPr>
              <w:spacing w:after="0"/>
              <w:rPr>
                <w:sz w:val="17"/>
                <w:szCs w:val="17"/>
                <w:color w:val="auto"/>
              </w:rPr>
            </w:pPr>
          </w:p>
        </w:tc>
        <w:tc>
          <w:tcPr>
            <w:tcW w:w="2520" w:type="dxa"/>
            <w:vAlign w:val="bottom"/>
          </w:tcPr>
          <w:p>
            <w:pPr>
              <w:ind w:left="18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540" w:type="dxa"/>
            <w:vAlign w:val="bottom"/>
          </w:tcPr>
          <w:p>
            <w:pPr>
              <w:spacing w:after="0"/>
              <w:rPr>
                <w:sz w:val="20"/>
                <w:szCs w:val="20"/>
                <w:color w:val="auto"/>
              </w:rPr>
            </w:pPr>
          </w:p>
        </w:tc>
        <w:tc>
          <w:tcPr>
            <w:tcW w:w="25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91"/>
        </w:trPr>
        <w:tc>
          <w:tcPr>
            <w:tcW w:w="3540" w:type="dxa"/>
            <w:vAlign w:val="bottom"/>
          </w:tcPr>
          <w:p>
            <w:pPr>
              <w:spacing w:after="0"/>
              <w:rPr>
                <w:sz w:val="24"/>
                <w:szCs w:val="24"/>
                <w:color w:val="auto"/>
              </w:rPr>
            </w:pPr>
          </w:p>
        </w:tc>
        <w:tc>
          <w:tcPr>
            <w:tcW w:w="25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 Ansgar</w:t>
            </w:r>
          </w:p>
        </w:tc>
      </w:tr>
      <w:tr>
        <w:trPr>
          <w:trHeight w:val="205"/>
        </w:trPr>
        <w:tc>
          <w:tcPr>
            <w:tcW w:w="3540" w:type="dxa"/>
            <w:vAlign w:val="bottom"/>
          </w:tcPr>
          <w:p>
            <w:pPr>
              <w:spacing w:after="0"/>
              <w:rPr>
                <w:sz w:val="17"/>
                <w:szCs w:val="17"/>
                <w:color w:val="auto"/>
              </w:rPr>
            </w:pPr>
          </w:p>
        </w:tc>
        <w:tc>
          <w:tcPr>
            <w:tcW w:w="2520" w:type="dxa"/>
            <w:vAlign w:val="bottom"/>
          </w:tcPr>
          <w:p>
            <w:pPr>
              <w:ind w:left="18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3540" w:type="dxa"/>
            <w:vAlign w:val="bottom"/>
          </w:tcPr>
          <w:p>
            <w:pPr>
              <w:spacing w:after="0"/>
              <w:rPr>
                <w:sz w:val="20"/>
                <w:szCs w:val="20"/>
                <w:color w:val="auto"/>
              </w:rPr>
            </w:pPr>
          </w:p>
        </w:tc>
        <w:tc>
          <w:tcPr>
            <w:tcW w:w="25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Polestar welcomes Geely’s long-term commitment to its development and growth as an independent exclusive performance brand</w:t>
      </w:r>
    </w:p>
    <w:p>
      <w:pPr>
        <w:spacing w:after="0" w:line="225" w:lineRule="exact"/>
        <w:rPr>
          <w:sz w:val="20"/>
          <w:szCs w:val="20"/>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GOTHENBURG, SWEDEN – 01 February. </w:t>
      </w:r>
      <w:r>
        <w:rPr>
          <w:rFonts w:ascii="Times New Roman" w:cs="Times New Roman" w:eastAsia="Times New Roman" w:hAnsi="Times New Roman"/>
          <w:sz w:val="18"/>
          <w:szCs w:val="18"/>
          <w:color w:val="auto"/>
        </w:rPr>
        <w:t>Polestar Automotive Holding UK PLC (Nasdaq: PSNY), the Swedish electric performance car brand,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welcomes Geely Sweden Holding as a potential direct new shareholder. Volvo Cars is evaluating a potential adjustment to its shareholding in Polestar including a distribution of shares to its shareholders, with Geely Sweden Holding being the primary recipient. Volvo Cars will remain a strategic partner in areas across R&amp;D, manufacturing, after sales and commercial.</w:t>
      </w:r>
    </w:p>
    <w:p>
      <w:pPr>
        <w:spacing w:after="0" w:line="180"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Polestar has made significant progress in developing an all-electric model line-up, a global sales and service network and a diversified manufacturing footprint. Polestar announced a strengthened business plan in November 2023 that set a clear path to profitability. With business actions to manage costs, drive higher margins and cashflow, Polestar reduced its expected external funding need to approximately $1.3 billion until targeted cash flow break-even in 2025 and is well advanced on securing the additional external funding required.</w:t>
      </w:r>
    </w:p>
    <w:p>
      <w:pPr>
        <w:spacing w:after="0" w:line="180"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Thomas Ingenlath, Polestar CEO, says: “With our growing line-up of exclusive, performance cars, Polestar is in one of the most promising phases of its development. We have successfully ramped up production and started sales in China, Europe and Australia of Polestar 4 and Polestar 3 is expected to start first customer deliveries this summer. We look forward to continued cooperation with Volvo Cars as well as benefiting from even greater synergies with Geely on future orientated technologies.”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121"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76"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In the UK, Polestar is based in Bicester, Oxfordshire. A total of four retail locations, known as Polestar Spaces, are available for customers to physically engage with non-commissioned Polestar Specialists and arrange test drives.</w:t>
      </w:r>
    </w:p>
    <w:p>
      <w:pPr>
        <w:spacing w:after="0" w:line="162"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pacing w:after="0" w:line="176" w:lineRule="exact"/>
        <w:rPr>
          <w:sz w:val="20"/>
          <w:szCs w:val="20"/>
          <w:color w:val="auto"/>
        </w:rPr>
      </w:pPr>
    </w:p>
    <w:p>
      <w:pPr>
        <w:ind w:left="4" w:right="260"/>
        <w:spacing w:after="0" w:line="266" w:lineRule="auto"/>
        <w:rPr>
          <w:sz w:val="20"/>
          <w:szCs w:val="20"/>
          <w:color w:val="auto"/>
        </w:rPr>
      </w:pPr>
      <w:r>
        <w:rPr>
          <w:rFonts w:ascii="Times New Roman" w:cs="Times New Roman" w:eastAsia="Times New Roman" w:hAnsi="Times New Roman"/>
          <w:sz w:val="18"/>
          <w:szCs w:val="18"/>
          <w:color w:val="auto"/>
        </w:rPr>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9" w:lineRule="exact"/>
        <w:rPr>
          <w:sz w:val="20"/>
          <w:szCs w:val="20"/>
          <w:color w:val="auto"/>
        </w:rPr>
      </w:pPr>
    </w:p>
    <w:p>
      <w:pPr>
        <w:ind w:left="4" w:right="100"/>
        <w:spacing w:after="0" w:line="276" w:lineRule="auto"/>
        <w:rPr>
          <w:sz w:val="20"/>
          <w:szCs w:val="20"/>
          <w:color w:val="auto"/>
        </w:rPr>
      </w:pPr>
      <w:r>
        <w:rPr>
          <w:rFonts w:ascii="Times New Roman" w:cs="Times New Roman" w:eastAsia="Times New Roman" w:hAnsi="Times New Roman"/>
          <w:sz w:val="17"/>
          <w:szCs w:val="17"/>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spacing w:after="0" w:line="1" w:lineRule="exact"/>
        <w:rPr>
          <w:sz w:val="20"/>
          <w:szCs w:val="20"/>
          <w:color w:val="auto"/>
        </w:rPr>
      </w:pPr>
    </w:p>
    <w:p>
      <w:pPr>
        <w:ind w:left="4" w:right="20" w:hanging="4"/>
        <w:spacing w:after="0" w:line="250"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maintain relationships with customers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and the risks associated with negative press or reputational harm, including from lithium-ion battery cells catching fire or venting smoke; (15)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fuel and energy prices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207" w:lineRule="exact"/>
        <w:rPr>
          <w:sz w:val="20"/>
          <w:szCs w:val="20"/>
          <w:color w:val="auto"/>
        </w:rPr>
      </w:pPr>
    </w:p>
    <w:p>
      <w:pPr>
        <w:ind w:left="4" w:right="100"/>
        <w:spacing w:after="0" w:line="312" w:lineRule="auto"/>
        <w:rPr>
          <w:sz w:val="20"/>
          <w:szCs w:val="20"/>
          <w:color w:val="auto"/>
        </w:rPr>
      </w:pPr>
      <w:r>
        <w:rPr>
          <w:rFonts w:ascii="Times New Roman" w:cs="Times New Roman" w:eastAsia="Times New Roman" w:hAnsi="Times New Roman"/>
          <w:sz w:val="17"/>
          <w:szCs w:val="17"/>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w:t>
      </w:r>
    </w:p>
    <w:p>
      <w:pPr>
        <w:sectPr>
          <w:pgSz w:w="11900" w:h="16838" w:orient="portrait"/>
          <w:cols w:equalWidth="0" w:num="1">
            <w:col w:w="11024"/>
          </w:cols>
          <w:pgMar w:left="436" w:top="117" w:right="439" w:bottom="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statements, which speak only as of the date they are made. Polestar assumes no obligation to update these forward-looking statements, even if new information becomes available in the future, except as may be required by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sectPr>
      <w:pgSz w:w="11900" w:h="16838" w:orient="portrait"/>
      <w:cols w:equalWidth="0" w:num="1">
        <w:col w:w="10560"/>
      </w:cols>
      <w:pgMar w:left="440" w:top="121"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2024-02-01T06:01:02Z</dcterms:created>
  <dcterms:modified xsi:type="dcterms:W3CDTF">2024-02-01T06:01:02Z</dcterms:modified>
</cp:coreProperties>
</file>