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 2026, Polestar Automotive Holding UK PLC (“Polestar”) entered into securities purchase agreements (collectively, the “Purchase Agreements”) with each of Feathertop Funding Limited, a special purpose vehicle consolidated to Sumitomo Mitsui Banking Corporation, and Standard Chartered Bank (Hong Kong) Limited (each, a “Purchaser” and collectively, the “Purchasers”), pursuant to which Polestar agreed to sell an aggregate of 20,682,522 Class A American Depositary Shares (the “Class A ADS”) to the Purchasers for an aggregate purchase price of USD 400 million through a private investment in public equity (“PIPE”). Neither Purchaser will own more than 10% of the outstanding equity of Polestar following the closing. The price per Class A ADS to be purchased at the closing will be USD 19.34. The Purchasers will not have any restrictions on the sale of the Class A ADSs they receive subject to any applicable securities laws. The transactions are expected to close by February 5, 2026. The form of Purchase Agreement is filed as Exhibit 99.2 to this Report on Form 6-K.</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Concurrent with the entry into the Purchase Agreements, the Purchasers have each entered into a put option arrangement (a “Put Option”) with Geely Sweden Automotive Investment AB (“GSAI”) whose obligations under the Put Options are guaranteed by Geely Sweden Holdings AB (“Geely Sweden”). GSAI is a wholly-owned subsidiary of Geely Sweden. Polestar is not a party to the Put Options. Each Put Option carries a three-year term and is extendable by one-year subject to mutual consent. Each Put Option allows the relevant Purchaser to sell the Class A ADSs acquired from the PIPE to GSAI during an exercise period at the end of the term (the “Exercise Period”) at a pre-determined price to the extent such Purchaser has not disposed of such Class A ADSs before the Exercise Period. Upon the occurrence of certain events (e.g., delisting of Polestar, acceleration of credit facilities of Polestar and certain events of defaults by GSAI or Geely Sweden), a Purchaser may exercise its Put Option before the Exercise Period. In addition, GSAI can choose to early settle the Put Options in certain circumstances.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copy of the press release announcing these events is attached hereto as Exhibit 99.1.</w:t>
      </w:r>
    </w:p>
    <w:p>
      <w:pPr>
        <w:spacing w:after="0" w:line="225"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This Report on Form 6-K, Exhibit 99.1 and Exhibit 99.2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statements in this Report on Form 6-K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Form 6-K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February 2, 2026.</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58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Form of Securities Purchase Agreement, dated as of February 2, 2026.</w:t>
            </w:r>
          </w:p>
        </w:tc>
        <w:tc>
          <w:tcPr>
            <w:tcW w:w="4280" w:type="dxa"/>
            <w:vAlign w:val="bottom"/>
          </w:tcPr>
          <w:p>
            <w:pPr>
              <w:spacing w:after="0"/>
              <w:rPr>
                <w:sz w:val="17"/>
                <w:szCs w:val="17"/>
                <w:color w:val="auto"/>
              </w:rPr>
            </w:pP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8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29413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1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equity financing of USD 400 million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GOTHENBURG, SWEDEN – 2 February 2026.</w:t>
      </w:r>
      <w:r>
        <w:rPr>
          <w:rFonts w:ascii="Times New Roman" w:cs="Times New Roman" w:eastAsia="Times New Roman" w:hAnsi="Times New Roman"/>
          <w:sz w:val="18"/>
          <w:szCs w:val="18"/>
          <w:color w:val="auto"/>
        </w:rPr>
        <w:t> Polestar (Nasdaq: PSNY) today announced a USD 400 million equity investment by Feathertop Funding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a special purpose vehicle consolidated to Sumitomo Mitsui Banking Corporation, and Standard Chartered Bank (Hong Kong) Limited, with USD 200 million each. Concurrent with the purchase, these financial institutions have each entered into a put option arrangement with a wholly-owned subsidiary of Geely Sweden Holdings AB, which provides the financial institutions with an exit path, if needed, in three years with certain returns, as part of this equity financing arrangement. The terms are similar to the equity financing arrangements announced by the Company in December 2025.</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Michael Lohscheller, Polestar CEO</w:t>
      </w:r>
      <w:r>
        <w:rPr>
          <w:rFonts w:ascii="Times New Roman" w:cs="Times New Roman" w:eastAsia="Times New Roman" w:hAnsi="Times New Roman"/>
          <w:sz w:val="18"/>
          <w:szCs w:val="18"/>
          <w:color w:val="auto"/>
        </w:rPr>
        <w:t>, says: “Following the new equity financing and the funding announcements in December, and with the support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Geely Holding, we continue to make progress on enhancing our liquidity position and strengthening our balance sheet. With a record year of retail sales behind us, we are fully focused on creating a stronger Polestar.”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equity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closing of the transaction with Sumitomo Mitsui Banking Corporation and Standard Chartered Bank, neither financial institution will own more than 10% of Polestar’s outstanding equity. The price per Class A ADS to be purchased at the closing will be USD 19.34, which is the same price as in the equity financing in December. The financial institutions will not have any restrictions on the sale of the Class A ADSs they receive, subject to any applicable securities laws. The transactions are expected to close by 5 February 2026 as no regulatory approvals are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is acting as Polestar’s exclusive financial advisor in connection with this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9413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4290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dated as of February 2, 2026, by and between Polestar Automotive Holding UK PLC, a public limited company incorporated under the laws of England and Wales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[BANK] (the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Purchaser are executing and delivering this Agreement in reliance upon the exemption from securities registration afforded by Regulation S (“</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sell to the Purchaser, upon the terms and conditions stated in this Agreement, class A American depositary shares (“</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of the Company in restricted form, each Class A ADS representing 30 class A ordinary share of $0.01 each in the capital of the Company (each, a “</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Purchaser wishes to purchase, and the Company wishes to sell, upon the terms and conditions stated in this Agreement, the Class A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Definitions</w:t>
      </w:r>
      <w:r>
        <w:rPr>
          <w:rFonts w:ascii="Times New Roman" w:cs="Times New Roman" w:eastAsia="Times New Roman" w:hAnsi="Times New Roman"/>
          <w:sz w:val="17"/>
          <w:szCs w:val="17"/>
          <w:color w:val="auto"/>
        </w:rPr>
        <w:t>. In addition to the terms defined elsewhere in this Agreement, for all purposes of this Agreement, the following terms shall have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meanings indicated in this ARTICLE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means any action, suit, inquiry, notice of violation, arbitration, complaint, proceeding (including any partial proceeding such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deposition) or investigation pending or, to the Company’s Knowledge (as defined hereunder), threatened in writing against the Company, any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their respective properties or any officer, director or employee of the Company or any Subsidiary acting in his or her capacity as an officer,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employee before or by any federal, state, county, local or foreign court, arbitrator, governmental or administrative agency, regulatory authority,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stock exchange or trading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any Person (as defined hereunder), any other Person that, directly or indirectly through one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intermediaries, Controls (as defined hereunder), is controlled by or is under common control with such Person, as such terms are used in and construed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Rule 405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ascribed to such term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means the Company’s memorandum of association and the Company’s articles of association, as in effect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(a) a Saturday or Sunday or (b) any other day on which banks located in (i) New York, New York,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of America, (ii) Hong Kong, China, (iii) Singapore, (iv) Stockholm, Sweden, (v) London, England, (vi) Paris, France or (vii) Madrid, Spain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or authorized by law to be closed for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has the meaning ascribed to such term in Section 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ADRs</w:t>
      </w:r>
      <w:r>
        <w:rPr>
          <w:rFonts w:ascii="Times New Roman" w:cs="Times New Roman" w:eastAsia="Times New Roman" w:hAnsi="Times New Roman"/>
          <w:sz w:val="18"/>
          <w:szCs w:val="18"/>
          <w:color w:val="auto"/>
        </w:rPr>
        <w:t>” has the meaning ascribed to such term in Section 2.1(f).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ADSs</w:t>
      </w:r>
      <w:r>
        <w:rPr>
          <w:rFonts w:ascii="Times New Roman" w:cs="Times New Roman" w:eastAsia="Times New Roman" w:hAnsi="Times New Roman"/>
          <w:sz w:val="18"/>
          <w:szCs w:val="18"/>
          <w:color w:val="auto"/>
        </w:rPr>
        <w:t>” has the meaning ascribed to such term in the 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Deposit Agreement</w:t>
      </w:r>
      <w:r>
        <w:rPr>
          <w:rFonts w:ascii="Times New Roman" w:cs="Times New Roman" w:eastAsia="Times New Roman" w:hAnsi="Times New Roman"/>
          <w:sz w:val="18"/>
          <w:szCs w:val="18"/>
          <w:color w:val="auto"/>
        </w:rPr>
        <w:t>” has the meaning ascribed to such term in Section 2.1(f).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Ordinary Share</w:t>
      </w:r>
      <w:r>
        <w:rPr>
          <w:rFonts w:ascii="Times New Roman" w:cs="Times New Roman" w:eastAsia="Times New Roman" w:hAnsi="Times New Roman"/>
          <w:sz w:val="18"/>
          <w:szCs w:val="18"/>
          <w:color w:val="auto"/>
        </w:rPr>
        <w:t>” has the meaning ascribed to such term in the 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has the meaning ascribed to such term in Section 2.1(c).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day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ascribed to such term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Company’s Knowledge</w:t>
      </w:r>
      <w:r>
        <w:rPr>
          <w:rFonts w:ascii="Times New Roman" w:cs="Times New Roman" w:eastAsia="Times New Roman" w:hAnsi="Times New Roman"/>
          <w:sz w:val="18"/>
          <w:szCs w:val="18"/>
          <w:color w:val="auto"/>
        </w:rPr>
        <w:t>” means with respect to any statement made to the knowledge of the Company, that the statement is based upon the actual knowledge, or knowledge that would have been acquired after reasonable inquiry, of the Chief Executive Officer, Chief Financial Officer, Chief Operating Officer, Chief Technology Officer, or Chief Legal Officer/General Counsel of the Company.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Trading Price</w:t>
      </w:r>
      <w:r>
        <w:rPr>
          <w:rFonts w:ascii="Times New Roman" w:cs="Times New Roman" w:eastAsia="Times New Roman" w:hAnsi="Times New Roman"/>
          <w:sz w:val="18"/>
          <w:szCs w:val="18"/>
          <w:color w:val="auto"/>
        </w:rPr>
        <w:t>” has the meaning ascribed to such term in Section 2.1(a).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to direct or cause the direction of the management and policies of a Person, whether through the ownership of voting securities, by contract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has the meaning ascribed to such term in Section 3.1(bb).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has the meaning ascribed to such term in Section 2.1(f).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Custodian</w:t>
      </w:r>
      <w:r>
        <w:rPr>
          <w:rFonts w:ascii="Times New Roman" w:cs="Times New Roman" w:eastAsia="Times New Roman" w:hAnsi="Times New Roman"/>
          <w:sz w:val="18"/>
          <w:szCs w:val="18"/>
          <w:color w:val="auto"/>
        </w:rPr>
        <w:t>” has the meaning ascribed to such term in Section 2.1(f).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has the meaning ascribed to such term in Section 2.1(e).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Time</w:t>
      </w:r>
      <w:r>
        <w:rPr>
          <w:rFonts w:ascii="Times New Roman" w:cs="Times New Roman" w:eastAsia="Times New Roman" w:hAnsi="Times New Roman"/>
          <w:sz w:val="18"/>
          <w:szCs w:val="18"/>
          <w:color w:val="auto"/>
        </w:rPr>
        <w:t>” means, (i) if this Agreement is signed on a day that is not a Business Day or after 9:00 a.m. (New York City time) and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midnight (New York City time) on any Business Day, 9:01 a.m. (New York City time) on the Business Day immediately following the date hereof and (ii)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signed between midnight (New York City time) and 9:00 a.m. (New York City time) on any Business Day, no later than 9:01 a.m.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City time) on the date hereof (although any Disclosure Document that is a Report on Form 6-K filed pursuant to this clause (ii) may be filed by 5:30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(New York City time) on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has the meaning ascribed to such term in Section 3.1(q).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has the meaning ascribed to such term in Section 3.1(g).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has the meaning ascribed to such term in Section 3.1(n).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has the meaning ascribed to such term in Section 3.1(g).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has the meaning ascribed to such term in Section 3.1(bb).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has the meaning ascribed to such term in Section 3.1(bb).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means any material adverse effect on (i) the results of operations, assets, business, condition (financial or otherwise)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prospects of the Company and its Subsidiaries, taken as a whole, or (ii) the Company’s ability to perform on a timely basis any of its obligations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 to be performed as of the date of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has the meaning ascribed to such term in Section 3.1(a).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has the meaning ascribed to such term in Section 3.1(q).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has the meaning ascribed to such term in Section 3.1(r).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has the meaning ascribed to such term in Section 3.1(w).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has the meaning ascribed to such term in Section 3.1(ff).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Trading Market (as defined hereunder) on which the Class A ADSs are primarily listed on and quoted for trading, which, as of the date of the Closing Date, shall be the Nasdaq Stock Market LLC.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has the meaning ascribed to such term in Section 3.1(ff).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has the meaning ascribed to such term in Section 3.1(bb).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Purchased ADSs</w:t>
      </w:r>
      <w:r>
        <w:rPr>
          <w:rFonts w:ascii="Times New Roman" w:cs="Times New Roman" w:eastAsia="Times New Roman" w:hAnsi="Times New Roman"/>
          <w:sz w:val="18"/>
          <w:szCs w:val="18"/>
          <w:color w:val="auto"/>
        </w:rPr>
        <w:t>” means 10,341,261 Class A ADSs in restricted form, which is equal to the quotient of (i) the Subscription Amount divided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Company Trading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ascribed to such term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Commission</w:t>
      </w:r>
      <w:r>
        <w:rPr>
          <w:rFonts w:ascii="Times New Roman" w:cs="Times New Roman" w:eastAsia="Times New Roman" w:hAnsi="Times New Roman"/>
          <w:sz w:val="18"/>
          <w:szCs w:val="18"/>
          <w:color w:val="auto"/>
        </w:rPr>
        <w:t>” has the meaning ascribed to such term in Section 2.1(b).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has the meaning ascribed to such term in Section 7.13.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has the meaning ascribed to such term in the 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Taxing Jurisdiction</w:t>
      </w:r>
      <w:r>
        <w:rPr>
          <w:rFonts w:ascii="Times New Roman" w:cs="Times New Roman" w:eastAsia="Times New Roman" w:hAnsi="Times New Roman"/>
          <w:sz w:val="18"/>
          <w:szCs w:val="18"/>
          <w:color w:val="auto"/>
        </w:rPr>
        <w:t>” has the meaning ascribed to such term in Section 3.1(o).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has the meaning ascribed to such term in Section 3.2(a).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has the meaning ascribed to such term in Section 3.1(r).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Territory</w:t>
      </w:r>
      <w:r>
        <w:rPr>
          <w:rFonts w:ascii="Times New Roman" w:cs="Times New Roman" w:eastAsia="Times New Roman" w:hAnsi="Times New Roman"/>
          <w:sz w:val="18"/>
          <w:szCs w:val="18"/>
          <w:color w:val="auto"/>
        </w:rPr>
        <w:t>” has the meaning ascribed to such term in Section 3.1(r).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has the meaning ascribed to such term in Section 3.1(r).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has the meaning ascribed to such term in Section 3.1(g).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has the meaning ascribed to such term in the 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Amount</w:t>
      </w:r>
      <w:r>
        <w:rPr>
          <w:rFonts w:ascii="Times New Roman" w:cs="Times New Roman" w:eastAsia="Times New Roman" w:hAnsi="Times New Roman"/>
          <w:sz w:val="18"/>
          <w:szCs w:val="18"/>
          <w:color w:val="auto"/>
        </w:rPr>
        <w:t>” means USD 199,999,987.74.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entity in which the Company, directly or indirectly, owns more than 50% of such entity’s share capital or holds a sufficient equity or similar interest such that it is consolidated with the Company in the financial statements of the Company.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on which the Class A ADSs are listed or quoted and traded on its Principal Trading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or the Nasdaq Capital Market on which the Purchased ADSs are listed or quoted for trading on the date in question.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including the schedules and exhibits attached hereto, and any other documents or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in connection with the transactions contemplated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of Securities</w:t>
      </w:r>
      <w:r>
        <w:rPr>
          <w:rFonts w:ascii="Times New Roman" w:cs="Times New Roman" w:eastAsia="Times New Roman" w:hAnsi="Times New Roman"/>
          <w:sz w:val="18"/>
          <w:szCs w:val="18"/>
          <w:color w:val="auto"/>
        </w:rPr>
        <w:t>. Subject to the terms and conditions set forth in this Agreement, the Company shall sell and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to issue to the Purchaser, and the Purchaser shall purchase from the Company, the Purchased ADSs at a per Class A ADS price equal to USD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19.34 (the “</w:t>
      </w:r>
      <w:r>
        <w:rPr>
          <w:rFonts w:ascii="Times New Roman" w:cs="Times New Roman" w:eastAsia="Times New Roman" w:hAnsi="Times New Roman"/>
          <w:sz w:val="18"/>
          <w:szCs w:val="18"/>
          <w:i w:val="1"/>
          <w:iCs w:val="1"/>
          <w:color w:val="auto"/>
        </w:rPr>
        <w:t>Company Trading Price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Purchaser Commission</w:t>
      </w:r>
      <w:r>
        <w:rPr>
          <w:rFonts w:ascii="Times New Roman" w:cs="Times New Roman" w:eastAsia="Times New Roman" w:hAnsi="Times New Roman"/>
          <w:sz w:val="18"/>
          <w:szCs w:val="18"/>
          <w:color w:val="auto"/>
        </w:rPr>
        <w:t>. The Company shall pay the Purchaser a commission in consideration of the Purchaser’s subscription for the Purchased ADSs, payable pursuant to and in accordance with Section 553 of the UK Companies Act 2006, in an amount equal to 0.9% of the Subscription Amount, such commission to be paid at Closing or as the parties may otherwise agree (the “</w:t>
      </w:r>
      <w:r>
        <w:rPr>
          <w:rFonts w:ascii="Times New Roman" w:cs="Times New Roman" w:eastAsia="Times New Roman" w:hAnsi="Times New Roman"/>
          <w:sz w:val="18"/>
          <w:szCs w:val="18"/>
          <w:i w:val="1"/>
          <w:iCs w:val="1"/>
          <w:color w:val="auto"/>
        </w:rPr>
        <w:t>Purchaser Commission</w:t>
      </w:r>
      <w:r>
        <w:rPr>
          <w:rFonts w:ascii="Times New Roman" w:cs="Times New Roman" w:eastAsia="Times New Roman" w:hAnsi="Times New Roman"/>
          <w:sz w:val="18"/>
          <w:szCs w:val="18"/>
          <w:color w:val="auto"/>
        </w:rPr>
        <w:t>”). The Purchaser may withhold such amount out of the Subscription Amount for the Purchased ADS.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as used herein shall refer to the actual issuance and purchase of the Purchase ADSs in exchange for the payment of the Subscription Amount as contemplated by Section 2.1(a). The Closing shall take place three Business Days following the date hereof or another date as mutually agreed to by the parties. The Closing shall take place remotely via the exchange of executed documents and funds.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At the Closing, the Purchaser shall deliver the Subscription Amount in immediately available funds by wire transfer to a bank account designated by the Company against delivery of the Purchased ADSs.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Delivery of Purchased ADSs</w:t>
      </w:r>
      <w:r>
        <w:rPr>
          <w:rFonts w:ascii="Times New Roman" w:cs="Times New Roman" w:eastAsia="Times New Roman" w:hAnsi="Times New Roman"/>
          <w:sz w:val="18"/>
          <w:szCs w:val="18"/>
          <w:color w:val="auto"/>
        </w:rPr>
        <w:t>. At the Closing, the Company shall deliver or cause to be delivered to the Purchaser the Purchased ADSs, registered in the name of the Purchaser (or its nominee in accordance with the Purchaser’s delivery instructions) and free and clear of all liens or encumbrances (except for restrictions arising under the Securities Act). The Company shall cause the Depositary to deliver the Purchased ADSs via a book-entry record on the books of the Depositary, and the Company shall cause the Depositary to deliver to the Purchaser, at or as soon as practicable following the Closing, a copy of the records of the Depositary showing the Purchaser (or its nominee in accordance with the Purchaser’s delivery instructions) as the registered holder of the number of Purchased ADSs (the “</w:t>
      </w:r>
      <w:r>
        <w:rPr>
          <w:rFonts w:ascii="Times New Roman" w:cs="Times New Roman" w:eastAsia="Times New Roman" w:hAnsi="Times New Roman"/>
          <w:sz w:val="18"/>
          <w:szCs w:val="18"/>
          <w:i w:val="1"/>
          <w:iCs w:val="1"/>
          <w:color w:val="auto"/>
        </w:rPr>
        <w:t>Depositary Statement</w:t>
      </w:r>
      <w:r>
        <w:rPr>
          <w:rFonts w:ascii="Times New Roman" w:cs="Times New Roman" w:eastAsia="Times New Roman" w:hAnsi="Times New Roman"/>
          <w:sz w:val="18"/>
          <w:szCs w:val="18"/>
          <w:color w:val="auto"/>
        </w:rPr>
        <w:t>”) as of the Closing Date.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Depositary</w:t>
      </w:r>
      <w:r>
        <w:rPr>
          <w:rFonts w:ascii="Times New Roman" w:cs="Times New Roman" w:eastAsia="Times New Roman" w:hAnsi="Times New Roman"/>
          <w:sz w:val="17"/>
          <w:szCs w:val="17"/>
          <w:color w:val="auto"/>
        </w:rPr>
        <w:t>. The Class A ADSs may be evidenced by American Depositary Receipts (the “</w:t>
      </w:r>
      <w:r>
        <w:rPr>
          <w:rFonts w:ascii="Times New Roman" w:cs="Times New Roman" w:eastAsia="Times New Roman" w:hAnsi="Times New Roman"/>
          <w:sz w:val="17"/>
          <w:szCs w:val="17"/>
          <w:i w:val="1"/>
          <w:iCs w:val="1"/>
          <w:color w:val="auto"/>
        </w:rPr>
        <w:t>Class A ADRs</w:t>
      </w:r>
      <w:r>
        <w:rPr>
          <w:rFonts w:ascii="Times New Roman" w:cs="Times New Roman" w:eastAsia="Times New Roman" w:hAnsi="Times New Roman"/>
          <w:sz w:val="17"/>
          <w:szCs w:val="17"/>
          <w:color w:val="auto"/>
        </w:rPr>
        <w:t>”) to be issued pursuant to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agreement dated as of June 23, 2022, as amended by Amendment No. 1 dated December 9, 2025, by and among the Company, Citibank, N.A.,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(the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and the holders and beneficial owners from time to time of Class A ADSs issued thereunder, as may be amended from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 and as supplemented by that certain Class A Restricted ADS Letter Agreement, dated as of June 23, 2022, as amended by Amendment No. 1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9, 2025, by and between the Company and the Depositary (as may be further amended and supplemented, the “</w:t>
      </w:r>
      <w:r>
        <w:rPr>
          <w:rFonts w:ascii="Times New Roman" w:cs="Times New Roman" w:eastAsia="Times New Roman" w:hAnsi="Times New Roman"/>
          <w:sz w:val="17"/>
          <w:szCs w:val="17"/>
          <w:i w:val="1"/>
          <w:iCs w:val="1"/>
          <w:color w:val="auto"/>
        </w:rPr>
        <w:t>Class A Deposit Agreement</w:t>
      </w:r>
      <w:r>
        <w:rPr>
          <w:rFonts w:ascii="Times New Roman" w:cs="Times New Roman" w:eastAsia="Times New Roman" w:hAnsi="Times New Roman"/>
          <w:sz w:val="17"/>
          <w:szCs w:val="17"/>
          <w:color w:val="auto"/>
        </w:rPr>
        <w: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following the subscription by the Purchaser of the Purchased ADSs, allot and issue (as a deposit in accordance with the Class A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Class A Ordinary Shares to be represented by such Purchased ADSs with Citibank, N.A. (London), as custodian (the “</w:t>
      </w:r>
      <w:r>
        <w:rPr>
          <w:rFonts w:ascii="Times New Roman" w:cs="Times New Roman" w:eastAsia="Times New Roman" w:hAnsi="Times New Roman"/>
          <w:sz w:val="18"/>
          <w:szCs w:val="18"/>
          <w:i w:val="1"/>
          <w:iCs w:val="1"/>
          <w:color w:val="auto"/>
        </w:rPr>
        <w:t>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for the Depositary, which shall issue and deliver such Class A ADSs to the order of the Company. At the Closing, the Company shall order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to issue and deliver the Class A ADSs to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Securities Law Legend</w:t>
      </w:r>
      <w:r>
        <w:rPr>
          <w:rFonts w:ascii="Times New Roman" w:cs="Times New Roman" w:eastAsia="Times New Roman" w:hAnsi="Times New Roman"/>
          <w:sz w:val="18"/>
          <w:szCs w:val="18"/>
          <w:color w:val="auto"/>
        </w:rPr>
        <w:t>. The Purchased ADSs shall be subject to the Securities Act legend set forth in Section 4.1(b) (which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included in the Depositary Statement to be delivered to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Closing Deliverables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Closing Deliverables</w:t>
      </w:r>
      <w:r>
        <w:rPr>
          <w:rFonts w:ascii="Times New Roman" w:cs="Times New Roman" w:eastAsia="Times New Roman" w:hAnsi="Times New Roman"/>
          <w:sz w:val="18"/>
          <w:szCs w:val="18"/>
          <w:color w:val="auto"/>
        </w:rPr>
        <w:t>. At the Closing, the Company shall issue, deliver or cause to be delivered to the Purchaser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duly executed instructions to the Depositary instructing the Depositary to issue and deliver the Purchased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a certificate of an officer of the Company, in form and substance reasonably satisfactory to the Purchaser, (A) certifying the resolutions adopted by the Board of Directors or a duly authorized committee thereof approving the transactions contemplated by this Agreement and the other Transaction Documents and the issuance of the Purchased ADSs and the Class A Ordinary Shares represented by them, (B) certifying the current version of the Articles of Association, and (C) certifying as to the signatures and authority of persons signing the Transaction Documents and related documents on behalf of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a certificate of good standing of the Company issued by the Registrar of Companies under the laws of England and Wales, as of a date within five Business Days of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(iv)            a legal opinion from Alston &amp; Bird LLP to the Purchasers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(v)            a legal opinion from Alston &amp; Bird (City) LLP to the Purchasers in the form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Purchaser Deliverables</w:t>
      </w:r>
      <w:r>
        <w:rPr>
          <w:rFonts w:ascii="Times New Roman" w:cs="Times New Roman" w:eastAsia="Times New Roman" w:hAnsi="Times New Roman"/>
          <w:sz w:val="18"/>
          <w:szCs w:val="18"/>
          <w:color w:val="auto"/>
        </w:rPr>
        <w:t>. At the Closing, the Purchaser shall deliver or cause to be delivered to the Company the Subscription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in U.S. dollars and in immediately available funds, by wire transfer in accordance with the Company’s written wire instructions attached hereto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3.1          </w:t>
      </w:r>
      <w:r>
        <w:rPr>
          <w:rFonts w:ascii="Times New Roman" w:cs="Times New Roman" w:eastAsia="Times New Roman" w:hAnsi="Times New Roman"/>
          <w:sz w:val="17"/>
          <w:szCs w:val="17"/>
          <w:u w:val="single" w:color="auto"/>
          <w:color w:val="auto"/>
        </w:rPr>
        <w:t>  Representations and Warranties of the Company</w:t>
      </w:r>
      <w:r>
        <w:rPr>
          <w:rFonts w:ascii="Times New Roman" w:cs="Times New Roman" w:eastAsia="Times New Roman" w:hAnsi="Times New Roman"/>
          <w:sz w:val="17"/>
          <w:szCs w:val="17"/>
          <w:color w:val="auto"/>
        </w:rPr>
        <w:t>. Except as described in the SEC Documents, the Company hereby represents and warrants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 and as of the Closing, to the Purchaser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its significant Subsidiaries listed in the Company’s Annual Report on Form 20-F for the year ended December 31, 2024 (“</w:t>
      </w:r>
      <w:r>
        <w:rPr>
          <w:rFonts w:ascii="Times New Roman" w:cs="Times New Roman" w:eastAsia="Times New Roman" w:hAnsi="Times New Roman"/>
          <w:sz w:val="18"/>
          <w:szCs w:val="18"/>
          <w:i w:val="1"/>
          <w:iCs w:val="1"/>
          <w:color w:val="auto"/>
        </w:rPr>
        <w:t>Material Subsidiaries</w:t>
      </w:r>
      <w:r>
        <w:rPr>
          <w:rFonts w:ascii="Times New Roman" w:cs="Times New Roman" w:eastAsia="Times New Roman" w:hAnsi="Times New Roman"/>
          <w:sz w:val="18"/>
          <w:szCs w:val="18"/>
          <w:color w:val="auto"/>
        </w:rPr>
        <w:t>”) is an entity duly incorporated or otherwise organized, validly existing and in good standing under the laws of the jurisdiction of its incorporation or organization, with the requisite corporate power and authority to own or lease its properties and assets and to carry on its business as currently conducted as described in the SEC Documents. Neither the Company nor any of its Material Subsidiaries is in violation or default of any of the provisions of its respective certificate or articles of incorporation, bylaws or other organizational or charter documents. Each of the Company and its Material Subsidiaries is duly qualified to conduct business and is in good standing as a foreign corporation or other entity in each jurisdiction in which the nature of the business conducted or property owned or leased by it makes such qualification necessary, except where the failure to be so qualified or in good standing, as the case may be, could not reasonably be expected to, individually or in the aggregate, have a Material Adverse Effect, and no Action has been instituted in any such jurisdiction revoking, limiting or curtailing, or seeking to revoke, limit or curtail such power and authority or qualification. The outstanding shares of capital stock of each of the Material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  </w:t>
      </w:r>
    </w:p>
    <w:p>
      <w:pPr>
        <w:spacing w:after="0" w:line="21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Authorization; Enforcement; Validity</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each of the other Transaction Documents, and to instruct the Depositary to issue and deliver the Purchased ADSs in accordance with the terms hereof and thereof, (ii) the execution and delivery of this Agreement and each of the other Transaction Documents by the Company and the consummation by it of the transactions contemplated hereby and thereby, including without limitation, causing the issuance of the Purchased ADSs pursuant to this Agreement, have been duly authorized by the Board of Directors and no further consent or authorization is required by the Company, the Board of Directors or its shareholders, (iii) this Agreement and each of the other Transaction Documents has been duly executed and delivered by the Company, (iv) no consent, approval, authorization or other order of any court, regulatory body, administrative agency or other governmental agency or body is required on the part of the Company for the execution and delivery of this Agreement or the consummation of the transactions contemplated by this Agreement, and (v) this Agreement constitutes, and each other Transaction Document upon its execution on behalf of the Company and each other party thereto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has approved and authorized this Agreement, the other Transaction Documents and the transactions contemplated hereby and thereby. Such resolutions are valid, in full force and effect and have not been modified or supplemented in any respect. Except as set forth in this Agreement, no other approvals or consents of the Board of Directors, any authorized committee thereof, and/or shareholders is necessary under applicable laws, regulations, listing rules and the Articles of Association, to authorize the execution and delivery of this Agreement or any of the transactions contemplated hereby, including, but not limited to, the issuance of the Purchased ADSs and the Class A Ordinary Shares represented by them.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Capitalization</w:t>
      </w:r>
      <w:r>
        <w:rPr>
          <w:rFonts w:ascii="Times New Roman" w:cs="Times New Roman" w:eastAsia="Times New Roman" w:hAnsi="Times New Roman"/>
          <w:sz w:val="17"/>
          <w:szCs w:val="17"/>
          <w:color w:val="auto"/>
        </w:rPr>
        <w:t>. As of December 31, 2025, the issued and outstanding American depositary shares and warrants of the Company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on Schedule 3.1(c). All of the issued and outstanding Class A Ordinary Shares and all outstanding Class A ADSs have been duly authorized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validly issued, are fully paid and are non-assessable. None of the issued and outstanding shares of the Company were issued in violation of any preemptive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no Person has any right of first refusal, preemptive right, right of participation, or any similar right to participate in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the Transaction Documents. As of the date hereof, except as set forth in Schedule 3.1(c) or as described in the SEC Documents, (i)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Company’s share capital are subject to preemptive rights or any other similar rights or any liens or encumbrances suffered or permitted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(ii) there are no outstanding debt securities, (iii) except for outstanding securities of the Company under the equity incentive plans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instruments of the Company disclosed in the SEC Documents, there are no outstanding options, warrants, scrip, rights to subscribe to, calls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of any character whatsoever relating to, or securities or rights convertible into, any share capital of the Company or any of its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commitments, understandings or arrangements by which the Company or any of its Subsidiaries is or may become bound to issue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capital of the Company or any of its Subsidiaries or options, warrants, scrip, rights to subscribe to, calls or commitments of any character whatsoever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or securities or rights convertible into, any share capital of the Company or any of its Subsidiaries, (iv) there are no agreements or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which the Company or any of its Subsidiaries is obligated to register the sale of any of their securities under the Securities Act, (v)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securities or instruments of the Company or any of its Subsidiaries which contain any redemption or similar provisions, and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commitments, understandings or arrangements by which the Company or any of its Subsidiaries is or may become bound to redeem a security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of its Subsidiaries, (vi) there are no securities or instruments containing anti-dilution or similar provisions that will be triggered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the Purchased ADSs as described in this Agreement and (vii) the Company does not have any share appreciation rights or “phantom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or agreements or any similar plan 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Sale and Delivery of the Purchased ADSs</w:t>
      </w:r>
      <w:r>
        <w:rPr>
          <w:rFonts w:ascii="Times New Roman" w:cs="Times New Roman" w:eastAsia="Times New Roman" w:hAnsi="Times New Roman"/>
          <w:sz w:val="18"/>
          <w:szCs w:val="18"/>
          <w:color w:val="auto"/>
        </w:rPr>
        <w:t>. The Class A Deposit Agreement has been duly authorized, executed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by the Company and, assuming due authorization, execution and delivery by the Depositary, constitutes a valid and legally binding obligation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enforceable in accordance with its terms, except as the enforceability thereof may be limited by bankruptcy, insolvency,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laws relating to or affecting creditors’ rights generally or by general equitable principles. Upon due issuance by the Depositary of the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(and any corresponding Class A ADRs evidencing such Purchased ADSs) against the deposit of the Class A Ordinary Shares in respect thereof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provisions of the Class A Deposit Agreement, such Class A ADSs will be duly and validly issued and the persons in whose names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ADSs are registered will be entitled to the rights specified therein and in the Class A Deposit Agreement. The issuance and sale of the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(and any corresponding Class A ADRs evidencing such Purchased ADSs) by the Company and the deposit of the corresponding Class A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with the Depositary as contemplated by this Agreement and the Class A Deposit Agreement will neither (i) cause any holder of any Class A Ordinary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or Class A ADSs, securities convertible into or exchangeable or exercisable for Class A Ordinary Shares or Class A ADSs or options, warrants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rights to purchase Class A Ordinary Shares or Class A ADSs or any other securities of the Company to have any right to acquire any shares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nor (ii) trigger any anti-dilution rights of any such holder with respect to such Class A Ordinary Shares, Class A ADSs, securities,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or rights. The Class A Deposit Agreement and the Class A ADSs conform in all material respects to each description thereof in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SEC Documents. Each holder of Class A ADSs issued pursuant to the Class A Deposit Agreement shall be entitled, subject to the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Agreement, to seek enforcement of its rights through the Depositary or its nominee registered as a representative of the holders of the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 a direct Action against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proceeds of the sale of the Purchased ADSs will be used by the Company for the repayment of a portion of the Company’s debt and/or the Company’s and its Subsidiaries’ general corporate purposes, including working capital.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No Conflicts</w:t>
      </w:r>
      <w:r>
        <w:rPr>
          <w:rFonts w:ascii="Times New Roman" w:cs="Times New Roman" w:eastAsia="Times New Roman" w:hAnsi="Times New Roman"/>
          <w:sz w:val="17"/>
          <w:szCs w:val="17"/>
          <w:color w:val="auto"/>
        </w:rPr>
        <w:t>. The execution, delivery and performance of the Transaction Documents by the Company and the consummation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 the transactions contemplated hereby and thereby will not (i) result in a violation of the Articles of Association, (ii) conflict with,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default (or an event which with notice or lapse of time or both would become a default) under, or give to others any rights of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acceleration or cancellation of, any agreement, indenture or instrument and to which the Company or any of its Subsidiaries is a party, or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violation of any law, rule, regulation, order, judgment or decree (including federal and state securities laws and regulations and the rules and regulations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Principal Trading Market applicable to the Company or any of its Subsidiaries) or by which any property or asset of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is bound or affected, or (iii) result in any violation of any law, administrative regulation or administrative or court decree applicable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except in the case of clause (ii) or clause (iii), which could not reasonably be expected,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have a Material Adverse Effect on the Company and its Subsidiaries. The Company is not in violation of any material term of its Articles of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any of its Subsidiaries is in violation of any term of or is in default under any contract, agreement, mortgage,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instrument, judgment, decree or order or any statute, rule or regulation applicable to the Company or its Subsidiaries, except for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conflicts, defaults, terminations or amendments that have been waived by the counterparty or could not, individually or in the aggregate,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 on the Company and its Subsidiaries. The business of the Company and its Subsidiaries is not being conducted,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not be conducted, in violation of any law, ordinance or regulation of any governmental entity, except for possible violations, the sanctions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either individually or in the aggregate, could not reasonably be expected to have a Material Adverse Effect on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contemplated by this Agreement and as required under the Securities Act or applicable state securities laws and the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of the Principal Trading Market, the Company is not required to obtain any consent, authorization or order of, or make any filing or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any court or governmental agency or any regulatory or self-regulatory agency in order for it to execute, deliver or perform any of its obligations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contemplated by the Transaction Documents in accordance with the terms hereof or thereof. Other than filings required to be made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the legality, validity, enforceability or admissibility into evidence of any of the Transaction Documents, this Agreement or the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 any jurisdiction in which the Company is organized or does business is not dependent upon such document being submitted into, filed or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any court or other authority in any such jurisdiction on or before the date hereof. All consents, authorizations, orders, filings and registrations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required to obtain pursuant to the preceding sentence shall be obtained or effected on or prior to the Closing Date. The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in compliance with the applicable continued listing requirements of the Principal Trading Market and the Company has not received or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notices related to non-compliance with the rules of the Principal Trading Market that it has not remedied. The Principal Trading Market has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commenced any delisting proceedings against the Company and, to the Company’s Knowledge, there is no reasonable basis for the delisting of the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from the Principal Trading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SEC Documents; Financial Statements</w:t>
      </w:r>
      <w:r>
        <w:rPr>
          <w:rFonts w:ascii="Times New Roman" w:cs="Times New Roman" w:eastAsia="Times New Roman" w:hAnsi="Times New Roman"/>
          <w:sz w:val="18"/>
          <w:szCs w:val="18"/>
          <w:color w:val="auto"/>
        </w:rPr>
        <w:t>. The Company has furnished or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but not including any financial statements included therein, other than any year-end financial statements included in the Company’s Annual Report on Form 20-F, being collectively referred to herein as the “</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the rules and regulations of the Commission thereunder.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as amended,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Accounting Standards as issued by the International Accounting Standards Board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consistently applied throughout the periods involved, except as disclosed therein, and all adjustments necessary for a fair presentation of results for such periods have been made. Such financial statements fairly present in all material respects the financial position of the Company and its consolidated Subsidiaries as of and for the dates thereof and the results of operations and cash flows for the periods then ended. The Company has no material outstanding or unresolved comments in comment letters from the Commission. To the Company’s Knowledge, the Commission has not commenced any enforcement proceedings against the Company or any of its Subsidiaries. The Company meets the requirements for use of Form F-3 under the Securities Act. The Commission has not issued any stop order or other order suspending the effectiveness of any registration statement filed by the Company under the Securities Act or the Exchange Act.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 Statements to be in compliance with IFRS and the rules and regulations of the Commission. The Company has not been informed by its independent accountants that they recommend that the Company amend or restate any of the Financial Statements or that there is any need for the Company to amend or restate any of the Financial Statements.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The Company has not taken any steps, and does not currently expect to take any steps, to seek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protection pursuant to any bankruptcy law nor does the Company have any Knowledge or reason to believe that its creditors intend to initiate involuntary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or insolvency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Absence of Change of Control</w:t>
      </w:r>
      <w:r>
        <w:rPr>
          <w:rFonts w:ascii="Times New Roman" w:cs="Times New Roman" w:eastAsia="Times New Roman" w:hAnsi="Times New Roman"/>
          <w:sz w:val="18"/>
          <w:szCs w:val="18"/>
          <w:color w:val="auto"/>
        </w:rPr>
        <w:t>. The execution, delivery and performance by the Company of this Agreement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it is a party, and the issuance of the Purchased ADSs on the Closing Date, do not and will not result in any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change of control or similar event, the requirement to make any payment or adjustment or issue any Class A ADSs or other securities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fundamental transaction, change of control or similar event, or an event that with the passage of time could result in a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change of control or similar event under any agreement (including, without limitation, any employment agreement), outstanding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any option or warrant to purchase Class A ADSs), other instrument or under any applicable law and regulations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of the Principal Trading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  Absence of Litigation</w:t>
      </w:r>
      <w:r>
        <w:rPr>
          <w:rFonts w:ascii="Times New Roman" w:cs="Times New Roman" w:eastAsia="Times New Roman" w:hAnsi="Times New Roman"/>
          <w:sz w:val="17"/>
          <w:szCs w:val="17"/>
          <w:color w:val="auto"/>
        </w:rPr>
        <w:t>. There is no Action before or by any court, public board, government agency, self-regulatory organization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body pending or, to the Company’s Knowledge, threatened against or affecting the Company, its Subsidiaries, the Class A ADSs or any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Subsidiaries’ officers or directors in their capacities as such, which could reasonably be expected, individually or in the aggregate, to have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on the Company and its Subsidiaries. Neither the Company nor any Subsidiary, nor to the Company’s Knowledge, any director or officer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or has been the subject of any Action involving a claim of violation of or liability under federal or state securities laws or a claim of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fiduciary duty. There has not been, and to the Company’s Knowledge, there is not pending or contemplated, any investigation by the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the Company or any current director or officer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Intellectual Property Rights</w:t>
      </w:r>
      <w:r>
        <w:rPr>
          <w:rFonts w:ascii="Times New Roman" w:cs="Times New Roman" w:eastAsia="Times New Roman" w:hAnsi="Times New Roman"/>
          <w:sz w:val="18"/>
          <w:szCs w:val="18"/>
          <w:color w:val="auto"/>
        </w:rPr>
        <w:t>. Except as would not reasonably be expected to result in a Material Adverse Effect: (i)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Subsidiaries own or possess the right to use all patents, inventions, trademarks, trade names, service marks, logos, trade dress, designs,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database rights, Internet domain names, rights of privacy, rights of publicity, copyrights, works of authorship, software, trade secrets, know-how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information (including unpatented and unpatentable proprietary or confidential information, inventions, systems or procedures)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property and intellectual property rights, as well as related rights, such as moral rights, and registrations and applications for registration of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(collectively,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necessary to conduct their business as presently conducted and currently contemplated to be conducted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future; (ii) to the Company’s Knowledge, neither the Company nor any of the Subsidiaries, whether through their respective products and services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conduct  of  their  respective  businesses,  has  infringed,  misappropriated,  conflicted  with  or  otherwise  violated,  or  is  currently  infringing,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misappropriating, conflicting with or otherwise violating, and none of the Company or the Subsidiaries have received any communication or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infringement of, misappropriation of, conflict with or violation of, any Intellectual Property of any other person or entity; (iii) none of the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employed by the Company in the conduct of the business in the manner described in the Transaction Documents and SEC Documents has been obtained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being used by the Company or the Subsidiaries in violation of any contractual obligation binding on the Company; and (iv) neither the Company nor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Subsidiaries has received any communication or notice alleging that by conducting their business as set forth in the Transaction Documents or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such parties would infringe, misappropriate, conflict with, or violate, any of the Intellectual Property of any other person or entity.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not reasonably be considered material, the Company knows of no infringement, misappropriation or violation by others of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or exclusively licensed to the Company or the Subsidiaries. The Company and the Subsidiaries have taken all reasonable steps necessary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 their interests in all Intellectual Property that was conceived, developed or otherwise created on their behalf by their employees and contractors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protect the confidentiality of all of their confidential information and trade secrets. To the Company’s Knowledge, no employee of the Company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is in or has been in material violation of any term of any employment contract, patent disclosure agreement, invention assignment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non-competition agreement, non-solicitation agreement, nondisclosure agreement or any restrictive covenant with a former employer where the basis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violation relates to such employee’s employment with the Company. To the Company’s Knowledge, no third party has any ownership right in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Intellectual Property that is purported to be owned by, or that is recorded in public records such as those of the United States Patent and Trademark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as being owned by or assigned to, the Company or any of the Subsidiaries. The Company has taken reasonable measures to protect, maintain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safeguard its confidential information and trade secrets, including its proprietary software. There is no pending or, to the Company’s Knowledge,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threatened Action by others, including interferences, oppositions, reexaminations, or other government proceedings, challenging the validity, enforceability,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scope, registration, ownership, inventorship or use of any Intellectual Property owned by the Company, and, to the Company’s Knowledge, there is no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pending or threatened challenging the Company’s rights in any Intellectual Property. All material licenses and material agreements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a party relating to Intellectual Property are in full force and effect, and the Company is in material compliance with the terms of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There is no pending or, to the Company’s Knowledge, threatened Action, challenging the validity of any patents that are owned 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exclusively licensed to the Company or any of the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Title</w:t>
      </w:r>
      <w:r>
        <w:rPr>
          <w:rFonts w:ascii="Times New Roman" w:cs="Times New Roman" w:eastAsia="Times New Roman" w:hAnsi="Times New Roman"/>
          <w:sz w:val="18"/>
          <w:szCs w:val="18"/>
          <w:color w:val="auto"/>
        </w:rPr>
        <w:t>.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in each case except as described in the SEC Documents;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 in each case except as described in the SEC Documents.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and risks and in such amounts as management of the Company believes to be prudent and customary in the businesses in which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are engaged. Neither the Company nor any such Subsidiary has been refused any insurance coverage sought or applied for and neither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nor any such Subsidiary has any reason to believe that it will not be able to renew its existing insurance coverage as and when such coverage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expires or to obtain similar coverage from similar insurers as may be necessary to continue its business at a cost that would not be reasonably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individually or in the aggregate,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Except as would not, individually or in the aggregate, have a Material Adverse Effect,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 hold all licenses, registrations, certificates and permits from governmental authorities (collectively, “</w:t>
      </w:r>
      <w:r>
        <w:rPr>
          <w:rFonts w:ascii="Times New Roman" w:cs="Times New Roman" w:eastAsia="Times New Roman" w:hAnsi="Times New Roman"/>
          <w:sz w:val="18"/>
          <w:szCs w:val="18"/>
          <w:i w:val="1"/>
          <w:iCs w:val="1"/>
          <w:color w:val="auto"/>
        </w:rPr>
        <w:t>Governmental Licenses</w:t>
      </w:r>
      <w:r>
        <w:rPr>
          <w:rFonts w:ascii="Times New Roman" w:cs="Times New Roman" w:eastAsia="Times New Roman" w:hAnsi="Times New Roman"/>
          <w:sz w:val="18"/>
          <w:szCs w:val="18"/>
          <w:color w:val="auto"/>
        </w:rPr>
        <w:t>”)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the conduct of their business, (ii) are in compliance with the terms and conditions of all Governmental Licenses, and all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Licenses are valid and in full force and effect, and (iii) have not received any written or other notice of proceedings relating to the revocation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 of any Governmental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u w:val="single" w:color="auto"/>
          <w:color w:val="auto"/>
        </w:rPr>
        <w:t>  Tax Status</w:t>
      </w:r>
      <w:r>
        <w:rPr>
          <w:rFonts w:ascii="Times New Roman" w:cs="Times New Roman" w:eastAsia="Times New Roman" w:hAnsi="Times New Roman"/>
          <w:sz w:val="17"/>
          <w:szCs w:val="17"/>
          <w:color w:val="auto"/>
        </w:rPr>
        <w:t>. The Company and each of its Subsidiaries have filed all federal, state, local and foreign tax returns required to be filed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date of this Agreement or have requested extensions in respect thereof (except where the failure to file would not, singly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 on the Company and its Subsidiaries) and have paid all taxes required to be paid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of its Subsidiaries (as appropriate) the payment date for which has fallen due (except for cases in which the failure to file or pay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singly or in the aggregate, have a Material Adverse Effect on the Company and its Subsidiaries, or, except as currently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contested in good faith or for which reserves required by IFRS have been created in the financial statements of the Company). All payments to be made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on behalf of the Company under this Agreement (save for any interest payable in respect of or in connection with any such payment) and,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in the Transaction Documents, all dividends and other distributions declared and payable on the Class A Ordinary Shares may, under the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 and regulations of the United Kingdom and the United States (each, a “</w:t>
      </w:r>
      <w:r>
        <w:rPr>
          <w:rFonts w:ascii="Times New Roman" w:cs="Times New Roman" w:eastAsia="Times New Roman" w:hAnsi="Times New Roman"/>
          <w:sz w:val="17"/>
          <w:szCs w:val="17"/>
          <w:i w:val="1"/>
          <w:iCs w:val="1"/>
          <w:color w:val="auto"/>
        </w:rPr>
        <w:t>Relevant Taxing Jurisdiction</w:t>
      </w:r>
      <w:r>
        <w:rPr>
          <w:rFonts w:ascii="Times New Roman" w:cs="Times New Roman" w:eastAsia="Times New Roman" w:hAnsi="Times New Roman"/>
          <w:sz w:val="17"/>
          <w:szCs w:val="17"/>
          <w:color w:val="auto"/>
        </w:rPr>
        <w:t>”), as of the date hereof be paid in U.S. dollars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converted into another currency and freely transferred out of any Relevant Taxing Jurisdiction, subject to any applicable withholding taxes.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current and projected composition of the Company’s income and assets, the Company does not believe it was classified as a “passive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company” as defined in Section 1297 of the United States Internal Revenue Code of 1986, as amended, for its most recent taxable year ended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does not expect to be classified as a “passive foreign investment company” for the current taxable year or, to the best of its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for subsequent taxable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u w:val="single" w:color="auto"/>
          <w:color w:val="auto"/>
        </w:rPr>
        <w:t>  Transfer Taxes</w:t>
      </w:r>
      <w:r>
        <w:rPr>
          <w:rFonts w:ascii="Times New Roman" w:cs="Times New Roman" w:eastAsia="Times New Roman" w:hAnsi="Times New Roman"/>
          <w:sz w:val="17"/>
          <w:szCs w:val="17"/>
          <w:color w:val="auto"/>
        </w:rPr>
        <w:t>. No stamp, documentary, issuance, registration, transfer or other similar taxes or duties (including 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stamp duty and stamp duty reserve tax) (together and, for the avoidance of doubt, excluding income taxes, capital gains taxes, VAT and taxes on dividends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imposed by the United States, the United Kingdom or Sweden are payable by the Purchaser in connection with (i) the 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allotment, and issuance and delivery of the Class A Ordinary Shares by the Company in the manner contemplated by this Agreement and the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Agreement, (ii) the issuance and delivery of the Purchased ADSs (and any corresponding Class A ADRs evidencing such Purchased ADSs)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or for the account of, the Purchaser, and the delivery of the Purchased ADSs by the Depositary to the Purchaser at the instruction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each case, in the manner contemplated by the Agreement and in the Class A Deposit Agreement, or (iii) the execution and delivery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the Class A Deposit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u w:val="single" w:color="auto"/>
          <w:color w:val="auto"/>
        </w:rPr>
        <w:t>  Foreign Corrupt Practices; Anti-Bribery and Anti-Money Laundering Laws</w:t>
      </w:r>
      <w:r>
        <w:rPr>
          <w:rFonts w:ascii="Times New Roman" w:cs="Times New Roman" w:eastAsia="Times New Roman" w:hAnsi="Times New Roman"/>
          <w:sz w:val="17"/>
          <w:szCs w:val="17"/>
          <w:color w:val="auto"/>
        </w:rPr>
        <w:t>. Neither the Company, any Subsidiary, nor any of their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officers or directors, nor, to the Company’s Knowledge, any agent or other Person acting on behalf of the Company or any Subsidiary since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has (i) directly or indirectly, used any funds for unlawful contributions, gifts, entertainment or other unlawful expenses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or domestic political activity, (ii) made any unlawful payment to (A) any foreign or domestic government officials or employees or (B) any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(iii) made any unlawful payment to any foreign or domestic political parties or campaigns from corporate funds, (iv) failed to disclose fully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made by the Company or any Subsidiary (or made by any Person acting on its behalf of which the Company or any Subsidiary is aware)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in violation of law, (v) violated in any material respect any provision of the Foreign Corrupt Practices Act of 1977, as amended (the “</w:t>
      </w:r>
      <w:r>
        <w:rPr>
          <w:rFonts w:ascii="Times New Roman" w:cs="Times New Roman" w:eastAsia="Times New Roman" w:hAnsi="Times New Roman"/>
          <w:sz w:val="17"/>
          <w:szCs w:val="17"/>
          <w:i w:val="1"/>
          <w:iCs w:val="1"/>
          <w:color w:val="auto"/>
        </w:rPr>
        <w:t>FCPA</w:t>
      </w:r>
      <w:r>
        <w:rPr>
          <w:rFonts w:ascii="Times New Roman" w:cs="Times New Roman" w:eastAsia="Times New Roman" w:hAnsi="Times New Roman"/>
          <w:sz w:val="17"/>
          <w:szCs w:val="17"/>
          <w:color w:val="auto"/>
        </w:rPr>
        <w:t>”), the Bribery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2010 of the United Kingdom or any other applicable anti-bribery or anti-corruption laws; (vi) made any bribe, rebate, payoff, influence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kickback or other unlawful payment, or (vii) engaged in any conduct that could violate any applicable Money Laundering Laws (as defined below)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 financing of terrorism laws. The operations of the Company and its Subsidiaries are, and have been conducted at all times, in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the money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laundering statutes of all applicable jurisdictions, the rules and regulations thereunder and any related or similar applicable rules, regulations or guidelines,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administered or enforced by any governmental agency (collectively, the “</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and no Action by or before any court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agency, authority or body or any arbitrator involving the Company or any of its Subsidiaries with respect to the Money Laundering Laws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or, to the Company’s Knowledge, threatened.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Neither the Company nor any of the Subsidiaries, nor any director or officer, nor, to the Company’s Knowledge,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affiliate or employee of the Company or any of the Subsidiaries, nor, to the Company’s Knowledge, any other Person affiliated with or acting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Company or any of the Subsidiaries, or benefiting in any capacity in connection with this Agreement, (i) is currently the subject or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sanction programs (including economic or trade sanctions laws and regulations) administered, enacted or imposed by the U.S. Government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government or state, including, without limitation, the Office of Foreign Assets Control of the U.S. Treasury Department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State, the Hong Kong Monetary Authority and the Government of Hong Kong, the United Nations Security Council, the European Union,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the Monetary Authority of Singapore, His Majesty’s Treasury, or any similar sanction programs imposed by any governmental body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the Subsidiaries is subject to (collectively,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(ii) is operating from, organized or resident in (A) a country or territory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subject of comprehensive Sanctions (a “</w:t>
      </w:r>
      <w:r>
        <w:rPr>
          <w:rFonts w:ascii="Times New Roman" w:cs="Times New Roman" w:eastAsia="Times New Roman" w:hAnsi="Times New Roman"/>
          <w:sz w:val="18"/>
          <w:szCs w:val="18"/>
          <w:i w:val="1"/>
          <w:iCs w:val="1"/>
          <w:color w:val="auto"/>
        </w:rPr>
        <w:t>Sanctioned Territory</w:t>
      </w:r>
      <w:r>
        <w:rPr>
          <w:rFonts w:ascii="Times New Roman" w:cs="Times New Roman" w:eastAsia="Times New Roman" w:hAnsi="Times New Roman"/>
          <w:sz w:val="18"/>
          <w:szCs w:val="18"/>
          <w:color w:val="auto"/>
        </w:rPr>
        <w:t>”), which includes, as of the date of this Agreement, Cuba, Iran, North Korea,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Crimea region of Ukraine, the so-called “Donetsk People’s Republic,” and “Luhansk People’s Republic” or (B) Syria; or (iii) is designated as a Person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target of Sanctions (a “</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which includes but is not limited to any Person (A) listed in any Sanctions-related list maintained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OFAC, the United Nations Security Council, the European Union, any Member State of the European Union, the United Kingdom, or other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sanctions authority; (B) operating, organized, or resident in a Sanctioned Territory; (C) owned or controlled by the government of a Sanctioned Territory;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50% or more owned or otherwise controlled by any of the persons identified in clauses (A), (B), or (C). Neither the Company nor the Subsidiaries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engaged in during the past five (5) years, are not now engaged in, and will not engage in, any dealings or transactions with any Person that at the time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dealing or transaction is or was a Sanctioned Person or with any Sanctioned Territory; and the Company will not directly or indirectly use the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or lend, contribute or otherwise make available such proceeds to any Subsidiary, joint venture partner or other Person (i) to fund or facilitate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of or business with any Sanctioned Person; (ii) to fund or facilitate any activities of or business in any Sanctioned Territory; or (iii) in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that will result in a Sanctions violation by any Person (including any Person participating in the transaction, whether as an initial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advisor, investor,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u w:val="single" w:color="auto"/>
          <w:color w:val="auto"/>
        </w:rPr>
        <w:t>  Sarbanes-Oxley</w:t>
      </w:r>
      <w:r>
        <w:rPr>
          <w:rFonts w:ascii="Times New Roman" w:cs="Times New Roman" w:eastAsia="Times New Roman" w:hAnsi="Times New Roman"/>
          <w:sz w:val="17"/>
          <w:szCs w:val="17"/>
          <w:color w:val="auto"/>
        </w:rPr>
        <w:t>. Solely to the extent that the Sarbanes-Oxley Act of 2002, as amended, and the rules and regulations promulgated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Commission and the Nasdaq Global Market thereunder (collectively, the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have been applicable to the Company, other than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the SEC Documents, to the Company’s Knowledge, there is and has been no failure on the part of the Company to comply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with any provision of the Sarbanes-Oxley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The Purchaser shall not have any obligation with respect to any fees or with respect to any claims made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other Persons for fees of a type contemplated in this Section 3.1(t) that may be due in connection with the transactions contemplated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Neither the Company nor any Subsidiary is, and, following the consummation of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will not be, an “investment company” or an “affiliated person” of, or “promoter” or “principal underwriter”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within the meaning of the Investment Company Act of 1940, as amended, and the rules and regulations of the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Class A ADSs are registered pursuant to Section 12(b) of the Exchange Act,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taken no action designed to, or which to the Company’s Knowledge is likely to have the effect of, terminating the registration of the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pursuant to the Exchange Act nor has the Company received any notification that the Commission is currently contemplating terminating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accountants are set forth in the SEC Documents and, to the Company’s Knowledge, such accountants are (i) an independent registered public accounting firm as required by the Securities Act, the Exchange Act and the rules of the Public Company Accounting Oversight Board (the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No Market Manipulation</w:t>
      </w:r>
      <w:r>
        <w:rPr>
          <w:rFonts w:ascii="Times New Roman" w:cs="Times New Roman" w:eastAsia="Times New Roman" w:hAnsi="Times New Roman"/>
          <w:sz w:val="18"/>
          <w:szCs w:val="18"/>
          <w:color w:val="auto"/>
        </w:rPr>
        <w:t>. The Company has not, and to the Company’s Knowledge no Person acting on its behalf has, (i)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any action designed to cause or to result in the stabilization or manipulation of the price of any security of the Company to facilitate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or resale of any of the Purchased ADSs, (ii) sold, bid for, purchased, or, paid any compensation for soliciting purchases of, any of the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or (iii) paid or agreed to pay to any Person any compensation for soliciting another to purchase any other securities of the Company in violation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M promulgated under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(y)         </w:t>
      </w:r>
      <w:r>
        <w:rPr>
          <w:rFonts w:ascii="Times New Roman" w:cs="Times New Roman" w:eastAsia="Times New Roman" w:hAnsi="Times New Roman"/>
          <w:sz w:val="17"/>
          <w:szCs w:val="17"/>
          <w:u w:val="single" w:color="auto"/>
          <w:color w:val="auto"/>
        </w:rPr>
        <w:t>  No Directed Selling Efforts or General Solicitation</w:t>
      </w:r>
      <w:r>
        <w:rPr>
          <w:rFonts w:ascii="Times New Roman" w:cs="Times New Roman" w:eastAsia="Times New Roman" w:hAnsi="Times New Roman"/>
          <w:sz w:val="17"/>
          <w:szCs w:val="17"/>
          <w:color w:val="auto"/>
        </w:rPr>
        <w:t>. Neither the Company, nor any of its affiliates (as defined in Rule 502 under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nor any Person acting on its or their behalf has conducted any directed selling efforts or any general solicitation or general advertising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offer or sale of any of the Purchased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None of the Company or any of its Affiliates, nor any Person acting on their behalf has,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any offers or sales of any security or solicited any offers to buy any security, under circumstances that would require registration of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Purchased ADSs under the Securities Act, whether through integration with prior offerings or otherwise, or cause this offering of the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to require approval of stockholders of the Company under any applicable stockholder approval provisions, including, without limitation,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 of the Commission and the Principal Trading Market. None of the Company, nor its Affiliates, nor any Person acting on their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take any action or steps referred to in the preceding sentence that would require registration of the issuance of any of the securities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or cause the offering of any of the Purchased ADSs to be integrated with other offerings. Assuming the accuracy of each of the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set forth in Section 3.2, no registration under the Securities Act is required for the offer and sale of the Purchased ADSs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to the Purchaser as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Labor</w:t>
      </w:r>
      <w:r>
        <w:rPr>
          <w:rFonts w:ascii="Times New Roman" w:cs="Times New Roman" w:eastAsia="Times New Roman" w:hAnsi="Times New Roman"/>
          <w:sz w:val="18"/>
          <w:szCs w:val="18"/>
          <w:color w:val="auto"/>
        </w:rPr>
        <w:t>. Except as would constitute a Material Adverse Effect, no labor disturbance by or dispute with employees of the Company or any of the Subsidiaries exists or, to the Company’s Knowledge, is contemplated or threatened.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as would not reasonably be expected to result in a Material Adverse Effect,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i w:val="1"/>
          <w:iCs w:val="1"/>
          <w:color w:val="auto"/>
        </w:rPr>
        <w:t>IT Systems</w:t>
      </w:r>
      <w:r>
        <w:rPr>
          <w:rFonts w:ascii="Times New Roman" w:cs="Times New Roman" w:eastAsia="Times New Roman" w:hAnsi="Times New Roman"/>
          <w:sz w:val="18"/>
          <w:szCs w:val="18"/>
          <w:color w:val="auto"/>
        </w:rPr>
        <w:t>”) are adequate for, and operate and perform in as required in connection with the operation of the business of the Company and its Subsidiaries as currently conducted, and to the Company’s Knowledge, are free and clear of all bugs, errors, defects, Trojan horses, time bombs, malware and other corruptants. The Company and the Subsidiaries own or have a valid right to access and use all computer systems, networks, hardware, software, data and databases (including the data and information of their respective customers, employees, suppliers, vendors and any third party data maintained, processed or stored by the Company and the Subsidiaries, and any such data processed or stored by third parties on behalf of the Company and the Subsidiaries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equipment or technology, websites and functions used in connection with the business of the Company and the Subsidiaries as currently conducted (collectively, “</w:t>
      </w:r>
      <w:r>
        <w:rPr>
          <w:rFonts w:ascii="Times New Roman" w:cs="Times New Roman" w:eastAsia="Times New Roman" w:hAnsi="Times New Roman"/>
          <w:sz w:val="18"/>
          <w:szCs w:val="18"/>
          <w:i w:val="1"/>
          <w:iCs w:val="1"/>
          <w:color w:val="auto"/>
        </w:rPr>
        <w:t>IT Systems and Data</w:t>
      </w:r>
      <w:r>
        <w:rPr>
          <w:rFonts w:ascii="Times New Roman" w:cs="Times New Roman" w:eastAsia="Times New Roman" w:hAnsi="Times New Roman"/>
          <w:sz w:val="18"/>
          <w:szCs w:val="18"/>
          <w:color w:val="auto"/>
        </w:rPr>
        <w:t>”).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used in connection with their businesses, and to the Company’s Knowledge there have been no breaches, violations, outages or unauthorized uses of or accesses to the same, except for those that have been remedied without material cost or liability or the duty to notify any other person, nor any security incidents under internal review or investigations relating to the same.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the protection of such IT Systems and Data from unauthorized use, access, misappropriation or modification, security breach disclosure and notification and to the transfer of any Data (collectively, “</w:t>
      </w:r>
      <w:r>
        <w:rPr>
          <w:rFonts w:ascii="Times New Roman" w:cs="Times New Roman" w:eastAsia="Times New Roman" w:hAnsi="Times New Roman"/>
          <w:sz w:val="18"/>
          <w:szCs w:val="18"/>
          <w:i w:val="1"/>
          <w:iCs w:val="1"/>
          <w:color w:val="auto"/>
        </w:rPr>
        <w:t>Privacy Obligations</w:t>
      </w:r>
      <w:r>
        <w:rPr>
          <w:rFonts w:ascii="Times New Roman" w:cs="Times New Roman" w:eastAsia="Times New Roman" w:hAnsi="Times New Roman"/>
          <w:sz w:val="18"/>
          <w:szCs w:val="18"/>
          <w:color w:val="auto"/>
        </w:rPr>
        <w:t>”). No Action (whether or a criminal, civil or administrative nature) has been filed, commenced or, to the Company’s Knowledge, threatened against the Company or its Subsidiaries, nor has the Company or its Subsidiaries incurred any material liabilities in relation to any failure to comply with any Privacy Obligations or any security incident.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Environmental Compliance</w:t>
      </w:r>
      <w:r>
        <w:rPr>
          <w:rFonts w:ascii="Times New Roman" w:cs="Times New Roman" w:eastAsia="Times New Roman" w:hAnsi="Times New Roman"/>
          <w:sz w:val="18"/>
          <w:szCs w:val="18"/>
          <w:color w:val="auto"/>
        </w:rPr>
        <w:t>. To the Company’s Knowledge, the Company has obtained all material approvals, authorization,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consents, licenses, orders and permits or other similar authorizations of all governmental authorities, or from any other Person, that are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Environmental Laws. “Environmental Laws” shall mean all applicable laws relating to the protection of the environment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all requirements pertaining to reporting, licensing, permitting, controlling, investigating or remediating emissions, discharges, releases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releases of hazardous substances, chemical substances, pollutants, contaminants or toxic substances, materials or wastes, whether solid, liquid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gaseous in nature, into the air, surface water, groundwater or land, or relating to the manufacture, processing, distribution, use, treatment, storage, disposal,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 or handling of hazardous substances, chemical substances, pollutants, contaminants or toxic substances, material or wastes, whether solid, liquid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gaseous in nature. To the Company’s Knowledge, there are no past or present material events, conditions, circumstances, incidents, actions or omissions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or in any way affecting the Company that violate or could reasonably be expected to violate any Environmental Law or that could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give rise to any environmental liability, or otherwise form the basis of any claim, action, demand, suit, proceeding, hearing, study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 (i) under any Environmental Law, or (ii) based on or related to the manufacture, processing, distribution, use, treatment, storage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underground storage tanks), disposal, transport or handling, or the emission, discharge, release or threatened release of any hazardous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Product Liability</w:t>
      </w:r>
      <w:r>
        <w:rPr>
          <w:rFonts w:ascii="Times New Roman" w:cs="Times New Roman" w:eastAsia="Times New Roman" w:hAnsi="Times New Roman"/>
          <w:sz w:val="18"/>
          <w:szCs w:val="18"/>
          <w:color w:val="auto"/>
        </w:rPr>
        <w:t>. Except for claims, actions, suits, proceedings, or investigations that are a matter of public record, the Company has not received any written notice of any pending or threatened claim, action, suit, proceeding, or investigation relating to any product liability matter. To the Company’s Knowledge, there are no material product defects or failures that could reasonably be expected to give rise to product liability claims. The Company maintains product liability insurance in amounts customary for companies in similar businesses and of similar size. All products manufactured, sold, leased, or delivered by the Company have been in conformity in all material respects with all applicable contractual commitments and all express and implied warranties. The Company has no liability (and there is no reasonable basis for any present or future action, suit, proceeding, hearing, investigation, charge, complaint, claim, or demand against it giving rise to any liability) for replacement or repair of any products or other damages in connection therewith, subject only to the reserve for product warranty claims set forth in the Financial Statements or any U.S. lemon law and other consumer protection claims. The Company has not provided or offered any product warranties or guarantees other than (i) standard warranties provided in the ordinary course of business consistent with industry practice, and (ii) those warranties specifically disclosed in the SEC Documents.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Geopolitical Risk</w:t>
      </w:r>
      <w:r>
        <w:rPr>
          <w:rFonts w:ascii="Times New Roman" w:cs="Times New Roman" w:eastAsia="Times New Roman" w:hAnsi="Times New Roman"/>
          <w:sz w:val="18"/>
          <w:szCs w:val="18"/>
          <w:color w:val="auto"/>
        </w:rPr>
        <w:t>. The Company is in material compliance with all applicable export control laws, import regulations, and economic sanctions and has obtained all necessary licenses, permits, and authorizations for the export, re-export, or transfer of its products, technology, and technical data. The Company has implemented reasonable business continuity and risk mitigation strategies to address potential disruptions arising from geo-political events, including trade restrictions, tariffs, export controls, and regional conflicts.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Compliance with Data Privacy Laws</w:t>
      </w:r>
      <w:r>
        <w:rPr>
          <w:rFonts w:ascii="Times New Roman" w:cs="Times New Roman" w:eastAsia="Times New Roman" w:hAnsi="Times New Roman"/>
          <w:sz w:val="18"/>
          <w:szCs w:val="18"/>
          <w:color w:val="auto"/>
        </w:rPr>
        <w:t>. The Company and its Subsidiaries are, and since January 1, 2023 have been, in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all applicable data privacy and security laws and regulations. The Company and its Subsidiaries have taken any required and 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to comply in all material respects with the European Union General Data Protection Regulation (EU 2016/679) (including as that Regulation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incorporated into the domestic law of the United Kingdom), the UK Data Protection Act 2018, the California Consumer Privacy Act and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 and regulations with respect to Data, including all that have been announced as of the date hereof as becoming effective within twelve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after the date hereof, and for which any non-compliance with same would be reasonably likely to create a material liability as soon they take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To ensure material compliance with the Privacy Laws, the Company and its Subsidiaries have in place, and are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compliance with, commercially reasonable policies and procedures relating to data privacy and security and the collection, storage, use,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handling, and analysis of Data (the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as applicable. The Company and its Subsidiaries have made disclosures to users or customers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 and regulatory rules or requirements, and has provided notice of its Policies then in effect to its customers, employees, third party vendors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representatives as required by applicable law and regulatory rules or requirements, except where the failure to do so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result in a Material Adverse Effect. None of such disclosures made or contained in any of the Policies have been inaccurate, misleading,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deceptive or in violation of any Privacy Laws or Policies in any material respect. The execution, delivery and performance of this Agreement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in this Agreement will not result in a breach or violation of any Privacy Laws or Policies. The Company further certifies that neither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nor any Subsidiary (i) has received written notice of any actual or potential liability under or relating to, or actual or potential violation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Privacy Laws, or has Knowledge of any event or condition that would reasonably be expected to result in any such notice, (ii) is currently conducting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for, in whole or in part, any investigation, remediation, or other corrective action pursuant to any Privacy Law, or (iii) is a party to any order, decree,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agreement that imposes any obligation or liability under any Privacy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Foreign Private Issuer</w:t>
      </w:r>
      <w:r>
        <w:rPr>
          <w:rFonts w:ascii="Times New Roman" w:cs="Times New Roman" w:eastAsia="Times New Roman" w:hAnsi="Times New Roman"/>
          <w:sz w:val="18"/>
          <w:szCs w:val="18"/>
          <w:color w:val="auto"/>
        </w:rPr>
        <w:t>. The Company is a “foreign private issuer” as defined in Rule 405 under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Outbound Investment Rules</w:t>
      </w:r>
      <w:r>
        <w:rPr>
          <w:rFonts w:ascii="Times New Roman" w:cs="Times New Roman" w:eastAsia="Times New Roman" w:hAnsi="Times New Roman"/>
          <w:sz w:val="18"/>
          <w:szCs w:val="18"/>
          <w:color w:val="auto"/>
        </w:rPr>
        <w:t>. The Company (i) is not a “covered foreign person” within the meaning the U.S. Outbound Investment Rules, and (ii) does not plan to make any investment, become a party to any joint venture or other arrangement, or engage in any other activity as a result of which the Company would be or become a “covered foreign person” within the meaning of the U.S. Outbound Investment Rules. “U.S. Outbound Investment Rules” means U.S. Executive Order 14105 and the final regulations published by the U.S. Department of Treasury implementing U.S. Executive Order 14105 on 28 October 2024, each as amended and supplemented from time to time. In addition, the Company will not knowingly use the proceeds of the sale of the Purchased ADSs or lend, contribute or otherwise make available such proceeds, directly or indirectly, to any “covered foreign person” or for the purpose of funding or facilitating any “covered activities”, each within the meaning of the U.S. Outbound Investment Rules.  </w:t>
      </w:r>
    </w:p>
    <w:p>
      <w:pPr>
        <w:spacing w:after="0" w:line="20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Acknowledgment Regarding Purchaser’s Purchase of Purchased ADSs</w:t>
      </w:r>
      <w:r>
        <w:rPr>
          <w:rFonts w:ascii="Times New Roman" w:cs="Times New Roman" w:eastAsia="Times New Roman" w:hAnsi="Times New Roman"/>
          <w:sz w:val="18"/>
          <w:szCs w:val="18"/>
          <w:color w:val="auto"/>
        </w:rPr>
        <w:t>. The Company acknowledges and agrees that the Purchaser is acting solely in the capacity of an arm’s length purchaser with respect to this Agreement and the other Transaction Documents and the transactions contemplated hereunder and thereunder. The Company further acknowledges that the Purchaser is not acting as a financial advisor or fiduciary of the Company (or in any similar capacity) with respect to this Agreement and the other Transaction Documents and the transactions contemplated hereunder and thereunder, and any advice given by the Purchaser or any of its representatives or agents in connection with this Agreement and the other Transaction Documents and the transactions contemplated hereunder and thereunder is merely incidental to the Purchaser’s purchase of the Purchased ADSs.  </w:t>
      </w:r>
    </w:p>
    <w:p>
      <w:pPr>
        <w:spacing w:after="0" w:line="3"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Acknowledgement Regarding Purchaser’s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the Purchaser has not been asked by the Company or any of the Subsidiaries to agree, nor has the Purchaser agreed with the Company or any of the Subsidiaries or any affiliate of the forgoing,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the Purchaser, and counterparties in “derivative” transactions to which the Purchaser is a party, directly or indirectly, presently may have a “short” position in the Class A ADSs which was established prior to the Purchaser’s knowledge of the transactions contemplated by the Transaction Documents; and (iii) the Purchaser shall not be deemed to have any affiliation with or control over any arm’s length counterparty in any “derivative” transaction.  </w:t>
      </w:r>
    </w:p>
    <w:p>
      <w:pPr>
        <w:spacing w:after="0" w:line="21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No Reliance</w:t>
      </w:r>
      <w:r>
        <w:rPr>
          <w:rFonts w:ascii="Times New Roman" w:cs="Times New Roman" w:eastAsia="Times New Roman" w:hAnsi="Times New Roman"/>
          <w:sz w:val="18"/>
          <w:szCs w:val="18"/>
          <w:color w:val="auto"/>
        </w:rPr>
        <w:t>. The Company has not made any representations or warranties, express or implied, of any nature whatsoever relating to the Company or the business of the Company or otherwise in connection with the transactions contemplated hereby, other than those representations and warranties expressly set forth in Article III. The Purchaser hereby acknowledges and agrees that, in deciding to purchase Class A ADSs of the Company, it is relying solely on the SEC Documents and the Company’s representations and warranties in Article III, and is not relying on any other information (whether oral or written), furnished by or on behalf of, the Company or any director, officer, employee or agent of the Company or any of its Affiliates.  </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3.2          </w:t>
      </w:r>
      <w:r>
        <w:rPr>
          <w:rFonts w:ascii="Times New Roman" w:cs="Times New Roman" w:eastAsia="Times New Roman" w:hAnsi="Times New Roman"/>
          <w:sz w:val="17"/>
          <w:szCs w:val="17"/>
          <w:u w:val="single" w:color="auto"/>
          <w:color w:val="auto"/>
        </w:rPr>
        <w:t>  Representations and Warranties of the Purchaser</w:t>
      </w:r>
      <w:r>
        <w:rPr>
          <w:rFonts w:ascii="Times New Roman" w:cs="Times New Roman" w:eastAsia="Times New Roman" w:hAnsi="Times New Roman"/>
          <w:sz w:val="17"/>
          <w:szCs w:val="17"/>
          <w:color w:val="auto"/>
        </w:rPr>
        <w:t>. The Purchaser represents and warrants, as of the date hereof and as of the Closing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Experience</w:t>
      </w:r>
      <w:r>
        <w:rPr>
          <w:rFonts w:ascii="Times New Roman" w:cs="Times New Roman" w:eastAsia="Times New Roman" w:hAnsi="Times New Roman"/>
          <w:sz w:val="17"/>
          <w:szCs w:val="17"/>
          <w:color w:val="auto"/>
        </w:rPr>
        <w:t>. (i) The Purchaser is knowledgeable, sophisticated and experienced in financial and business matters, in making, and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to make, decisions with respect to investments in shares representing an investment decision like that involved in the purchase of the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including investments in securities issued by the Company and comparable entities, has the ability to bear the economic risks of an investment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ADSs; (ii) the Purchaser is acquiring the number of the Purchased ADSs set forth in this Agreement in the ordinary course of its business 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own account for investment only and with no present intention of distributing any of such Purchased ADSs in violation of the Securities Act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or understanding with any other persons regarding the distribution of such Purchased ADSs in violation of the Securities Act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and warranty not limiting the Purchaser’s right to sell in compliance with the Securities Act and the rules and regulations promulgated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Act and the Securities Act (together, the “</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(iii) the Purchaser has, in connection with its decision to purchase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ADSs relied solely upon its own independent due diligence of the Company and solely upon the representations and warranties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contained herein and the SEC Documents; and (iv) the Purchaser has received such information as it deems necessary to make an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 with respect to the Purchased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Offshore Transaction</w:t>
      </w:r>
      <w:r>
        <w:rPr>
          <w:rFonts w:ascii="Times New Roman" w:cs="Times New Roman" w:eastAsia="Times New Roman" w:hAnsi="Times New Roman"/>
          <w:sz w:val="18"/>
          <w:szCs w:val="18"/>
          <w:color w:val="auto"/>
        </w:rPr>
        <w:t>. At the time the Purchaser was offered the Purchased ADSs, it was, and as of the date hereof and as of the Closing Date the Purchaser is (i) not a U.S. person and is located outside the United States (within the meaning of Regulation S) and (ii) not an affiliate of the Company or a person acting on behalf of such an affiliate. The Purchaser acknowledges that it is acquiring the Purchased ADSs in an “offshore transaction” as defined in, and in reliance on, Regulation S and is not acquiring the Securities with a view to, or for offer or sale in connection with, any distribution thereof in violation of the Securities Act. The Purchaser is not an entity formed for the specific purpose of acquiring the Purchased ADSs. Neither the Purchaser, nor any of its subsidiaries or affiliates, nor any person acting on its or their behalf, has engaged in any form of directed selling efforts (within the meaning of Regulation S) in connection with the offer or sale of the Purchased ADSs.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General Solicitation</w:t>
      </w:r>
      <w:r>
        <w:rPr>
          <w:rFonts w:ascii="Times New Roman" w:cs="Times New Roman" w:eastAsia="Times New Roman" w:hAnsi="Times New Roman"/>
          <w:sz w:val="18"/>
          <w:szCs w:val="18"/>
          <w:color w:val="auto"/>
        </w:rPr>
        <w:t>. The Purchaser acknowledges that the Purchased ADSs (i) were not offered to it by any form of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 or general advertising and (ii) are not being offered to it in a manner involving a public offering under, or in a distribution in violation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any state securities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Reliance on Exemptions</w:t>
      </w:r>
      <w:r>
        <w:rPr>
          <w:rFonts w:ascii="Times New Roman" w:cs="Times New Roman" w:eastAsia="Times New Roman" w:hAnsi="Times New Roman"/>
          <w:sz w:val="18"/>
          <w:szCs w:val="18"/>
          <w:color w:val="auto"/>
        </w:rPr>
        <w:t>. The Purchaser understands that the Purchased ADSs are being offered and sold to it in reliance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exemptions from the registration requirements of the Securities Act, the Rules and Regulations and state securities laws and that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counsel are relying upon the truth and accuracy of, and the Purchaser’s compliance with, the representations, warranties, agreements, acknowledgments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understandings of the Purchaser set forth herein in order to determine the availability of such exemptions and the eligibility of the Purchaser to acquire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Purchased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Risk of Loss</w:t>
      </w:r>
      <w:r>
        <w:rPr>
          <w:rFonts w:ascii="Times New Roman" w:cs="Times New Roman" w:eastAsia="Times New Roman" w:hAnsi="Times New Roman"/>
          <w:sz w:val="17"/>
          <w:szCs w:val="17"/>
          <w:color w:val="auto"/>
        </w:rPr>
        <w:t>. The Purchaser understands that its investment in the Purchased ADSs involves a significant degree of risk,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risk of total loss of the Purchaser’s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Organization; Validity; Enforcement</w:t>
      </w:r>
      <w:r>
        <w:rPr>
          <w:rFonts w:ascii="Times New Roman" w:cs="Times New Roman" w:eastAsia="Times New Roman" w:hAnsi="Times New Roman"/>
          <w:sz w:val="18"/>
          <w:szCs w:val="18"/>
          <w:color w:val="auto"/>
        </w:rPr>
        <w:t>. The Purchaser (i) has full right, power, authority and capacity to enter into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consummate the transactions contemplated hereby and has taken all necessary action to authorize the execution, delivery and performance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(ii) the making and performance of this Agreement by the Purchaser and the consummation of the transactions herein contemplated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 any provision of the organizational documents of the Purchaser or conflict with, result in the breach or violation of, or constitute, either by itself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notice or the passage of time or both, a default under any material agreement, mortgage, deed of trust, lease, franchise, license, indenture, permit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instrument to which the Purchaser is a party or, any statute or any authorization, judgment, decree, order, rule or regulation of any court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regulatory body, administrative agency or other governmental agency or body applicable to the Purchaser, (iii) except for the filings or notifications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shall be made after the Closing, no consent, approval, authorization or other order of any court, regulatory body, administrative agency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agency or body is required on the part of the Purchaser for the execution and delivery of this Agreement or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by this Agreement, (iv) upon the execution and delivery of this Agreement, this Agreement shall constitute a legal, valid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binding obligation of the Purchaser, enforceable in accordance with its terms, except as such enforceability may be limited by applicable bankruptcy,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insolvency, reorganization, moratorium or other laws of general application relating to or the enforcement of creditor’s rights and the application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equitable principles relating to the availability of remedies and (v) there is not in effect any order enjoining or restraining the Purchaser from entering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engaging in any of the transactions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Transfer Restrictions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Notwithstanding any other provision of this Article IV, the Purchaser covenants that it will not dispose of the Purchased ADSs other than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federal or foreign securities laws. Notwithstanding the foregoing, the Purchased ADSs may be pledged in connection with a bona fide margin account or other loan or financing arrangement secured by the Purchased ADSs and such pledge of Purchased ADSs shall not be deemed to be a transfer, sale or assignment of the Purchased ADSs hereunder, and the Purchaser shall not be required to provide the Company with any notice thereof or otherwise make any delivery to the Company pursuant to this Agreement or any other Transaction Document if effecting a pledge of Purchased ADSs.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Legends</w:t>
      </w:r>
      <w:r>
        <w:rPr>
          <w:rFonts w:ascii="Times New Roman" w:cs="Times New Roman" w:eastAsia="Times New Roman" w:hAnsi="Times New Roman"/>
          <w:sz w:val="18"/>
          <w:szCs w:val="18"/>
          <w:color w:val="auto"/>
        </w:rPr>
        <w:t>. Certificates evidencing the Purchased ADSs shall bear any legend as required by the “blue sky” laws of any state and an “offering restrictions” legend in substantially the following form (and, with respect to any Purchased ADSs held in book-entry form, the Depositary will record such a legend on, or include such legend with, the Depositary Statements issued to the Purchaser), until the expiry of 40 days following the Closing:  </w:t>
      </w:r>
    </w:p>
    <w:p>
      <w:pPr>
        <w:spacing w:after="0" w:line="2"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(THE “ACT”), OR ANY STATE SECURITIES LAWS AND NEITHER THE SECURITIES NOR ANY INTEREST THEREIN MAY BE SOLD, TRANSFERRED, OFFERED FOR SALE, PLEDGED OR HYPOTHECATED WITHIN THE UNITED STATES IN THE ABSENCE OF AN EFFECTIVE REGISTRATION STATEMENT UNDER THE ACT, OR TO ANY “U.S. PERSON,” AS SUCH TERM IS DEFINED IN REGULATION S UNDER THE ACT, DURING THE 40 DAYS FOLLOWING ACQUISITION OF THE SECURITY BY THE HOLDER THEREOF. ANY ATTEMPT TO TRANSFER, SELL, PLEDGE, OR HYPOTHECATE THIS SECURITY IN VIOLATION OF THESE RESTRICTIONS SHALL BE VOID.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 Undertaking</w:t>
      </w:r>
      <w:r>
        <w:rPr>
          <w:rFonts w:ascii="Times New Roman" w:cs="Times New Roman" w:eastAsia="Times New Roman" w:hAnsi="Times New Roman"/>
          <w:sz w:val="18"/>
          <w:szCs w:val="18"/>
          <w:color w:val="auto"/>
        </w:rPr>
        <w:t>. The Company hereby agrees that, without further authorization from the Purchaser, within five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following a 40-day period that begins the day after the Closing, it will cause, pursuant to the Class A Restricted ADSs Letter Agreement, 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Company and the Depositary, dated as of June 23, 2022, the Depositary to register the Purchased ADSs in the name of the Purchaser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form and free of restrictive legends.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4.2          </w:t>
      </w:r>
      <w:r>
        <w:rPr>
          <w:rFonts w:ascii="Times New Roman" w:cs="Times New Roman" w:eastAsia="Times New Roman" w:hAnsi="Times New Roman"/>
          <w:sz w:val="17"/>
          <w:szCs w:val="17"/>
          <w:u w:val="single" w:color="auto"/>
          <w:color w:val="auto"/>
        </w:rPr>
        <w:t>  No Integration</w:t>
      </w:r>
      <w:r>
        <w:rPr>
          <w:rFonts w:ascii="Times New Roman" w:cs="Times New Roman" w:eastAsia="Times New Roman" w:hAnsi="Times New Roman"/>
          <w:sz w:val="17"/>
          <w:szCs w:val="17"/>
          <w:color w:val="auto"/>
        </w:rPr>
        <w:t>. The Company shall not, and shall use its commercially reasonable efforts to ensure that no Affiliate of the Company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offer for sale or solicit offers to buy or otherwise negotiate in respect of any security (as defined in Section 2 of the Securities Act) that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with the offer or sale of the Purchased ADSs in a manner that would require the registration under the Securities Act of the sale of the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to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4.3          </w:t>
      </w:r>
      <w:r>
        <w:rPr>
          <w:rFonts w:ascii="Times New Roman" w:cs="Times New Roman" w:eastAsia="Times New Roman" w:hAnsi="Times New Roman"/>
          <w:sz w:val="17"/>
          <w:szCs w:val="17"/>
          <w:u w:val="single" w:color="auto"/>
          <w:color w:val="auto"/>
        </w:rPr>
        <w:t>  Securities Laws Disclosure; Publicity</w:t>
      </w:r>
      <w:r>
        <w:rPr>
          <w:rFonts w:ascii="Times New Roman" w:cs="Times New Roman" w:eastAsia="Times New Roman" w:hAnsi="Times New Roman"/>
          <w:sz w:val="17"/>
          <w:szCs w:val="17"/>
          <w:color w:val="auto"/>
        </w:rPr>
        <w:t>. The Company shall: by the Disclosure Time, issue a press release disclosing the material terms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 and file a Report on Form 6-K, in each case disclosing the material terms of the transactions contemplated hereby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required by the Exchange Act and attaching this Agreement as an exhibit to such Report on Form 6-K. Other than such press release, neither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nor the Purchaser shall issue any press releases or any other public statements with respect to the transactions contemplated hereby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written consent of the other party (which consent shall not be unreasonably withheld, conditioned or delayed), except as may be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or stock exchange rules, in which case the party required to publish such press release or public statement shall use reasonable efforts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other party a reasonable opportunity to comment on such press release or public statement in advance of such publication and shall consider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comments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Proactive Deposit</w:t>
      </w:r>
      <w:r>
        <w:rPr>
          <w:rFonts w:ascii="Times New Roman" w:cs="Times New Roman" w:eastAsia="Times New Roman" w:hAnsi="Times New Roman"/>
          <w:sz w:val="18"/>
          <w:szCs w:val="18"/>
          <w:color w:val="auto"/>
        </w:rPr>
        <w:t>. The Company (i) shall, on or prior to the Closing Date, deposit the Class A Ordinary Shares with the Depositary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provisions of the Class A Deposit Agreement and otherwise comply with the Class A Deposit Agreement so that the Purchased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 be issued by the Depositary against receipt of such Class A Ordinary Shares and delivered to the Purchaser at the Closing at the instruction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(ii) has otherwise complied with the terms of the Class A Deposit Agreement, including without limitation, the covenants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Deposit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Purchaser under the Transaction Documents.  </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Reservation of Class A Ordinary Shares</w:t>
      </w:r>
      <w:r>
        <w:rPr>
          <w:rFonts w:ascii="Times New Roman" w:cs="Times New Roman" w:eastAsia="Times New Roman" w:hAnsi="Times New Roman"/>
          <w:sz w:val="18"/>
          <w:szCs w:val="18"/>
          <w:color w:val="auto"/>
        </w:rPr>
        <w:t>. As of the date hereof, the Company has reserved, free of preemptive rights, a sufficient number of Class A Ordinary Shares for the purpose of enabling the Company to cause the issuance of the Purchased ADSs by the Depositary.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 of Agreement</w:t>
      </w:r>
      <w:r>
        <w:rPr>
          <w:rFonts w:ascii="Times New Roman" w:cs="Times New Roman" w:eastAsia="Times New Roman" w:hAnsi="Times New Roman"/>
          <w:sz w:val="18"/>
          <w:szCs w:val="18"/>
          <w:color w:val="auto"/>
        </w:rPr>
        <w:t>. This Agreement and the respective obligations of each Party may be terminated upon the mutual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the Company and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6.1            The Company agrees to indemnify, to the extent permitted by law, the Purchaser, its officers, directors, partners, stockholders or members, employees, agents, investment advisors and each person who controls such Purchaser (within the meaning of the Securities Act and Exchange Act) from and against all losses, claims, damages, liabilities and expenses (including reasonable and documented attorneys’ fees), joint or several (or actions or proceedings, whether commenced or threatened, in respect thereof) (collectively,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to which any such Purchaser or other persons may become subject, insofar as such Claims arise out of or are based on breach of representation, warranty or covenant of the Company contained in this Agreement, including a failure to deliver the Purchased ADSs to the Purchaser by the deadline set forth herein, whether or not such Claims are a result of a claim by a third party, and the Company will reimburse the Purchaser or other person for any reasonable and documented legal or any other expenses reasonably incurred by them in connection with investigating or defending any such Claim. Notwithstanding the foregoing, in the case the Purchaser sells the Purchased ADSs and recovers the full amount of all Claims (either then identified or as may further arise from time to time), any person entitled to indemnification herein shall no longer be entitled to recover for any Claims and, if an indemnified party previously received a payment from the Company for a Claim, such person shall reimburse the Company, in full, for such previously paid amount.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6.2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indemnified party shall not be subject to any liability for any settlement made by the indemnifying party without its consent (but such consent shall not be unreasonably withheld).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6.3            The indemnification provided for under this Agreement shall remain in full force and effect regardless of any investigation made by or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indemnified party or any officer, director, partners, stockholders or members, employees, agents, investment advisors or controlling person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indemnified party and shall survive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All costs and expenses incurred in connection with this Agreement and the transactions contemplated hereby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by the Company, including all Depositary fees, stamp taxes and other taxes and duties levied in connection with the creation, allotment, and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Class A Ordinary Shares and the sale and issuance of the Purchased ADSs to the Purchaser, and the Company shall file all necessary tax returns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documentation with respect to such fees, taxes and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 will execute and deliver to the other such further documents as may be reasonably requested in order to give practical effect to the intention of the parties under the Transaction Documents.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required or permitted under this Agreement must be in writing and sent to the address identified below. Notices must be given and shall be deemed effective: (a) upon personal delivery, with receipt acknowledged; (b) by prepaid certified or registered mail, return receipt requested; (c) by prepaid reputable overnight delivery service; or (d) when sent, if sent by electronic mail during normal business hours of the recipient, and if sent at a time other than normal business hours of the recipient, then on the next Business Day. Notices shall be effective upon receipt. Any party may change its notice address by providing the other parties with written notice of such change. Notices shall be delivered as follows:</w:t>
      </w:r>
    </w:p>
    <w:tbl>
      <w:tblPr>
        <w:tblLayout w:type="fixed"/>
        <w:tblInd w:w="0" w:type="dxa"/>
        <w:tblCellMar>
          <w:top w:w="0" w:type="dxa"/>
          <w:left w:w="0" w:type="dxa"/>
          <w:bottom w:w="0" w:type="dxa"/>
          <w:right w:w="0" w:type="dxa"/>
        </w:tblCellMar>
      </w:tblPr>
      <w:tr>
        <w:trPr>
          <w:trHeight w:val="200"/>
        </w:trPr>
        <w:tc>
          <w:tcPr>
            <w:tcW w:w="18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 </w:t>
            </w:r>
          </w:p>
        </w:tc>
        <w:tc>
          <w:tcPr>
            <w:tcW w:w="9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Polestar Automotive Holding UK PLC</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Assar Gabrielssons Väg 9, 405 31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Göteborg, Sweden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Attn: Anna Rudensjö, General Counsel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Email: anna.rudensjo@polestar.com</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 a copy to legal@polestar.com</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Alston &amp; Bird LLP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950 F Street NW</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Washington, DC 20004</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Attn: David A. Brown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Email: dave.brown@alston.com</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If to the Purchaser:</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 the address set forth on the signature page hereto for the Purchaser or such other address as may be designated in writing</w:t>
            </w:r>
          </w:p>
        </w:tc>
        <w:tc>
          <w:tcPr>
            <w:tcW w:w="0" w:type="dxa"/>
            <w:vAlign w:val="bottom"/>
          </w:tcPr>
          <w:p>
            <w:pPr>
              <w:spacing w:after="0"/>
              <w:rPr>
                <w:sz w:val="1"/>
                <w:szCs w:val="1"/>
                <w:color w:val="auto"/>
              </w:rPr>
            </w:pPr>
          </w:p>
        </w:tc>
      </w:tr>
      <w:tr>
        <w:trPr>
          <w:trHeight w:val="234"/>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hereafter, in the same manner, by the Purchaser.</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Amendments; Waivers; No Additional Consideration</w:t>
      </w:r>
      <w:r>
        <w:rPr>
          <w:rFonts w:ascii="Times New Roman" w:cs="Times New Roman" w:eastAsia="Times New Roman" w:hAnsi="Times New Roman"/>
          <w:sz w:val="18"/>
          <w:szCs w:val="18"/>
          <w:color w:val="auto"/>
        </w:rPr>
        <w:t>. No amendment or waiver of any provision of this Agreement will be effective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party unless made in writing and signed by a duly authorized representative of such party. No waiver of any default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condition or requirement of this Agreement shall be deemed to be a continuing waiver in the future or a waiver of any subsequent default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of any other provision, condition or requirement hereof, nor shall any delay or omission of any party to exercise any right hereunder in any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 the exercise of any such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7.5          </w:t>
      </w:r>
      <w:r>
        <w:rPr>
          <w:rFonts w:ascii="Times New Roman" w:cs="Times New Roman" w:eastAsia="Times New Roman" w:hAnsi="Times New Roman"/>
          <w:sz w:val="17"/>
          <w:szCs w:val="17"/>
          <w:u w:val="single" w:color="auto"/>
          <w:color w:val="auto"/>
        </w:rPr>
        <w:t>  Construction</w:t>
      </w:r>
      <w:r>
        <w:rPr>
          <w:rFonts w:ascii="Times New Roman" w:cs="Times New Roman" w:eastAsia="Times New Roman" w:hAnsi="Times New Roman"/>
          <w:sz w:val="17"/>
          <w:szCs w:val="17"/>
          <w:color w:val="auto"/>
        </w:rPr>
        <w:t>. The headings herein are for convenience only, do not constitute a part of this Agreement and shall not be deemed to limit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any of the provisions hereof. The language used in this Agreement will be deemed to be the language chosen by the parties to express their mutual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 and no rules of strict construction will be applied against any party. This Agreement shall be construed as if drafted jointly by the parties,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presumption or burden of proof shall arise favoring or disfavoring any party by virtue of the authorship of any provisions of this Agreement or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7.6          </w:t>
      </w:r>
      <w:r>
        <w:rPr>
          <w:rFonts w:ascii="Times New Roman" w:cs="Times New Roman" w:eastAsia="Times New Roman" w:hAnsi="Times New Roman"/>
          <w:sz w:val="17"/>
          <w:szCs w:val="17"/>
          <w:u w:val="single" w:color="auto"/>
          <w:color w:val="auto"/>
        </w:rPr>
        <w:t>  Successors and Assigns</w:t>
      </w:r>
      <w:r>
        <w:rPr>
          <w:rFonts w:ascii="Times New Roman" w:cs="Times New Roman" w:eastAsia="Times New Roman" w:hAnsi="Times New Roman"/>
          <w:sz w:val="17"/>
          <w:szCs w:val="17"/>
          <w:color w:val="auto"/>
        </w:rPr>
        <w:t>. Except as otherwise provided in this Agreement, the provisions of this Agreement shall inure to the benefit of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binding upon the parties and their successors and permitted assigns. This Agreement, or any rights or obligations hereunder, may not be assigned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without the prior written consent of the Purchaser. Except as otherwise provided herein, the Purchaser may assign its rights hereunder in whole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 to any Person to whom the Purchaser assigns or transfers any Purchased ADSs in compliance with the Transaction Documents and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such transferee shall agree in writing to be bound, with respect to the transferred Purchased ADSs, by the terms and conditions of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that apply to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Actions concerning the interpretations, enforcement and defense of the transactions contemplated by this Agreement and any other Transaction Documents (whether brought against a party hereto or its respective Affiliates, employees or agents) shall be commenced exclusively in the U.S. District Court for the Southern District of New York. Each party hereto hereby irrevocably submits to the exclusive jurisdiction of the U.S. District Court for the Southern District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any claim that it is not personally subject to the jurisdiction of the U.S. District Court for the Southern District of New York, or that such Action has been commenced in an improper or inconvenient forum. Each party hereto hereby irrevocably waives personal service of process and consents to process being served in any such Action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PARTY HERETO HEREBY IRREVOCABLY WAIVES, TO THE FULLEST EXTENT PERMITTED BY APPLICABLE LAW, ANY AND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TRIAL BY JURY IN ANY LEGAL ACTION ARISING OUT OF OR RELATING TO THIS AGREEMENT OR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Subject to applicable statute of limitations, the representations, warranties, agreements and covenants contained herein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survive the Closing and the delivery of the Purchased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  </w:t>
      </w:r>
    </w:p>
    <w:p>
      <w:pPr>
        <w:spacing w:after="0" w:line="20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and the Company will be entitled to seek specific performance under the Transaction Documents. The parties agree that monetary damages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adequate compensation for any loss incurred by reason of any breach of obligations contained in the Transaction Documents and hereby agree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 and not to assert in any action for specific performance of any such obligation the defense that a remedy at law would be adequate.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agrees that the Purchaser shall be entitled to seek temporary and permanent injunctive relief in any such case without the necessity of proving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damages and without posting a bond or other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7.13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Each party hereto covenants, agrees and acknowledges that no person other than the Purchaser has obligations hereunder and that no person shall have any remedy, recourse or right of recovery against, or contribution from, any Purchaser Related Party, whether through Purchaser or otherwise, by the enforcement of any assessment or by any legal or equitable proceeding, by virtue of any statute, regulation or applicable law, by or through a claim by or on behalf of Purchaser against any Purchaser Related Party, or otherwise. The term “</w:t>
      </w:r>
      <w:r>
        <w:rPr>
          <w:rFonts w:ascii="Times New Roman" w:cs="Times New Roman" w:eastAsia="Times New Roman" w:hAnsi="Times New Roman"/>
          <w:sz w:val="18"/>
          <w:szCs w:val="18"/>
          <w:i w:val="1"/>
          <w:iCs w:val="1"/>
          <w:color w:val="auto"/>
        </w:rPr>
        <w:t>Purchaser Related Party</w:t>
      </w:r>
      <w:r>
        <w:rPr>
          <w:rFonts w:ascii="Times New Roman" w:cs="Times New Roman" w:eastAsia="Times New Roman" w:hAnsi="Times New Roman"/>
          <w:sz w:val="18"/>
          <w:szCs w:val="18"/>
          <w:color w:val="auto"/>
        </w:rPr>
        <w:t>” means (1) any Affiliate of Purchaser, (2) any former, current or future general or limited partners, members, managers, shareholders, holders of any equity, partnership or limited liability company interest, officers, directors, employees, agents, controlling persons, investment advisors, or assignees of Purchaser or any of its Affiliates, or (3) any former, current or future general or limited partners, members, managers, shareholders, holders of any equity, partnership or limited liability company interest, officers, directors, employees, agents, controlling persons, assignees, investment advisors or Affiliates of any of the foregoing.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signatories as of the date first indicated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bottom w:val="single" w:sz="8" w:color="auto"/>
            </w:tcBorders>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c>
          <w:tcPr>
            <w:tcW w:w="26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bottom w:val="single" w:sz="8" w:color="auto"/>
            </w:tcBorders>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c>
          <w:tcPr>
            <w:tcW w:w="26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20"/>
                <w:szCs w:val="20"/>
                <w:color w:val="auto"/>
              </w:rPr>
            </w:pPr>
          </w:p>
        </w:tc>
        <w:tc>
          <w:tcPr>
            <w:tcW w:w="82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to Securities Purchase Agreement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8"/>
                <w:szCs w:val="18"/>
                <w:color w:val="auto"/>
              </w:rPr>
            </w:pPr>
          </w:p>
        </w:tc>
        <w:tc>
          <w:tcPr>
            <w:tcW w:w="8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gridSpan w:val="2"/>
          </w:tcPr>
          <w:p>
            <w:pPr>
              <w:ind w:left="2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of Purchaser </w:t>
            </w:r>
          </w:p>
        </w:tc>
        <w:tc>
          <w:tcPr>
            <w:tcW w:w="1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Address for notice:</w:t>
            </w: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in which shares are to be registered (if different from above)</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and title of authorized officers (if subscriber is a business entity)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Street</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City</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Zip</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SSN/Tax ID No.:</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City</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Zip</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SSN/Tax ID No.:</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Phone No.:</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E-mail address: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Delivery Instructions, if different from above:</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w:t>
            </w:r>
          </w:p>
        </w:tc>
        <w:tc>
          <w:tcPr>
            <w:tcW w:w="700" w:type="dxa"/>
            <w:vAlign w:val="bottom"/>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6"/>
                <w:szCs w:val="16"/>
                <w:color w:val="auto"/>
              </w:rPr>
            </w:pP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Street:</w:t>
            </w:r>
          </w:p>
        </w:tc>
        <w:tc>
          <w:tcPr>
            <w:tcW w:w="700" w:type="dxa"/>
            <w:vAlign w:val="bottom"/>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6"/>
                <w:szCs w:val="16"/>
                <w:color w:val="auto"/>
              </w:rPr>
            </w:pP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City/State/Zip:</w:t>
            </w:r>
          </w:p>
        </w:tc>
        <w:tc>
          <w:tcPr>
            <w:tcW w:w="700" w:type="dxa"/>
            <w:vAlign w:val="bottom"/>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6"/>
                <w:szCs w:val="16"/>
                <w:color w:val="auto"/>
              </w:rPr>
            </w:pP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Attention:</w:t>
            </w:r>
          </w:p>
        </w:tc>
        <w:tc>
          <w:tcPr>
            <w:tcW w:w="700" w:type="dxa"/>
            <w:vAlign w:val="bottom"/>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6"/>
                <w:szCs w:val="16"/>
                <w:color w:val="auto"/>
              </w:rPr>
            </w:pP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Telephone No.:</w:t>
            </w:r>
          </w:p>
        </w:tc>
        <w:tc>
          <w:tcPr>
            <w:tcW w:w="700" w:type="dxa"/>
            <w:vAlign w:val="bottom"/>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6"/>
                <w:szCs w:val="16"/>
                <w:color w:val="auto"/>
              </w:rPr>
            </w:pP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6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Residency of Purchaser:</w:t>
            </w:r>
          </w:p>
        </w:tc>
        <w:tc>
          <w:tcPr>
            <w:tcW w:w="700" w:type="dxa"/>
            <w:vAlign w:val="bottom"/>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6"/>
                <w:szCs w:val="16"/>
                <w:color w:val="auto"/>
              </w:rPr>
            </w:pPr>
          </w:p>
        </w:tc>
        <w:tc>
          <w:tcPr>
            <w:tcW w:w="9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0</wp:posOffset>
            </wp:positionV>
            <wp:extent cx="1200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to Securities Purchase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t>WIRE INSTRUCTIONS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b w:val="1"/>
          <w:bCs w:val="1"/>
          <w:color w:val="auto"/>
        </w:rPr>
        <w:t>FORM OF OPINION OF ALSTON &amp; BIRD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18"/>
          <w:szCs w:val="18"/>
          <w:b w:val="1"/>
          <w:bCs w:val="1"/>
          <w:color w:val="auto"/>
        </w:rPr>
        <w:t>FORM OF OPINION OF ALSTON &amp; BIRD (CITY)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0" w:type="dxa"/>
            <w:vAlign w:val="bottom"/>
            <w:gridSpan w:val="5"/>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SCHEDULE 3.1(c)</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gridSpan w:val="4"/>
            <w:vMerge w:val="restart"/>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Capitalization</w:t>
            </w: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ADRs issued</w:t>
            </w:r>
          </w:p>
        </w:tc>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73"/>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tcPr>
          <w:p>
            <w:pPr>
              <w:spacing w:after="0"/>
              <w:rPr>
                <w:sz w:val="21"/>
                <w:szCs w:val="21"/>
                <w:color w:val="auto"/>
              </w:rPr>
            </w:pPr>
          </w:p>
        </w:tc>
        <w:tc>
          <w:tcPr>
            <w:tcW w:w="15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SEC ID</w:t>
            </w: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CUSIP</w:t>
            </w:r>
          </w:p>
        </w:tc>
        <w:tc>
          <w:tcPr>
            <w:tcW w:w="900" w:type="dxa"/>
            <w:vAlign w:val="bottom"/>
            <w:gridSpan w:val="3"/>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6/23/2022</w:t>
            </w:r>
          </w:p>
        </w:tc>
        <w:tc>
          <w:tcPr>
            <w:tcW w:w="224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12/31/2025     </w:t>
            </w:r>
          </w:p>
        </w:tc>
        <w:tc>
          <w:tcPr>
            <w:tcW w:w="0" w:type="dxa"/>
            <w:vAlign w:val="bottom"/>
          </w:tcPr>
          <w:p>
            <w:pPr>
              <w:spacing w:after="0"/>
              <w:rPr>
                <w:sz w:val="1"/>
                <w:szCs w:val="1"/>
                <w:color w:val="auto"/>
              </w:rPr>
            </w:pPr>
          </w:p>
        </w:tc>
      </w:tr>
      <w:tr>
        <w:trPr>
          <w:trHeight w:val="223"/>
        </w:trPr>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3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PSNYN</w:t>
            </w: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731105409</w:t>
            </w:r>
          </w:p>
        </w:tc>
        <w:tc>
          <w:tcPr>
            <w:tcW w:w="12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75"/>
              </w:rPr>
              <w:t> </w:t>
            </w: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75"/>
              </w:rPr>
              <w:t> </w:t>
            </w:r>
          </w:p>
        </w:tc>
        <w:tc>
          <w:tcPr>
            <w:tcW w:w="1480" w:type="dxa"/>
            <w:vAlign w:val="bottom"/>
            <w:tcBorders>
              <w:top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w w:val="96"/>
              </w:rPr>
              <w:t>63,734,797</w:t>
            </w:r>
          </w:p>
        </w:tc>
        <w:tc>
          <w:tcPr>
            <w:tcW w:w="20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NASDAQ/CEDE &amp; Co</w:t>
            </w:r>
          </w:p>
        </w:tc>
        <w:tc>
          <w:tcPr>
            <w:tcW w:w="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13,067,873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PSNA5</w:t>
            </w: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color w:val="auto"/>
              </w:rPr>
              <w:t>732105861</w:t>
            </w:r>
            <w:r>
              <w:rPr>
                <w:rFonts w:ascii="Times New Roman" w:cs="Times New Roman" w:eastAsia="Times New Roman" w:hAnsi="Times New Roman"/>
                <w:sz w:val="18"/>
                <w:szCs w:val="18"/>
                <w:b w:val="1"/>
                <w:bCs w:val="1"/>
                <w:color w:val="auto"/>
              </w:rPr>
              <w:t>   </w:t>
            </w:r>
          </w:p>
        </w:tc>
        <w:tc>
          <w:tcPr>
            <w:tcW w:w="39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29,729,911  </w:t>
            </w:r>
            <w:r>
              <w:rPr>
                <w:rFonts w:ascii="Times New Roman" w:cs="Times New Roman" w:eastAsia="Times New Roman" w:hAnsi="Times New Roman"/>
                <w:sz w:val="18"/>
                <w:szCs w:val="18"/>
                <w:color w:val="auto"/>
              </w:rPr>
              <w:t>  CLASS A RESTRICTED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92,400 </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PSNA3</w:t>
            </w:r>
          </w:p>
        </w:tc>
        <w:tc>
          <w:tcPr>
            <w:tcW w:w="1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732105879   </w:t>
            </w:r>
          </w:p>
        </w:tc>
        <w:tc>
          <w:tcPr>
            <w:tcW w:w="12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62,835,557 </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CLASS A RADR</w:t>
            </w: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PSNR2</w:t>
            </w: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color w:val="auto"/>
              </w:rPr>
              <w:t>732105952   </w:t>
            </w:r>
          </w:p>
        </w:tc>
        <w:tc>
          <w:tcPr>
            <w:tcW w:w="1280" w:type="dxa"/>
            <w:vAlign w:val="bottom"/>
          </w:tcPr>
          <w:p>
            <w:pPr>
              <w:spacing w:after="0"/>
              <w:rPr>
                <w:sz w:val="19"/>
                <w:szCs w:val="19"/>
                <w:color w:val="auto"/>
              </w:rPr>
            </w:pPr>
          </w:p>
        </w:tc>
        <w:tc>
          <w:tcPr>
            <w:tcW w:w="224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15,511,892 </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RADR</w:t>
            </w:r>
          </w:p>
        </w:tc>
        <w:tc>
          <w:tcPr>
            <w:tcW w:w="1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PSNB5</w:t>
            </w:r>
          </w:p>
        </w:tc>
        <w:tc>
          <w:tcPr>
            <w:tcW w:w="1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732105887   </w:t>
            </w:r>
          </w:p>
        </w:tc>
        <w:tc>
          <w:tcPr>
            <w:tcW w:w="12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996,419 </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CLASS C-1</w:t>
            </w: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PSNWN</w:t>
            </w: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color w:val="auto"/>
              </w:rPr>
              <w:t>731105607</w:t>
            </w:r>
            <w:r>
              <w:rPr>
                <w:rFonts w:ascii="Times New Roman" w:cs="Times New Roman" w:eastAsia="Times New Roman" w:hAnsi="Times New Roman"/>
                <w:sz w:val="18"/>
                <w:szCs w:val="18"/>
                <w:b w:val="1"/>
                <w:bCs w:val="1"/>
                <w:color w:val="auto"/>
              </w:rPr>
              <w:t>   </w:t>
            </w:r>
          </w:p>
        </w:tc>
        <w:tc>
          <w:tcPr>
            <w:tcW w:w="35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15,999,965  </w:t>
            </w:r>
            <w:r>
              <w:rPr>
                <w:rFonts w:ascii="Times New Roman" w:cs="Times New Roman" w:eastAsia="Times New Roman" w:hAnsi="Times New Roman"/>
                <w:sz w:val="18"/>
                <w:szCs w:val="18"/>
                <w:color w:val="auto"/>
              </w:rPr>
              <w:t>  NASDAQ/ CEDE &amp; Co</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683,332 </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C-2 RADR</w:t>
            </w:r>
          </w:p>
        </w:tc>
        <w:tc>
          <w:tcPr>
            <w:tcW w:w="1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PSNC3</w:t>
            </w:r>
          </w:p>
        </w:tc>
        <w:tc>
          <w:tcPr>
            <w:tcW w:w="1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731105508</w:t>
            </w:r>
            <w:r>
              <w:rPr>
                <w:rFonts w:ascii="Times New Roman" w:cs="Times New Roman" w:eastAsia="Times New Roman" w:hAnsi="Times New Roman"/>
                <w:sz w:val="18"/>
                <w:szCs w:val="18"/>
                <w:b w:val="1"/>
                <w:bCs w:val="1"/>
                <w:color w:val="auto"/>
              </w:rPr>
              <w:t>   </w:t>
            </w:r>
          </w:p>
        </w:tc>
        <w:tc>
          <w:tcPr>
            <w:tcW w:w="12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 </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Class A</w:t>
            </w:r>
          </w:p>
        </w:tc>
        <w:tc>
          <w:tcPr>
            <w:tcW w:w="620" w:type="dxa"/>
            <w:vAlign w:val="bottom"/>
          </w:tcPr>
          <w:p>
            <w:pPr>
              <w:spacing w:after="0"/>
              <w:rPr>
                <w:sz w:val="18"/>
                <w:szCs w:val="18"/>
                <w:color w:val="auto"/>
              </w:rPr>
            </w:pPr>
          </w:p>
        </w:tc>
        <w:tc>
          <w:tcPr>
            <w:tcW w:w="90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3520" w:type="dxa"/>
            <w:vAlign w:val="bottom"/>
            <w:gridSpan w:val="3"/>
          </w:tcPr>
          <w:p>
            <w:pPr>
              <w:jc w:val="right"/>
              <w:ind w:right="1690"/>
              <w:spacing w:after="0"/>
              <w:rPr>
                <w:sz w:val="20"/>
                <w:szCs w:val="20"/>
                <w:color w:val="auto"/>
              </w:rPr>
            </w:pPr>
            <w:r>
              <w:rPr>
                <w:rFonts w:ascii="Times New Roman" w:cs="Times New Roman" w:eastAsia="Times New Roman" w:hAnsi="Times New Roman"/>
                <w:sz w:val="18"/>
                <w:szCs w:val="18"/>
                <w:color w:val="auto"/>
              </w:rPr>
              <w:t>466,801,222     </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91,507,722 </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Class B</w:t>
            </w:r>
          </w:p>
        </w:tc>
        <w:tc>
          <w:tcPr>
            <w:tcW w:w="6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3520" w:type="dxa"/>
            <w:vAlign w:val="bottom"/>
            <w:gridSpan w:val="3"/>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1,642,233,575     </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996,419 </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Class C</w:t>
            </w:r>
          </w:p>
        </w:tc>
        <w:tc>
          <w:tcPr>
            <w:tcW w:w="620" w:type="dxa"/>
            <w:vAlign w:val="bottom"/>
          </w:tcPr>
          <w:p>
            <w:pPr>
              <w:spacing w:after="0"/>
              <w:rPr>
                <w:sz w:val="19"/>
                <w:szCs w:val="19"/>
                <w:color w:val="auto"/>
              </w:rPr>
            </w:pPr>
          </w:p>
        </w:tc>
        <w:tc>
          <w:tcPr>
            <w:tcW w:w="90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3520" w:type="dxa"/>
            <w:vAlign w:val="bottom"/>
            <w:gridSpan w:val="3"/>
          </w:tcPr>
          <w:p>
            <w:pPr>
              <w:jc w:val="right"/>
              <w:ind w:right="1690"/>
              <w:spacing w:after="0"/>
              <w:rPr>
                <w:sz w:val="20"/>
                <w:szCs w:val="20"/>
                <w:color w:val="auto"/>
              </w:rPr>
            </w:pPr>
            <w:r>
              <w:rPr>
                <w:rFonts w:ascii="Times New Roman" w:cs="Times New Roman" w:eastAsia="Times New Roman" w:hAnsi="Times New Roman"/>
                <w:sz w:val="18"/>
                <w:szCs w:val="18"/>
                <w:color w:val="auto"/>
              </w:rPr>
              <w:t>24,999,965     </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833,331 </w:t>
            </w:r>
          </w:p>
        </w:tc>
        <w:tc>
          <w:tcPr>
            <w:tcW w:w="0" w:type="dxa"/>
            <w:vAlign w:val="bottom"/>
          </w:tcPr>
          <w:p>
            <w:pPr>
              <w:spacing w:after="0"/>
              <w:rPr>
                <w:sz w:val="1"/>
                <w:szCs w:val="1"/>
                <w:color w:val="auto"/>
              </w:rPr>
            </w:pPr>
          </w:p>
        </w:tc>
      </w:tr>
      <w:tr>
        <w:trPr>
          <w:trHeight w:val="210"/>
        </w:trPr>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     TOTAL ADSs</w:t>
            </w:r>
          </w:p>
        </w:tc>
        <w:tc>
          <w:tcPr>
            <w:tcW w:w="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w w:val="94"/>
              </w:rPr>
              <w:t>93,337,472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10"/>
    </w:lvl>
  </w:abstractNum>
  <w:abstractNum w:abstractNumId="3">
    <w:nsid w:val="507ED7AB"/>
    <w:multiLevelType w:val="hybridMultilevel"/>
    <w:lvl w:ilvl="0">
      <w:lvlJc w:val="left"/>
      <w:lvlText w:val="(%1)"/>
      <w:numFmt w:val="decimal"/>
      <w:start w:val="2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2026-02-02T07:19:42Z</dcterms:created>
  <dcterms:modified xsi:type="dcterms:W3CDTF">2026-02-02T07:19:42Z</dcterms:modified>
</cp:coreProperties>
</file>