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January 2025</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Assar Gabrielssons Väg 9</w:t>
      </w:r>
    </w:p>
    <w:p>
      <w:pPr>
        <w:spacing w:after="0" w:line="3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405 31 Göteborg, Sweden</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1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On January 9, 2025, Polestar Automotive Holding UK PLC (“Polestar”) issued a press release announcing its preliminary estimates for global volumes for the fourth quarter of 2024. A copy of the press release is attached hereto as Exhibit 99.1.</w:t>
      </w:r>
    </w:p>
    <w:p>
      <w:pPr>
        <w:spacing w:after="0" w:line="162"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Company expects to publish key financial KPIs for the third quarter of 2024 and to make other business and operational announcements on 16 January 2025. Management will host a live webcast on the same date, to provide a business and strategy update. Further details, including a link to the webcast, are available on the Polestar Investor Relations website: </w:t>
      </w:r>
      <w:r>
        <w:rPr>
          <w:rFonts w:ascii="Times New Roman" w:cs="Times New Roman" w:eastAsia="Times New Roman" w:hAnsi="Times New Roman"/>
          <w:sz w:val="18"/>
          <w:szCs w:val="18"/>
          <w:u w:val="single" w:color="auto"/>
          <w:color w:val="auto"/>
        </w:rPr>
        <w:t>www.investors.polestar.com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Exhibit 99.1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0920"/>
          </w:cols>
          <w:pgMar w:left="440" w:top="266" w:right="5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460" w:type="dxa"/>
            <w:vAlign w:val="bottom"/>
          </w:tcPr>
          <w:p>
            <w:pPr>
              <w:spacing w:after="0"/>
              <w:rPr>
                <w:sz w:val="20"/>
                <w:szCs w:val="20"/>
                <w:color w:val="auto"/>
              </w:rPr>
            </w:pPr>
          </w:p>
        </w:tc>
        <w:tc>
          <w:tcPr>
            <w:tcW w:w="5740" w:type="dxa"/>
            <w:vAlign w:val="bottom"/>
          </w:tcPr>
          <w:p>
            <w:pPr>
              <w:ind w:left="33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08"/>
        </w:trPr>
        <w:tc>
          <w:tcPr>
            <w:tcW w:w="1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67"/>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7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of Polestar Automotive Holding UK PLC, dated January 9, 2025.</w:t>
            </w:r>
          </w:p>
        </w:tc>
      </w:tr>
    </w:tbl>
    <w:p>
      <w:pPr>
        <w:spacing w:after="0"/>
        <w:rPr>
          <w:sz w:val="20"/>
          <w:szCs w:val="20"/>
          <w:color w:val="auto"/>
        </w:rPr>
        <w:sectPr>
          <w:pgSz w:w="11900" w:h="16838" w:orient="portrait"/>
          <w:cols w:equalWidth="0" w:num="1">
            <w:col w:w="10019"/>
          </w:cols>
          <w:pgMar w:left="440" w:top="26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74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10, 2025</w:t>
            </w: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Lohscheller</w:t>
            </w:r>
          </w:p>
        </w:tc>
      </w:tr>
      <w:tr>
        <w:trPr>
          <w:trHeight w:val="205"/>
        </w:trPr>
        <w:tc>
          <w:tcPr>
            <w:tcW w:w="3600" w:type="dxa"/>
            <w:vAlign w:val="bottom"/>
          </w:tcPr>
          <w:p>
            <w:pPr>
              <w:spacing w:after="0"/>
              <w:rPr>
                <w:sz w:val="17"/>
                <w:szCs w:val="17"/>
                <w:color w:val="auto"/>
              </w:rPr>
            </w:pPr>
          </w:p>
        </w:tc>
        <w:tc>
          <w:tcPr>
            <w:tcW w:w="2560" w:type="dxa"/>
            <w:vAlign w:val="bottom"/>
          </w:tcPr>
          <w:p>
            <w:pPr>
              <w:ind w:left="19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Michael Lohscheller</w:t>
            </w:r>
          </w:p>
        </w:tc>
      </w:tr>
      <w:tr>
        <w:trPr>
          <w:trHeight w:val="234"/>
        </w:trPr>
        <w:tc>
          <w:tcPr>
            <w:tcW w:w="3600" w:type="dxa"/>
            <w:vAlign w:val="bottom"/>
          </w:tcPr>
          <w:p>
            <w:pPr>
              <w:spacing w:after="0"/>
              <w:rPr>
                <w:sz w:val="20"/>
                <w:szCs w:val="20"/>
                <w:color w:val="auto"/>
              </w:rPr>
            </w:pP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10, 2025</w:t>
            </w: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Jean-François Mady</w:t>
            </w:r>
          </w:p>
        </w:tc>
      </w:tr>
      <w:tr>
        <w:trPr>
          <w:trHeight w:val="205"/>
        </w:trPr>
        <w:tc>
          <w:tcPr>
            <w:tcW w:w="3600" w:type="dxa"/>
            <w:vAlign w:val="bottom"/>
          </w:tcPr>
          <w:p>
            <w:pPr>
              <w:spacing w:after="0"/>
              <w:rPr>
                <w:sz w:val="17"/>
                <w:szCs w:val="17"/>
                <w:color w:val="auto"/>
              </w:rPr>
            </w:pPr>
          </w:p>
        </w:tc>
        <w:tc>
          <w:tcPr>
            <w:tcW w:w="2560" w:type="dxa"/>
            <w:vAlign w:val="bottom"/>
          </w:tcPr>
          <w:p>
            <w:pPr>
              <w:ind w:left="19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Jean-François Mady</w:t>
            </w:r>
          </w:p>
        </w:tc>
      </w:tr>
      <w:tr>
        <w:trPr>
          <w:trHeight w:val="234"/>
        </w:trPr>
        <w:tc>
          <w:tcPr>
            <w:tcW w:w="3600" w:type="dxa"/>
            <w:vAlign w:val="bottom"/>
          </w:tcPr>
          <w:p>
            <w:pPr>
              <w:spacing w:after="0"/>
              <w:rPr>
                <w:sz w:val="20"/>
                <w:szCs w:val="20"/>
                <w:color w:val="auto"/>
              </w:rPr>
            </w:pP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0"/>
          </w:cols>
          <w:pgMar w:left="440" w:top="266"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58293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293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announces global volumes for the fourth quarter</w:t>
      </w:r>
    </w:p>
    <w:p>
      <w:pPr>
        <w:spacing w:after="0" w:line="135" w:lineRule="exact"/>
        <w:rPr>
          <w:sz w:val="20"/>
          <w:szCs w:val="20"/>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sales totalled 12,256 cars in Q4 2024, up 5.3% versus Q4 2023, driven by a growing model line-up</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 intake in Q4 2024 up 37.2% versus Q4 2023, creating strong momentum as we enter 2025</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3 and Polestar 4 represent 56% of order intake in Q4 2024</w:t>
      </w:r>
    </w:p>
    <w:p>
      <w:pPr>
        <w:spacing w:after="0" w:line="22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GOTHENBURG, SWEDEN – 9 January 2025. </w:t>
      </w:r>
      <w:r>
        <w:rPr>
          <w:rFonts w:ascii="Times New Roman" w:cs="Times New Roman" w:eastAsia="Times New Roman" w:hAnsi="Times New Roman"/>
          <w:sz w:val="18"/>
          <w:szCs w:val="18"/>
          <w:color w:val="auto"/>
        </w:rPr>
        <w:t>Polestar (Nasdaq: PSNY) retail sales totalled 12,256 cars in Q4 2024, up 5.3% versus Q4 2023, taking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total retail sales for the full year to 44,851 in 2024, down 15% versus 2023. Total order intake in Q4 2024 increased by 37.2% versus Q4 2023 and by 37.9% for the full year 2024 versus 2023.</w:t>
      </w:r>
    </w:p>
    <w:p>
      <w:pPr>
        <w:spacing w:after="0" w:line="175"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Michael Lohscheller, Polestar CEO, says: “The changes being made to our commercial operations are clearly having a positive impact, as we saw a 5.3% increase in retail sales and a 37.2% increase in order intake compared to the same quarter last year, creating a strong momentum as we enter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Breakdown of retail sales compared to previous period:</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220"/>
        </w:trPr>
        <w:tc>
          <w:tcPr>
            <w:tcW w:w="1780" w:type="dxa"/>
            <w:vAlign w:val="bottom"/>
          </w:tcPr>
          <w:p>
            <w:pPr>
              <w:spacing w:after="0"/>
              <w:rPr>
                <w:sz w:val="19"/>
                <w:szCs w:val="19"/>
                <w:color w:val="auto"/>
              </w:rPr>
            </w:pPr>
          </w:p>
        </w:tc>
        <w:tc>
          <w:tcPr>
            <w:tcW w:w="23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7"/>
              </w:rPr>
              <w:t>Q4 2024</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Q4 2023</w:t>
            </w:r>
          </w:p>
        </w:tc>
        <w:tc>
          <w:tcPr>
            <w:tcW w:w="16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w w:val="98"/>
              </w:rPr>
              <w:t>Change (%)</w:t>
            </w:r>
          </w:p>
        </w:tc>
      </w:tr>
      <w:tr>
        <w:trPr>
          <w:trHeight w:val="23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Retail sales</w:t>
            </w:r>
          </w:p>
        </w:tc>
        <w:tc>
          <w:tcPr>
            <w:tcW w:w="23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12,256</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11,640</w:t>
            </w:r>
          </w:p>
        </w:tc>
        <w:tc>
          <w:tcPr>
            <w:tcW w:w="16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5.3%</w:t>
            </w:r>
          </w:p>
        </w:tc>
      </w:tr>
      <w:tr>
        <w:trPr>
          <w:trHeight w:val="441"/>
        </w:trPr>
        <w:tc>
          <w:tcPr>
            <w:tcW w:w="1780" w:type="dxa"/>
            <w:vAlign w:val="bottom"/>
          </w:tcPr>
          <w:p>
            <w:pPr>
              <w:spacing w:after="0"/>
              <w:rPr>
                <w:sz w:val="24"/>
                <w:szCs w:val="24"/>
                <w:color w:val="auto"/>
              </w:rPr>
            </w:pPr>
          </w:p>
        </w:tc>
        <w:tc>
          <w:tcPr>
            <w:tcW w:w="234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FY 2024</w:t>
            </w:r>
          </w:p>
        </w:tc>
        <w:tc>
          <w:tcPr>
            <w:tcW w:w="202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FY 2023</w:t>
            </w:r>
          </w:p>
        </w:tc>
        <w:tc>
          <w:tcPr>
            <w:tcW w:w="16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w w:val="98"/>
              </w:rPr>
              <w:t>Change (%)</w:t>
            </w:r>
          </w:p>
        </w:tc>
      </w:tr>
      <w:tr>
        <w:trPr>
          <w:trHeight w:val="23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Retail sales</w:t>
            </w:r>
          </w:p>
        </w:tc>
        <w:tc>
          <w:tcPr>
            <w:tcW w:w="23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44,851</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52,796</w:t>
            </w:r>
          </w:p>
        </w:tc>
        <w:tc>
          <w:tcPr>
            <w:tcW w:w="16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-15%</w:t>
            </w:r>
          </w:p>
        </w:tc>
      </w:tr>
    </w:tbl>
    <w:p>
      <w:pPr>
        <w:spacing w:after="0" w:line="198"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To align more closely with sector convention, Polestar has amended its definition of global volumes, with the new definition being retail sales representing sales to end customers. See appendix for adjusted historical figures.</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As previously announced, the Company will publish Q3 key financial KPIs, business and operational highlights on 16 January 2025. Management will host a live webcast on the same date, to provide a business and strategy update. Further details, including a link to the webcast, are available on the Polestar Investor Relations website. Verified shareholders are able to ask questions through the Say Technologies platform, accessible via: </w:t>
      </w:r>
      <w:r>
        <w:rPr>
          <w:rFonts w:ascii="Times New Roman" w:cs="Times New Roman" w:eastAsia="Times New Roman" w:hAnsi="Times New Roman"/>
          <w:sz w:val="18"/>
          <w:szCs w:val="18"/>
          <w:u w:val="single" w:color="auto"/>
          <w:color w:val="auto"/>
        </w:rPr>
        <w:t>https://app.saytechnologies.com/polestar-strategy-business-update</w:t>
      </w:r>
    </w:p>
    <w:p>
      <w:pPr>
        <w:sectPr>
          <w:pgSz w:w="11900" w:h="16838" w:orient="portrait"/>
          <w:cols w:equalWidth="0" w:num="1">
            <w:col w:w="11020"/>
          </w:cols>
          <w:pgMar w:left="440"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illustrates historical differences versus the prior definition:</w:t>
      </w:r>
    </w:p>
    <w:p>
      <w:pPr>
        <w:spacing w:after="0" w:line="233"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1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Restatement for new</w:t>
            </w:r>
          </w:p>
        </w:tc>
        <w:tc>
          <w:tcPr>
            <w:tcW w:w="2500" w:type="dxa"/>
            <w:vAlign w:val="bottom"/>
            <w:gridSpan w:val="3"/>
          </w:tcPr>
          <w:p>
            <w:pPr>
              <w:jc w:val="center"/>
              <w:ind w:left="833"/>
              <w:spacing w:after="0"/>
              <w:rPr>
                <w:sz w:val="20"/>
                <w:szCs w:val="20"/>
                <w:color w:val="auto"/>
              </w:rPr>
            </w:pPr>
            <w:r>
              <w:rPr>
                <w:rFonts w:ascii="Times New Roman" w:cs="Times New Roman" w:eastAsia="Times New Roman" w:hAnsi="Times New Roman"/>
                <w:sz w:val="14"/>
                <w:szCs w:val="14"/>
                <w:b w:val="1"/>
                <w:bCs w:val="1"/>
                <w:color w:val="auto"/>
              </w:rPr>
              <w:t>Published as per previous</w:t>
            </w:r>
          </w:p>
        </w:tc>
        <w:tc>
          <w:tcPr>
            <w:tcW w:w="0" w:type="dxa"/>
            <w:vAlign w:val="bottom"/>
          </w:tcPr>
          <w:p>
            <w:pPr>
              <w:spacing w:after="0"/>
              <w:rPr>
                <w:sz w:val="1"/>
                <w:szCs w:val="1"/>
                <w:color w:val="auto"/>
              </w:rPr>
            </w:pPr>
          </w:p>
        </w:tc>
      </w:tr>
      <w:tr>
        <w:trPr>
          <w:trHeight w:val="173"/>
        </w:trPr>
        <w:tc>
          <w:tcPr>
            <w:tcW w:w="1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Q3 2022</w:t>
            </w:r>
          </w:p>
        </w:tc>
        <w:tc>
          <w:tcPr>
            <w:tcW w:w="2880" w:type="dxa"/>
            <w:vAlign w:val="bottom"/>
            <w:gridSpan w:val="2"/>
          </w:tcPr>
          <w:p>
            <w:pPr>
              <w:jc w:val="center"/>
              <w:ind w:left="1171"/>
              <w:spacing w:after="0"/>
              <w:rPr>
                <w:sz w:val="20"/>
                <w:szCs w:val="20"/>
                <w:color w:val="auto"/>
              </w:rPr>
            </w:pPr>
            <w:r>
              <w:rPr>
                <w:rFonts w:ascii="Times New Roman" w:cs="Times New Roman" w:eastAsia="Times New Roman" w:hAnsi="Times New Roman"/>
                <w:sz w:val="14"/>
                <w:szCs w:val="14"/>
                <w:b w:val="1"/>
                <w:bCs w:val="1"/>
                <w:color w:val="auto"/>
              </w:rPr>
              <w:t>definition (Retail sales) (1)</w:t>
            </w:r>
          </w:p>
        </w:tc>
        <w:tc>
          <w:tcPr>
            <w:tcW w:w="2500" w:type="dxa"/>
            <w:vAlign w:val="bottom"/>
            <w:gridSpan w:val="3"/>
          </w:tcPr>
          <w:p>
            <w:pPr>
              <w:jc w:val="center"/>
              <w:ind w:left="833"/>
              <w:spacing w:after="0"/>
              <w:rPr>
                <w:sz w:val="20"/>
                <w:szCs w:val="20"/>
                <w:color w:val="auto"/>
              </w:rPr>
            </w:pPr>
            <w:r>
              <w:rPr>
                <w:rFonts w:ascii="Times New Roman" w:cs="Times New Roman" w:eastAsia="Times New Roman" w:hAnsi="Times New Roman"/>
                <w:sz w:val="14"/>
                <w:szCs w:val="14"/>
                <w:b w:val="1"/>
                <w:bCs w:val="1"/>
                <w:color w:val="auto"/>
              </w:rPr>
              <w:t>definition (2)(3)</w:t>
            </w:r>
          </w:p>
        </w:tc>
        <w:tc>
          <w:tcPr>
            <w:tcW w:w="0" w:type="dxa"/>
            <w:vAlign w:val="bottom"/>
          </w:tcPr>
          <w:p>
            <w:pPr>
              <w:spacing w:after="0"/>
              <w:rPr>
                <w:sz w:val="1"/>
                <w:szCs w:val="1"/>
                <w:color w:val="auto"/>
              </w:rPr>
            </w:pPr>
          </w:p>
        </w:tc>
      </w:tr>
      <w:tr>
        <w:trPr>
          <w:trHeight w:val="191"/>
        </w:trPr>
        <w:tc>
          <w:tcPr>
            <w:tcW w:w="1900" w:type="dxa"/>
            <w:vAlign w:val="bottom"/>
            <w:vMerge w:val="continue"/>
          </w:tcPr>
          <w:p>
            <w:pPr>
              <w:spacing w:after="0"/>
              <w:rPr>
                <w:sz w:val="16"/>
                <w:szCs w:val="16"/>
                <w:color w:val="auto"/>
              </w:rPr>
            </w:pPr>
          </w:p>
        </w:tc>
        <w:tc>
          <w:tcPr>
            <w:tcW w:w="1260" w:type="dxa"/>
            <w:vAlign w:val="bottom"/>
          </w:tcPr>
          <w:p>
            <w:pPr>
              <w:spacing w:after="0"/>
              <w:rPr>
                <w:sz w:val="16"/>
                <w:szCs w:val="16"/>
                <w:color w:val="auto"/>
              </w:rPr>
            </w:pPr>
          </w:p>
        </w:tc>
        <w:tc>
          <w:tcPr>
            <w:tcW w:w="1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8,393</w:t>
            </w:r>
          </w:p>
        </w:tc>
        <w:tc>
          <w:tcPr>
            <w:tcW w:w="1240" w:type="dxa"/>
            <w:vAlign w:val="bottom"/>
          </w:tcPr>
          <w:p>
            <w:pPr>
              <w:spacing w:after="0"/>
              <w:rPr>
                <w:sz w:val="16"/>
                <w:szCs w:val="16"/>
                <w:color w:val="auto"/>
              </w:rPr>
            </w:pPr>
          </w:p>
        </w:tc>
        <w:tc>
          <w:tcPr>
            <w:tcW w:w="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9,239</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Q4 2022</w:t>
            </w:r>
          </w:p>
        </w:tc>
        <w:tc>
          <w:tcPr>
            <w:tcW w:w="2880" w:type="dxa"/>
            <w:vAlign w:val="bottom"/>
            <w:gridSpan w:val="2"/>
          </w:tcPr>
          <w:p>
            <w:pPr>
              <w:jc w:val="center"/>
              <w:ind w:left="1171"/>
              <w:spacing w:after="0"/>
              <w:rPr>
                <w:sz w:val="20"/>
                <w:szCs w:val="20"/>
                <w:color w:val="auto"/>
              </w:rPr>
            </w:pPr>
            <w:r>
              <w:rPr>
                <w:rFonts w:ascii="Times New Roman" w:cs="Times New Roman" w:eastAsia="Times New Roman" w:hAnsi="Times New Roman"/>
                <w:sz w:val="18"/>
                <w:szCs w:val="18"/>
                <w:color w:val="auto"/>
              </w:rPr>
              <w:t>20,243</w:t>
            </w:r>
          </w:p>
        </w:tc>
        <w:tc>
          <w:tcPr>
            <w:tcW w:w="2200" w:type="dxa"/>
            <w:vAlign w:val="bottom"/>
            <w:gridSpan w:val="2"/>
          </w:tcPr>
          <w:p>
            <w:pPr>
              <w:jc w:val="center"/>
              <w:ind w:left="1133"/>
              <w:spacing w:after="0"/>
              <w:rPr>
                <w:sz w:val="20"/>
                <w:szCs w:val="20"/>
                <w:color w:val="auto"/>
              </w:rPr>
            </w:pPr>
            <w:r>
              <w:rPr>
                <w:rFonts w:ascii="Times New Roman" w:cs="Times New Roman" w:eastAsia="Times New Roman" w:hAnsi="Times New Roman"/>
                <w:sz w:val="18"/>
                <w:szCs w:val="18"/>
                <w:color w:val="auto"/>
              </w:rPr>
              <w:t>21,067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FY 2022</w:t>
            </w:r>
          </w:p>
        </w:tc>
        <w:tc>
          <w:tcPr>
            <w:tcW w:w="2880" w:type="dxa"/>
            <w:vAlign w:val="bottom"/>
            <w:gridSpan w:val="2"/>
          </w:tcPr>
          <w:p>
            <w:pPr>
              <w:jc w:val="center"/>
              <w:ind w:left="1171"/>
              <w:spacing w:after="0"/>
              <w:rPr>
                <w:sz w:val="20"/>
                <w:szCs w:val="20"/>
                <w:color w:val="auto"/>
              </w:rPr>
            </w:pPr>
            <w:r>
              <w:rPr>
                <w:rFonts w:ascii="Times New Roman" w:cs="Times New Roman" w:eastAsia="Times New Roman" w:hAnsi="Times New Roman"/>
                <w:sz w:val="18"/>
                <w:szCs w:val="18"/>
                <w:b w:val="1"/>
                <w:bCs w:val="1"/>
                <w:color w:val="auto"/>
              </w:rPr>
              <w:t>50,510</w:t>
            </w:r>
          </w:p>
        </w:tc>
        <w:tc>
          <w:tcPr>
            <w:tcW w:w="2200" w:type="dxa"/>
            <w:vAlign w:val="bottom"/>
            <w:gridSpan w:val="2"/>
          </w:tcPr>
          <w:p>
            <w:pPr>
              <w:jc w:val="center"/>
              <w:ind w:left="1133"/>
              <w:spacing w:after="0"/>
              <w:rPr>
                <w:sz w:val="20"/>
                <w:szCs w:val="20"/>
                <w:color w:val="auto"/>
              </w:rPr>
            </w:pPr>
            <w:r>
              <w:rPr>
                <w:rFonts w:ascii="Times New Roman" w:cs="Times New Roman" w:eastAsia="Times New Roman" w:hAnsi="Times New Roman"/>
                <w:sz w:val="18"/>
                <w:szCs w:val="18"/>
                <w:b w:val="1"/>
                <w:bCs w:val="1"/>
                <w:color w:val="auto"/>
              </w:rPr>
              <w:t>51,491</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Q1 2023</w:t>
            </w:r>
          </w:p>
        </w:tc>
        <w:tc>
          <w:tcPr>
            <w:tcW w:w="2880" w:type="dxa"/>
            <w:vAlign w:val="bottom"/>
            <w:gridSpan w:val="2"/>
          </w:tcPr>
          <w:p>
            <w:pPr>
              <w:jc w:val="center"/>
              <w:ind w:left="1171"/>
              <w:spacing w:after="0"/>
              <w:rPr>
                <w:sz w:val="20"/>
                <w:szCs w:val="20"/>
                <w:color w:val="auto"/>
              </w:rPr>
            </w:pPr>
            <w:r>
              <w:rPr>
                <w:rFonts w:ascii="Times New Roman" w:cs="Times New Roman" w:eastAsia="Times New Roman" w:hAnsi="Times New Roman"/>
                <w:sz w:val="18"/>
                <w:szCs w:val="18"/>
                <w:color w:val="auto"/>
              </w:rPr>
              <w:t>12,006</w:t>
            </w:r>
          </w:p>
        </w:tc>
        <w:tc>
          <w:tcPr>
            <w:tcW w:w="2200" w:type="dxa"/>
            <w:vAlign w:val="bottom"/>
            <w:gridSpan w:val="2"/>
          </w:tcPr>
          <w:p>
            <w:pPr>
              <w:jc w:val="center"/>
              <w:ind w:left="1133"/>
              <w:spacing w:after="0"/>
              <w:rPr>
                <w:sz w:val="20"/>
                <w:szCs w:val="20"/>
                <w:color w:val="auto"/>
              </w:rPr>
            </w:pPr>
            <w:r>
              <w:rPr>
                <w:rFonts w:ascii="Times New Roman" w:cs="Times New Roman" w:eastAsia="Times New Roman" w:hAnsi="Times New Roman"/>
                <w:sz w:val="18"/>
                <w:szCs w:val="18"/>
                <w:color w:val="auto"/>
              </w:rPr>
              <w:t>12,076</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Q2 2023</w:t>
            </w:r>
          </w:p>
        </w:tc>
        <w:tc>
          <w:tcPr>
            <w:tcW w:w="2880" w:type="dxa"/>
            <w:vAlign w:val="bottom"/>
            <w:gridSpan w:val="2"/>
          </w:tcPr>
          <w:p>
            <w:pPr>
              <w:jc w:val="center"/>
              <w:ind w:left="1171"/>
              <w:spacing w:after="0"/>
              <w:rPr>
                <w:sz w:val="20"/>
                <w:szCs w:val="20"/>
                <w:color w:val="auto"/>
              </w:rPr>
            </w:pPr>
            <w:r>
              <w:rPr>
                <w:rFonts w:ascii="Times New Roman" w:cs="Times New Roman" w:eastAsia="Times New Roman" w:hAnsi="Times New Roman"/>
                <w:sz w:val="18"/>
                <w:szCs w:val="18"/>
                <w:color w:val="auto"/>
              </w:rPr>
              <w:t>15,485</w:t>
            </w:r>
          </w:p>
        </w:tc>
        <w:tc>
          <w:tcPr>
            <w:tcW w:w="2200" w:type="dxa"/>
            <w:vAlign w:val="bottom"/>
            <w:gridSpan w:val="2"/>
          </w:tcPr>
          <w:p>
            <w:pPr>
              <w:jc w:val="center"/>
              <w:ind w:left="1133"/>
              <w:spacing w:after="0"/>
              <w:rPr>
                <w:sz w:val="20"/>
                <w:szCs w:val="20"/>
                <w:color w:val="auto"/>
              </w:rPr>
            </w:pPr>
            <w:r>
              <w:rPr>
                <w:rFonts w:ascii="Times New Roman" w:cs="Times New Roman" w:eastAsia="Times New Roman" w:hAnsi="Times New Roman"/>
                <w:sz w:val="18"/>
                <w:szCs w:val="18"/>
                <w:color w:val="auto"/>
              </w:rPr>
              <w:t>15,792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Q3 2023</w:t>
            </w:r>
          </w:p>
        </w:tc>
        <w:tc>
          <w:tcPr>
            <w:tcW w:w="2880" w:type="dxa"/>
            <w:vAlign w:val="bottom"/>
            <w:gridSpan w:val="2"/>
          </w:tcPr>
          <w:p>
            <w:pPr>
              <w:jc w:val="center"/>
              <w:ind w:left="1171"/>
              <w:spacing w:after="0"/>
              <w:rPr>
                <w:sz w:val="20"/>
                <w:szCs w:val="20"/>
                <w:color w:val="auto"/>
              </w:rPr>
            </w:pPr>
            <w:r>
              <w:rPr>
                <w:rFonts w:ascii="Times New Roman" w:cs="Times New Roman" w:eastAsia="Times New Roman" w:hAnsi="Times New Roman"/>
                <w:sz w:val="18"/>
                <w:szCs w:val="18"/>
                <w:color w:val="auto"/>
              </w:rPr>
              <w:t>13,666</w:t>
            </w:r>
          </w:p>
        </w:tc>
        <w:tc>
          <w:tcPr>
            <w:tcW w:w="2200" w:type="dxa"/>
            <w:vAlign w:val="bottom"/>
            <w:gridSpan w:val="2"/>
          </w:tcPr>
          <w:p>
            <w:pPr>
              <w:jc w:val="center"/>
              <w:ind w:left="1133"/>
              <w:spacing w:after="0"/>
              <w:rPr>
                <w:sz w:val="20"/>
                <w:szCs w:val="20"/>
                <w:color w:val="auto"/>
              </w:rPr>
            </w:pPr>
            <w:r>
              <w:rPr>
                <w:rFonts w:ascii="Times New Roman" w:cs="Times New Roman" w:eastAsia="Times New Roman" w:hAnsi="Times New Roman"/>
                <w:sz w:val="18"/>
                <w:szCs w:val="18"/>
                <w:color w:val="auto"/>
              </w:rPr>
              <w:t>13,976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Q4 2023</w:t>
            </w:r>
          </w:p>
        </w:tc>
        <w:tc>
          <w:tcPr>
            <w:tcW w:w="2880" w:type="dxa"/>
            <w:vAlign w:val="bottom"/>
            <w:gridSpan w:val="2"/>
          </w:tcPr>
          <w:p>
            <w:pPr>
              <w:jc w:val="center"/>
              <w:ind w:left="1151"/>
              <w:spacing w:after="0"/>
              <w:rPr>
                <w:sz w:val="20"/>
                <w:szCs w:val="20"/>
                <w:color w:val="auto"/>
              </w:rPr>
            </w:pPr>
            <w:r>
              <w:rPr>
                <w:rFonts w:ascii="Times New Roman" w:cs="Times New Roman" w:eastAsia="Times New Roman" w:hAnsi="Times New Roman"/>
                <w:sz w:val="18"/>
                <w:szCs w:val="18"/>
                <w:color w:val="auto"/>
                <w:w w:val="96"/>
              </w:rPr>
              <w:t>11,641</w:t>
            </w:r>
          </w:p>
        </w:tc>
        <w:tc>
          <w:tcPr>
            <w:tcW w:w="2200" w:type="dxa"/>
            <w:vAlign w:val="bottom"/>
            <w:gridSpan w:val="2"/>
          </w:tcPr>
          <w:p>
            <w:pPr>
              <w:jc w:val="center"/>
              <w:ind w:left="1133"/>
              <w:spacing w:after="0"/>
              <w:rPr>
                <w:sz w:val="20"/>
                <w:szCs w:val="20"/>
                <w:color w:val="auto"/>
              </w:rPr>
            </w:pPr>
            <w:r>
              <w:rPr>
                <w:rFonts w:ascii="Times New Roman" w:cs="Times New Roman" w:eastAsia="Times New Roman" w:hAnsi="Times New Roman"/>
                <w:sz w:val="18"/>
                <w:szCs w:val="18"/>
                <w:color w:val="auto"/>
              </w:rPr>
              <w:t>12,782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FY 2023</w:t>
            </w:r>
          </w:p>
        </w:tc>
        <w:tc>
          <w:tcPr>
            <w:tcW w:w="2880" w:type="dxa"/>
            <w:vAlign w:val="bottom"/>
            <w:gridSpan w:val="2"/>
          </w:tcPr>
          <w:p>
            <w:pPr>
              <w:jc w:val="center"/>
              <w:ind w:left="1171"/>
              <w:spacing w:after="0"/>
              <w:rPr>
                <w:sz w:val="20"/>
                <w:szCs w:val="20"/>
                <w:color w:val="auto"/>
              </w:rPr>
            </w:pPr>
            <w:r>
              <w:rPr>
                <w:rFonts w:ascii="Times New Roman" w:cs="Times New Roman" w:eastAsia="Times New Roman" w:hAnsi="Times New Roman"/>
                <w:sz w:val="18"/>
                <w:szCs w:val="18"/>
                <w:b w:val="1"/>
                <w:bCs w:val="1"/>
                <w:color w:val="auto"/>
              </w:rPr>
              <w:t>52,798</w:t>
            </w:r>
          </w:p>
        </w:tc>
        <w:tc>
          <w:tcPr>
            <w:tcW w:w="2200" w:type="dxa"/>
            <w:vAlign w:val="bottom"/>
            <w:gridSpan w:val="2"/>
          </w:tcPr>
          <w:p>
            <w:pPr>
              <w:jc w:val="center"/>
              <w:ind w:left="1133"/>
              <w:spacing w:after="0"/>
              <w:rPr>
                <w:sz w:val="20"/>
                <w:szCs w:val="20"/>
                <w:color w:val="auto"/>
              </w:rPr>
            </w:pPr>
            <w:r>
              <w:rPr>
                <w:rFonts w:ascii="Times New Roman" w:cs="Times New Roman" w:eastAsia="Times New Roman" w:hAnsi="Times New Roman"/>
                <w:sz w:val="18"/>
                <w:szCs w:val="18"/>
                <w:b w:val="1"/>
                <w:bCs w:val="1"/>
                <w:color w:val="auto"/>
              </w:rPr>
              <w:t>54,626</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Q1 2024</w:t>
            </w:r>
          </w:p>
        </w:tc>
        <w:tc>
          <w:tcPr>
            <w:tcW w:w="2880" w:type="dxa"/>
            <w:vAlign w:val="bottom"/>
            <w:gridSpan w:val="2"/>
          </w:tcPr>
          <w:p>
            <w:pPr>
              <w:jc w:val="center"/>
              <w:ind w:left="1151"/>
              <w:spacing w:after="0"/>
              <w:rPr>
                <w:sz w:val="20"/>
                <w:szCs w:val="20"/>
                <w:color w:val="auto"/>
              </w:rPr>
            </w:pPr>
            <w:r>
              <w:rPr>
                <w:rFonts w:ascii="Times New Roman" w:cs="Times New Roman" w:eastAsia="Times New Roman" w:hAnsi="Times New Roman"/>
                <w:sz w:val="18"/>
                <w:szCs w:val="18"/>
                <w:color w:val="auto"/>
                <w:w w:val="98"/>
              </w:rPr>
              <w:t>6,975</w:t>
            </w:r>
          </w:p>
        </w:tc>
        <w:tc>
          <w:tcPr>
            <w:tcW w:w="2200" w:type="dxa"/>
            <w:vAlign w:val="bottom"/>
            <w:gridSpan w:val="2"/>
          </w:tcPr>
          <w:p>
            <w:pPr>
              <w:jc w:val="center"/>
              <w:ind w:left="1133"/>
              <w:spacing w:after="0"/>
              <w:rPr>
                <w:sz w:val="20"/>
                <w:szCs w:val="20"/>
                <w:color w:val="auto"/>
              </w:rPr>
            </w:pPr>
            <w:r>
              <w:rPr>
                <w:rFonts w:ascii="Times New Roman" w:cs="Times New Roman" w:eastAsia="Times New Roman" w:hAnsi="Times New Roman"/>
                <w:sz w:val="18"/>
                <w:szCs w:val="18"/>
                <w:color w:val="auto"/>
              </w:rPr>
              <w:t>7,217</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Q2 2024</w:t>
            </w:r>
          </w:p>
        </w:tc>
        <w:tc>
          <w:tcPr>
            <w:tcW w:w="2880" w:type="dxa"/>
            <w:vAlign w:val="bottom"/>
            <w:gridSpan w:val="2"/>
          </w:tcPr>
          <w:p>
            <w:pPr>
              <w:jc w:val="center"/>
              <w:ind w:left="1171"/>
              <w:spacing w:after="0"/>
              <w:rPr>
                <w:sz w:val="20"/>
                <w:szCs w:val="20"/>
                <w:color w:val="auto"/>
              </w:rPr>
            </w:pPr>
            <w:r>
              <w:rPr>
                <w:rFonts w:ascii="Times New Roman" w:cs="Times New Roman" w:eastAsia="Times New Roman" w:hAnsi="Times New Roman"/>
                <w:sz w:val="18"/>
                <w:szCs w:val="18"/>
                <w:color w:val="auto"/>
              </w:rPr>
              <w:t>13,072</w:t>
            </w:r>
          </w:p>
        </w:tc>
        <w:tc>
          <w:tcPr>
            <w:tcW w:w="2200" w:type="dxa"/>
            <w:vAlign w:val="bottom"/>
            <w:gridSpan w:val="2"/>
          </w:tcPr>
          <w:p>
            <w:pPr>
              <w:jc w:val="center"/>
              <w:ind w:left="1133"/>
              <w:spacing w:after="0"/>
              <w:rPr>
                <w:sz w:val="20"/>
                <w:szCs w:val="20"/>
                <w:color w:val="auto"/>
              </w:rPr>
            </w:pPr>
            <w:r>
              <w:rPr>
                <w:rFonts w:ascii="Times New Roman" w:cs="Times New Roman" w:eastAsia="Times New Roman" w:hAnsi="Times New Roman"/>
                <w:sz w:val="18"/>
                <w:szCs w:val="18"/>
                <w:color w:val="auto"/>
              </w:rPr>
              <w:t>13,026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Q3 2024</w:t>
            </w:r>
          </w:p>
        </w:tc>
        <w:tc>
          <w:tcPr>
            <w:tcW w:w="2880" w:type="dxa"/>
            <w:vAlign w:val="bottom"/>
            <w:gridSpan w:val="2"/>
          </w:tcPr>
          <w:p>
            <w:pPr>
              <w:jc w:val="center"/>
              <w:ind w:left="1171"/>
              <w:spacing w:after="0"/>
              <w:rPr>
                <w:sz w:val="20"/>
                <w:szCs w:val="20"/>
                <w:color w:val="auto"/>
              </w:rPr>
            </w:pPr>
            <w:r>
              <w:rPr>
                <w:rFonts w:ascii="Times New Roman" w:cs="Times New Roman" w:eastAsia="Times New Roman" w:hAnsi="Times New Roman"/>
                <w:sz w:val="18"/>
                <w:szCs w:val="18"/>
                <w:color w:val="auto"/>
              </w:rPr>
              <w:t>12,548</w:t>
            </w:r>
          </w:p>
        </w:tc>
        <w:tc>
          <w:tcPr>
            <w:tcW w:w="2200" w:type="dxa"/>
            <w:vAlign w:val="bottom"/>
            <w:gridSpan w:val="2"/>
          </w:tcPr>
          <w:p>
            <w:pPr>
              <w:jc w:val="center"/>
              <w:ind w:left="1133"/>
              <w:spacing w:after="0"/>
              <w:rPr>
                <w:sz w:val="20"/>
                <w:szCs w:val="20"/>
                <w:color w:val="auto"/>
              </w:rPr>
            </w:pPr>
            <w:r>
              <w:rPr>
                <w:rFonts w:ascii="Times New Roman" w:cs="Times New Roman" w:eastAsia="Times New Roman" w:hAnsi="Times New Roman"/>
                <w:sz w:val="18"/>
                <w:szCs w:val="18"/>
                <w:color w:val="auto"/>
              </w:rPr>
              <w:t>11,938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Q4 2024</w:t>
            </w:r>
          </w:p>
        </w:tc>
        <w:tc>
          <w:tcPr>
            <w:tcW w:w="2880" w:type="dxa"/>
            <w:vAlign w:val="bottom"/>
            <w:gridSpan w:val="2"/>
          </w:tcPr>
          <w:p>
            <w:pPr>
              <w:jc w:val="center"/>
              <w:ind w:left="1171"/>
              <w:spacing w:after="0"/>
              <w:rPr>
                <w:sz w:val="20"/>
                <w:szCs w:val="20"/>
                <w:color w:val="auto"/>
              </w:rPr>
            </w:pPr>
            <w:r>
              <w:rPr>
                <w:rFonts w:ascii="Times New Roman" w:cs="Times New Roman" w:eastAsia="Times New Roman" w:hAnsi="Times New Roman"/>
                <w:sz w:val="18"/>
                <w:szCs w:val="18"/>
                <w:color w:val="auto"/>
              </w:rPr>
              <w:t>12,256</w:t>
            </w:r>
          </w:p>
        </w:tc>
        <w:tc>
          <w:tcPr>
            <w:tcW w:w="2200" w:type="dxa"/>
            <w:vAlign w:val="bottom"/>
            <w:gridSpan w:val="2"/>
          </w:tcPr>
          <w:p>
            <w:pPr>
              <w:jc w:val="center"/>
              <w:ind w:left="1133"/>
              <w:spacing w:after="0"/>
              <w:rPr>
                <w:sz w:val="20"/>
                <w:szCs w:val="20"/>
                <w:color w:val="auto"/>
              </w:rPr>
            </w:pPr>
            <w:r>
              <w:rPr>
                <w:rFonts w:ascii="Times New Roman" w:cs="Times New Roman" w:eastAsia="Times New Roman" w:hAnsi="Times New Roman"/>
                <w:sz w:val="18"/>
                <w:szCs w:val="18"/>
                <w:color w:val="auto"/>
              </w:rPr>
              <w:t>12,277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FY 2024</w:t>
            </w:r>
          </w:p>
        </w:tc>
        <w:tc>
          <w:tcPr>
            <w:tcW w:w="2880" w:type="dxa"/>
            <w:vAlign w:val="bottom"/>
            <w:gridSpan w:val="2"/>
          </w:tcPr>
          <w:p>
            <w:pPr>
              <w:jc w:val="center"/>
              <w:ind w:left="1171"/>
              <w:spacing w:after="0"/>
              <w:rPr>
                <w:sz w:val="20"/>
                <w:szCs w:val="20"/>
                <w:color w:val="auto"/>
              </w:rPr>
            </w:pPr>
            <w:r>
              <w:rPr>
                <w:rFonts w:ascii="Times New Roman" w:cs="Times New Roman" w:eastAsia="Times New Roman" w:hAnsi="Times New Roman"/>
                <w:sz w:val="18"/>
                <w:szCs w:val="18"/>
                <w:b w:val="1"/>
                <w:bCs w:val="1"/>
                <w:color w:val="auto"/>
              </w:rPr>
              <w:t>44,851</w:t>
            </w:r>
          </w:p>
        </w:tc>
        <w:tc>
          <w:tcPr>
            <w:tcW w:w="2200" w:type="dxa"/>
            <w:vAlign w:val="bottom"/>
            <w:gridSpan w:val="2"/>
          </w:tcPr>
          <w:p>
            <w:pPr>
              <w:jc w:val="center"/>
              <w:ind w:left="1133"/>
              <w:spacing w:after="0"/>
              <w:rPr>
                <w:sz w:val="20"/>
                <w:szCs w:val="20"/>
                <w:color w:val="auto"/>
              </w:rPr>
            </w:pPr>
            <w:r>
              <w:rPr>
                <w:rFonts w:ascii="Times New Roman" w:cs="Times New Roman" w:eastAsia="Times New Roman" w:hAnsi="Times New Roman"/>
                <w:sz w:val="18"/>
                <w:szCs w:val="18"/>
                <w:b w:val="1"/>
                <w:bCs w:val="1"/>
                <w:color w:val="auto"/>
              </w:rPr>
              <w:t>44,458</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960" w:hanging="532"/>
        <w:spacing w:after="0" w:line="261" w:lineRule="auto"/>
        <w:tabs>
          <w:tab w:leader="none" w:pos="9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Retail Sales figures, which the Company publishes quarterly from now on, are sales to end customers. Retail Sales include new cars handed over via all sales channels and all sale types, including but not restricted to internal, fleet, retail, rental and leaseholders’ channels across all markets irrespective of their market model and setup and may or may not generate direct revenue for Polestar. These handover figures are comparable to the retail sales figures reported by our competitors.</w:t>
      </w:r>
    </w:p>
    <w:p>
      <w:pPr>
        <w:sectPr>
          <w:pgSz w:w="11900" w:h="16838" w:orient="portrait"/>
          <w:cols w:equalWidth="0" w:num="1">
            <w:col w:w="11000"/>
          </w:cols>
          <w:pgMar w:left="440" w:top="266" w:right="459" w:bottom="1440" w:gutter="0" w:footer="0" w:header="0"/>
        </w:sectPr>
      </w:pPr>
    </w:p>
    <w:bookmarkStart w:id="6" w:name="page7"/>
    <w:bookmarkEnd w:id="6"/>
    <w:p>
      <w:pPr>
        <w:ind w:left="960" w:hanging="532"/>
        <w:spacing w:after="0" w:line="257" w:lineRule="auto"/>
        <w:tabs>
          <w:tab w:leader="none" w:pos="9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Represents the sum of total volume of vehicles delivered for (a) external sales of new vehicles without repurchase obligations, (b) external sales of vehicles with repurchase obligations, and (c) internal use vehicles for demonstration and commercial purposes or to be used by Polestar employees (vehicles are owned by Polestar and included in inventory). A vehicle is deemed delivered and included in the volume figure for each category once invoiced and registered to the external or internal counterparty, irrespective of revenue recognition. Revenue is recognized in scenarios (a) and (b) in accordance with IFRS 15, Revenue from Contracts with Customers (“IFRS 15”), and IFRS 16, Leases (“IFRS 16”), respectively. Revenue is not recognized in scenario (c).</w:t>
      </w:r>
    </w:p>
    <w:p>
      <w:pPr>
        <w:spacing w:after="0" w:line="87" w:lineRule="exact"/>
        <w:rPr>
          <w:rFonts w:ascii="Times New Roman" w:cs="Times New Roman" w:eastAsia="Times New Roman" w:hAnsi="Times New Roman"/>
          <w:sz w:val="18"/>
          <w:szCs w:val="18"/>
          <w:i w:val="1"/>
          <w:iCs w:val="1"/>
          <w:color w:val="auto"/>
        </w:rPr>
      </w:pPr>
    </w:p>
    <w:p>
      <w:pPr>
        <w:ind w:left="960" w:right="280" w:hanging="532"/>
        <w:spacing w:after="0" w:line="284" w:lineRule="auto"/>
        <w:tabs>
          <w:tab w:leader="none" w:pos="9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figures in this column reflect actual sales volumes calculated using the former global volumes definition described in Note 2 above and may, for certain periods, differ slightly to previously reported figures due to rounding.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Theo Kjellberg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Corporate Communication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Theo.kjellberg@polestar.com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Polestar</w:t>
      </w:r>
    </w:p>
    <w:p>
      <w:pPr>
        <w:spacing w:after="0" w:line="11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Polestar (Nasdaq: PSNY) is the Swedish electric performance car brand determined to improve society by using design and technology to accelerate the shift to sustainable mobility. Headquartered in Gothenburg, Sweden, its cars are available in 27 markets globally across North America, Europe and Asia Pacific. Polestar is scheduled to expand into additional markets in 2025.</w:t>
      </w:r>
    </w:p>
    <w:p>
      <w:pPr>
        <w:spacing w:after="0" w:line="173"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Polestar has three models in its line-up: Polestar 2, an electric performance fastback; Polestar 3, the SUV for the electric age; and Polestar 4, the SUV coupé transformed. With plans to have a line-up of five performance EVs by 2026, Polestar 5, an electric four-door GT and Polestar 6, an electric roadster, are coming soon.</w:t>
      </w:r>
    </w:p>
    <w:p>
      <w:pPr>
        <w:spacing w:after="0" w:line="173" w:lineRule="exact"/>
        <w:rPr>
          <w:sz w:val="20"/>
          <w:szCs w:val="20"/>
          <w:color w:val="auto"/>
        </w:rPr>
      </w:pPr>
    </w:p>
    <w:p>
      <w:pPr>
        <w:jc w:val="both"/>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The Polestar 0 project supports the company’s ambitious goal of creating a truly climate-neutral production car by 2030. The research initiative also aims to create a sense of urgency to act on the climate crisis, by challenging employees, suppliers and the wider automotive industry, to drive towards zero.</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including the number of vehicle deliveries and gross margin. For example, projections of revenue, volumes, margins, cash flow break-even and other financial or operating metrics and statements regarding expectations of future needs for funding and plans related thereto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8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 ( (1) Polestar’s ability to enter into or maintain agreements or partnerships with its strategic partners, including Volvo Cars, Geely and Xingji Mezu Group, original equipment manufacturers, vendors and technology</w:t>
      </w:r>
    </w:p>
    <w:p>
      <w:pPr>
        <w:sectPr>
          <w:pgSz w:w="11900" w:h="16838" w:orient="portrait"/>
          <w:cols w:equalWidth="0" w:num="1">
            <w:col w:w="10980"/>
          </w:cols>
          <w:pgMar w:left="440" w:top="268" w:right="479" w:bottom="1440" w:gutter="0" w:footer="0" w:header="0"/>
        </w:sectPr>
      </w:pPr>
    </w:p>
    <w:bookmarkStart w:id="7" w:name="page8"/>
    <w:bookmarkEnd w:id="7"/>
    <w:p>
      <w:pPr>
        <w:ind w:left="4" w:right="60"/>
        <w:spacing w:after="0" w:line="25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providers; (2) Polestar’s ability to maintain relationships with its existing suppliers, source new suppliers for its critical components and enter into longer term supply contracts and complete building out its supply chain; (3) Polestar’s ability to raise additional funding; (4) Polestar’s ability to successfully execute cost-cutting activities and strategic efficiency initiatives; (5) Polestar’s estimates of expenses, profitability, gross margin, cash flow, and cash reserves; (6) the identification and remediation of accounting errors and/or a final assessment of errors already identified that differs significantly from Polestar’s preliminary view of such errors and the successful filing of restatements of any SEC reports; (7) Polestar’s ability to continue to meet stock exchange listing standards; (8) changes in domestic and foreign business, market, financial, political and legal conditions;</w:t>
      </w:r>
    </w:p>
    <w:p>
      <w:pPr>
        <w:spacing w:after="0" w:line="2" w:lineRule="exact"/>
        <w:rPr>
          <w:sz w:val="20"/>
          <w:szCs w:val="20"/>
          <w:color w:val="auto"/>
        </w:rPr>
      </w:pPr>
    </w:p>
    <w:p>
      <w:pPr>
        <w:ind w:left="4" w:hanging="4"/>
        <w:spacing w:after="0" w:line="251" w:lineRule="auto"/>
        <w:tabs>
          <w:tab w:leader="none" w:pos="259"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demand for Polestar’s vehicles or car sale volumes, revenue and margin development based on pricing, variant and market mix, cost reduction efficiencies, logistics and growing aftersales; (10) delays in the expected timelines for the development, design, manufacture, launch and financing of Polestar’s vehicles and Polestar’s reliance on a limited number of vehicle models to generate revenues; (11) increases in costs, disruption of supply or shortage of materials, in particular for lithium-ion cells or semiconductors; (12) risks related to product recalls, regulatory fines and/or an unexpectedly high volume of warranty claims; (13) 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volumes; (14) the ability of Polestar to grow and manage growth profitably, maintain relationships with customers and suppliers and retain its management and key employes; (15) risks related to future market adoption of Polestar’s offerings; (16) risks related to Polestar’s current distribution model and the evolution of its distribution model in the future; (17) the effects of competition and the high barriers to entry in the automotive industry and the pace and depth of electric vehicle adoption generally on Polestar’s future business; (18) changes in regulatory requirements (including environmental laws and regulations and regulations related to connected vehicles), governmental incentives, tariffs and fuel and energy prices; (19) Polestar’s reliance on the development of vehicle charging networks to provide charging solutions for its vehicles and its strategic partners for servicing its vehicles and their integrated software; (20) Polestar’s ability to establish its brand and capture additional market share, and the risks associated with negative press or reputational harm, including from electric vehicle fires; (21) the outcome of any potential litigation, including litigation involving Polestar and Gores Guggenheim, Inc., government and regulatory proceedings, tax audits, investigations and inquiries; (22) Polestar’s ability to continuously and rapidly innovate, develop and market new products; (23) the impact of the ongoing conflict between Ukraine and Russia and in Israel, the Gaza Strip and the Red Sea; and (24)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w:t>
      </w:r>
    </w:p>
    <w:p>
      <w:pPr>
        <w:spacing w:after="0" w:line="186"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i w:val="1"/>
          <w:iCs w:val="1"/>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 except as may be required by law.</w:t>
      </w:r>
    </w:p>
    <w:sectPr>
      <w:pgSz w:w="11900" w:h="16838" w:orient="portrait"/>
      <w:cols w:equalWidth="0" w:num="1">
        <w:col w:w="11004"/>
      </w:cols>
      <w:pgMar w:left="436" w:top="26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2025-01-10T05:12:12Z</dcterms:created>
  <dcterms:modified xsi:type="dcterms:W3CDTF">2025-01-10T05:12:12Z</dcterms:modified>
</cp:coreProperties>
</file>