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333-266101</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7</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Prospectus dated September 22, 2022)</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2,203,977,609 CLASS A ADSs,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24,999,965 CLASS A ADSs ISSUABLE UPON CONVERSION OF CLASS C ADSs AND</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UP TO 9,000,000 CLASS C-2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September 22, 2022 (the “Prospectus”), which forms a part of a registration statement on Form F-1 (Registration No. 333-266101), related to the offer and sale from time to time by the selling securityholders named in the Prospectus of up to (a) 2,228,977,574 Class A ADSs and (b) 9,000,000 Class C-2 ADSs. Specifically, this prospectus supplement is being filed to update and supplement the information included in the Prospectus with the information contained in our Report on Form 6-K submitted to the U.S. Securities and Exchange Commission (the “SEC”) on January 9, 2023.</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Class A ADSs and Class C-1 ADSs are listed on the Nasdaq Stock Market LLC (“Nasdaq”), under the trading symbols “PSNY” and “PSNYW,” respectively. On January 6, 2023, the closing price for our Class A ADSs on Nasdaq was $5.65. On January 6, 2023, the closing price for our Class C-1 ADSs on Nasdaq was $1.12.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217805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right="16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carefully review the risks and uncertainties described under the heading “Risk Factors” beginning on page 14 of the Prospectus before you make an investment in the securities.</w:t>
      </w:r>
    </w:p>
    <w:p>
      <w:pPr>
        <w:spacing w:after="0" w:line="176"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or foreign securities commission has approved or disapproved of these securities or determined if this prospectus supplement or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198120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prospectus supplement is dated January 9, 2023</w:t>
      </w:r>
    </w:p>
    <w:p>
      <w:pPr>
        <w:sectPr>
          <w:pgSz w:w="11900" w:h="16838" w:orient="portrait"/>
          <w:cols w:equalWidth="0" w:num="1">
            <w:col w:w="11020"/>
          </w:cols>
          <w:pgMar w:left="440" w:top="225" w:right="439" w:bottom="1440" w:gutter="0" w:footer="0" w:header="0"/>
        </w:sectPr>
      </w:pPr>
    </w:p>
    <w:bookmarkStart w:id="1" w:name="page2"/>
    <w:bookmarkEnd w:id="1"/>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January 2023</w:t>
      </w:r>
    </w:p>
    <w:p>
      <w:pPr>
        <w:spacing w:after="0" w:line="2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0"/>
          <w:szCs w:val="20"/>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416"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On January 9, 2023, Polestar Automotive Holding UK PLC (“Polestar”) issued a press release announcing its preliminary estimated global volumes for the fourth quarter of 2022 and confirming that it achieved its 2022 global volumes target with approximately 51,500 vehicles delivered. Polestar also announced its preliminary estimates for global deliveries in 2023.</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Polestar expects to release preliminary estimates for its financial results for the year ended December 31, 2022 on Thursday, March 2, 2023, before market opening in the United States of America. These unaudited preliminary estimates are based on Polestar management’s current best estimates and are subject to risks and uncertainties. Polestar’s independent registered public accounting firm, Deloitte AB (“Deloitte”), has not audited, reviewed, compiled or performed any procedures with respect to any of the unaudited preliminary estimated information. Accordingly, Deloitte does not express an opinion or any other form of assurance with respect thereto. Polestar’s audited financial statements for the year ended December 31, 2022 will be included in the Annual Report on Form 20-F to be filed by the end of April 2023. Polestar’s Chief Executive Officer and Chief Financial Officer expect to hold a live audio webcast in connection with the publication of these unaudited preliminary estimated results on Thursday, March 2, 2023 at 08:00 ET (14:00 CET). Relevant documents and a link to the live audio webcast will be available on the Polestar Investor Relations website. A copy of the press release is attached hereto as Exhibit 99.1 and the foregoing is qualified in its entirety by reference thereto.</w:t>
      </w:r>
    </w:p>
    <w:p>
      <w:pPr>
        <w:spacing w:after="0" w:line="188"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jc w:val="center"/>
              <w:ind w:right="1395"/>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8"/>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9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92"/>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of Polestar Automotive Holding UK PLC, dated January 9, 2023, titled “Polestar delivers on 2022 global volumes</w:t>
            </w:r>
          </w:p>
        </w:tc>
      </w:tr>
      <w:tr>
        <w:trPr>
          <w:trHeight w:val="234"/>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target.”</w:t>
            </w:r>
          </w:p>
        </w:tc>
      </w:tr>
      <w:tr>
        <w:trPr>
          <w:trHeight w:val="364"/>
        </w:trPr>
        <w:tc>
          <w:tcPr>
            <w:tcW w:w="720" w:type="dxa"/>
            <w:vAlign w:val="bottom"/>
          </w:tcPr>
          <w:p>
            <w:pPr>
              <w:spacing w:after="0"/>
              <w:rPr>
                <w:sz w:val="24"/>
                <w:szCs w:val="24"/>
                <w:color w:val="auto"/>
              </w:rPr>
            </w:pPr>
          </w:p>
        </w:tc>
        <w:tc>
          <w:tcPr>
            <w:tcW w:w="10300" w:type="dxa"/>
            <w:vAlign w:val="bottom"/>
            <w:gridSpan w:val="2"/>
          </w:tcPr>
          <w:p>
            <w:pPr>
              <w:jc w:val="right"/>
              <w:ind w:right="5395"/>
              <w:spacing w:after="0"/>
              <w:rPr>
                <w:sz w:val="20"/>
                <w:szCs w:val="20"/>
                <w:color w:val="auto"/>
              </w:rPr>
            </w:pPr>
            <w:r>
              <w:rPr>
                <w:rFonts w:ascii="Times New Roman" w:cs="Times New Roman" w:eastAsia="Times New Roman" w:hAnsi="Times New Roman"/>
                <w:sz w:val="18"/>
                <w:szCs w:val="18"/>
                <w:color w:val="auto"/>
              </w:rPr>
              <w:t>3</w:t>
            </w:r>
          </w:p>
        </w:tc>
      </w:tr>
    </w:tbl>
    <w:p>
      <w:pPr>
        <w:jc w:val="right"/>
        <w:ind w:right="5395"/>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9, 2023</w:t>
            </w:r>
          </w:p>
        </w:tc>
        <w:tc>
          <w:tcPr>
            <w:tcW w:w="25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Thomas Ingenlath</w:t>
            </w:r>
          </w:p>
        </w:tc>
      </w:tr>
      <w:tr>
        <w:trPr>
          <w:trHeight w:val="191"/>
        </w:trPr>
        <w:tc>
          <w:tcPr>
            <w:tcW w:w="3520" w:type="dxa"/>
            <w:vAlign w:val="bottom"/>
          </w:tcPr>
          <w:p>
            <w:pPr>
              <w:spacing w:after="0"/>
              <w:rPr>
                <w:sz w:val="16"/>
                <w:szCs w:val="16"/>
                <w:color w:val="auto"/>
              </w:rPr>
            </w:pPr>
          </w:p>
        </w:tc>
        <w:tc>
          <w:tcPr>
            <w:tcW w:w="254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Thomas Ingenlath</w:t>
            </w:r>
          </w:p>
        </w:tc>
      </w:tr>
      <w:tr>
        <w:trPr>
          <w:trHeight w:val="234"/>
        </w:trPr>
        <w:tc>
          <w:tcPr>
            <w:tcW w:w="3520" w:type="dxa"/>
            <w:vAlign w:val="bottom"/>
          </w:tcPr>
          <w:p>
            <w:pPr>
              <w:spacing w:after="0"/>
              <w:rPr>
                <w:sz w:val="20"/>
                <w:szCs w:val="20"/>
                <w:color w:val="auto"/>
              </w:rPr>
            </w:pPr>
          </w:p>
        </w:tc>
        <w:tc>
          <w:tcPr>
            <w:tcW w:w="25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20" w:type="dxa"/>
            <w:vAlign w:val="bottom"/>
          </w:tcPr>
          <w:p>
            <w:pPr>
              <w:spacing w:after="0"/>
              <w:rPr>
                <w:sz w:val="24"/>
                <w:szCs w:val="24"/>
                <w:color w:val="auto"/>
              </w:rPr>
            </w:pPr>
          </w:p>
        </w:tc>
        <w:tc>
          <w:tcPr>
            <w:tcW w:w="25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Johan Malmqvist</w:t>
            </w:r>
          </w:p>
        </w:tc>
      </w:tr>
      <w:tr>
        <w:trPr>
          <w:trHeight w:val="191"/>
        </w:trPr>
        <w:tc>
          <w:tcPr>
            <w:tcW w:w="3520" w:type="dxa"/>
            <w:vAlign w:val="bottom"/>
          </w:tcPr>
          <w:p>
            <w:pPr>
              <w:spacing w:after="0"/>
              <w:rPr>
                <w:sz w:val="16"/>
                <w:szCs w:val="16"/>
                <w:color w:val="auto"/>
              </w:rPr>
            </w:pPr>
          </w:p>
        </w:tc>
        <w:tc>
          <w:tcPr>
            <w:tcW w:w="2540" w:type="dxa"/>
            <w:vAlign w:val="bottom"/>
          </w:tcPr>
          <w:p>
            <w:pPr>
              <w:ind w:left="20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Johan Malmqvist</w:t>
            </w:r>
          </w:p>
        </w:tc>
      </w:tr>
      <w:tr>
        <w:trPr>
          <w:trHeight w:val="234"/>
        </w:trPr>
        <w:tc>
          <w:tcPr>
            <w:tcW w:w="3520" w:type="dxa"/>
            <w:vAlign w:val="bottom"/>
          </w:tcPr>
          <w:p>
            <w:pPr>
              <w:spacing w:after="0"/>
              <w:rPr>
                <w:sz w:val="20"/>
                <w:szCs w:val="20"/>
                <w:color w:val="auto"/>
              </w:rPr>
            </w:pPr>
          </w:p>
        </w:tc>
        <w:tc>
          <w:tcPr>
            <w:tcW w:w="25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4"/>
        </w:trPr>
        <w:tc>
          <w:tcPr>
            <w:tcW w:w="3520" w:type="dxa"/>
            <w:vAlign w:val="bottom"/>
          </w:tcPr>
          <w:p>
            <w:pPr>
              <w:spacing w:after="0"/>
              <w:rPr>
                <w:sz w:val="24"/>
                <w:szCs w:val="24"/>
                <w:color w:val="auto"/>
              </w:rPr>
            </w:pPr>
          </w:p>
        </w:tc>
        <w:tc>
          <w:tcPr>
            <w:tcW w:w="254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4</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58293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293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Polestar delivers on 2022 global volumes target</w:t>
      </w:r>
    </w:p>
    <w:p>
      <w:pPr>
        <w:spacing w:after="0" w:line="117"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GOTHENBURG, SWEDEN – JANUARY 9, 2023. </w:t>
      </w:r>
      <w:r>
        <w:rPr>
          <w:rFonts w:ascii="Times New Roman" w:cs="Times New Roman" w:eastAsia="Times New Roman" w:hAnsi="Times New Roman"/>
          <w:sz w:val="18"/>
          <w:szCs w:val="18"/>
          <w:color w:val="auto"/>
        </w:rPr>
        <w:t>Polestar Automotive Holding UK PLC (“Polestar” or the “Company,” Nasdaq: PSNY),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Swedish electric performance car brand delivered approximately 21,000 vehicles in the fourth quarter of 2022, bringing the preliminary estimate for full year global volumes to 51,500 cars, up 80% year-on-year.</w:t>
      </w:r>
    </w:p>
    <w:p>
      <w:pPr>
        <w:spacing w:after="0" w:line="175"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In 2023, Polestar anticipates global volumes to increase by nearly 60% to approximately 80,000 cars, led by strong Polestar 2 sales, and later in the year the first deliveries of Polestar 3.</w:t>
      </w:r>
    </w:p>
    <w:p>
      <w:pPr>
        <w:spacing w:after="0" w:line="162"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“I’m proud of the many milestones we achieved in 2022 and in particular the massive team effort that went into delivering our strongest quarter to date – surpassing our 50,000 global volumes target for the year. We are now fully focused on 2023. There will be the usual quarterly variations, but I’m confident that we will continue to actively manage our supply chain to meet the growing demand for Polestar 2, commence first deliveries of Polestar 3 and launch Polestar 4,” says Polestar CEO, Thomas Ingenlath.</w:t>
      </w:r>
    </w:p>
    <w:p>
      <w:pPr>
        <w:spacing w:after="0" w:line="180" w:lineRule="exact"/>
        <w:rPr>
          <w:sz w:val="20"/>
          <w:szCs w:val="20"/>
          <w:color w:val="auto"/>
        </w:rPr>
      </w:pPr>
    </w:p>
    <w:p>
      <w:pPr>
        <w:ind w:left="4" w:right="80"/>
        <w:spacing w:after="0" w:line="230" w:lineRule="auto"/>
        <w:rPr>
          <w:sz w:val="20"/>
          <w:szCs w:val="20"/>
          <w:color w:val="auto"/>
        </w:rPr>
      </w:pPr>
      <w:r>
        <w:rPr>
          <w:rFonts w:ascii="Times New Roman" w:cs="Times New Roman" w:eastAsia="Times New Roman" w:hAnsi="Times New Roman"/>
          <w:sz w:val="18"/>
          <w:szCs w:val="18"/>
          <w:color w:val="auto"/>
        </w:rPr>
        <w:t>Polestar expects to post its unaudited preliminary estimates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of its financial results for the year ended December 31, 2022 on Thursday, March 2, 2023, before market opening in the USA. Polestar’s CEO and CFO will hold a live audio webcast in connection with the publication of these unaudited preliminary estimated results on March 2, 2023 at 08:00 ET (14:00 CET). Relevant documents and a link to the live audio webcast will be available on the Polestar Investor Relations website at </w:t>
      </w:r>
      <w:r>
        <w:rPr>
          <w:rFonts w:ascii="Times New Roman" w:cs="Times New Roman" w:eastAsia="Times New Roman" w:hAnsi="Times New Roman"/>
          <w:sz w:val="18"/>
          <w:szCs w:val="18"/>
          <w:u w:val="single" w:color="auto"/>
          <w:color w:val="auto"/>
        </w:rPr>
        <w:t>https://investors.polestar.com/</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424" w:right="60" w:hanging="424"/>
        <w:spacing w:after="0" w:line="258"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unaudited preliminary estimates are based on Polestar management’s current best estimates and are subject to risks and uncertainties. Polestar’s independent registered public accounting firm, Deloitte AB (“Deloitte”), has not audited, reviewed, compiled or performed any procedures with respect to any of the unaudited preliminary estimated information. Accordingly, Deloitte does not express an opinion or any other form of assurance with respect thereto. Polestar’s audited financial statements for the year ended December 31, 2022 will be included in the Annual Report on Form 20-F that Polestar expects to file end of April 2023.</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Ends.</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Bojana Flint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Tanya Ridd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Global Head of Communications &amp; PR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tanya.ridd@polestar.com</w:t>
      </w:r>
    </w:p>
    <w:p>
      <w:pPr>
        <w:sectPr>
          <w:pgSz w:w="11900" w:h="16838" w:orient="portrait"/>
          <w:cols w:equalWidth="0" w:num="1">
            <w:col w:w="11024"/>
          </w:cols>
          <w:pgMar w:left="436" w:top="26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Polestar</w:t>
      </w:r>
    </w:p>
    <w:p>
      <w:pPr>
        <w:spacing w:after="0" w:line="119"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Polestar Automotive Holding UK PLC (Nasdaq: PSNY) (“Polestar”) is a Swedish premium electric vehicle manufacturer. Founded by Volvo Car AB (publ.) (together with its subsidiaries, “Volvo Cars”) and Zhejiang Geely Holding Group Co., Ltd (“Geely”), in 2017, Polestar enjoys specific technological and engineering synergies with Volvo Cars and benefits from significant economies of scale as a result.</w:t>
      </w:r>
    </w:p>
    <w:p>
      <w:pPr>
        <w:spacing w:after="0" w:line="173" w:lineRule="exact"/>
        <w:rPr>
          <w:sz w:val="20"/>
          <w:szCs w:val="20"/>
          <w:color w:val="auto"/>
        </w:rPr>
      </w:pPr>
    </w:p>
    <w:p>
      <w:pPr>
        <w:jc w:val="both"/>
        <w:ind w:right="180"/>
        <w:spacing w:after="0" w:line="315" w:lineRule="auto"/>
        <w:rPr>
          <w:sz w:val="20"/>
          <w:szCs w:val="20"/>
          <w:color w:val="auto"/>
        </w:rPr>
      </w:pPr>
      <w:r>
        <w:rPr>
          <w:rFonts w:ascii="Times New Roman" w:cs="Times New Roman" w:eastAsia="Times New Roman" w:hAnsi="Times New Roman"/>
          <w:sz w:val="17"/>
          <w:szCs w:val="17"/>
          <w:i w:val="1"/>
          <w:iCs w:val="1"/>
          <w:color w:val="auto"/>
        </w:rPr>
        <w:t>Polestar is headquartered in Gothenburg, Sweden, and its vehicles are currently available and on the road in markets across Europe, North America, China and Asia Pacific. Polestar cars are currently manufactured in two facilities in China, with additional future manufacturing planned in the USA.</w:t>
      </w:r>
    </w:p>
    <w:p>
      <w:pPr>
        <w:spacing w:after="0" w:line="13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Polestar has produced two electric performance cars. The Polestar 1 was built between 2019 and 2021 as a low-volume electric performance hybrid GT with a carbon fibre body, 609 hp, 1,000 Nm and an electric-only range of 124 km (WLTP) – the longest of any hybrid car in the world at the time.</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2 electric performance fastback is the Company’s first fully electric, high volume car. The Polestar 2 model range includes three variants with a combination of long- and standard range batteries as large as 78 kWh, and dual- and single-motor powertrains with as much as 350 kW / 476 hp and 680 Nm.</w:t>
      </w:r>
    </w:p>
    <w:p>
      <w:pPr>
        <w:spacing w:after="0" w:line="173"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Polestar plans to launch one new electric vehicle per year, starting with Polestar 3 – the Company’s first electric performance SUV which debuted in October 2022. The launch of Polestar 4, a smaller electric performance SUV coupe, is expected in 2023.</w:t>
      </w:r>
    </w:p>
    <w:p>
      <w:pPr>
        <w:spacing w:after="0" w:line="15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In 2024, the Polestar 5 electric performance 4-door GT is planned to be launched as the production evolution of the Polestar Precept – the manifesto concept car Polestar released in 2020 that showcases the brand’s future vision in terms of design, technology, and sustainability. As the Company seeks to reduce its climate impact with every new model, Polestar aims to produce a truly climate-neutral car by 2030.</w:t>
      </w:r>
    </w:p>
    <w:p>
      <w:pPr>
        <w:spacing w:after="0" w:line="17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i w:val="1"/>
          <w:iCs w:val="1"/>
          <w:color w:val="auto"/>
        </w:rPr>
        <w:t>In March 2022, Polestar revealed its second concept car, an electric performance roadster which builds on the design, technology and sustainability ambitions laid out by Precept and showcases the brand’s vision for future sports cars. The hard-top convertible presents an evolution of the unique design language first shown by Precept and emphasises a dynamic driving experience. The concept further develops the focus on sustainability and technology, aiming towards greater circularity. Polestar confirmed in August 2022 that a version of the concept will be produced as the Polestar 6 electric performance roadster, with launch expected in 2026.</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jc w:val="both"/>
        <w:ind w:right="660"/>
        <w:spacing w:after="0" w:line="267"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For example, projections of revenue, volumes and other</w:t>
      </w:r>
    </w:p>
    <w:p>
      <w:pPr>
        <w:sectPr>
          <w:pgSz w:w="11900" w:h="16838" w:orient="portrait"/>
          <w:cols w:equalWidth="0" w:num="1">
            <w:col w:w="11000"/>
          </w:cols>
          <w:pgMar w:left="440" w:top="266" w:right="459" w:bottom="1440" w:gutter="0" w:footer="0" w:header="0"/>
        </w:sectPr>
      </w:pPr>
    </w:p>
    <w:bookmarkStart w:id="7" w:name="page8"/>
    <w:bookmarkEnd w:id="7"/>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Volvo Cars and Geely, and to develop new agreements or partnerships; (2) Polestar’s ability to maintain relationships with its existing suppliers, and source new suppliers for its critical components, and to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capacities; (5) competition, the ability of Polestar to grow and manage growth profitably, maintain relationships with customers and suppliers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(12) the ability to meet stock exchange listing standards; (13) risks associated with changes in applicable laws or regulations and with Polestar’s international operations; (14) Polestar’s ability to establish its brand and capture additional market share, and the risks associated with negative press or reputational harm, including from lithium-ion battery cells catching fire or venting smoke; (15) delays in the design, manufacture, launch and financing of Polestar’s vehicles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ectPr>
          <w:pgSz w:w="11900" w:h="16838" w:orient="portrait"/>
          <w:cols w:equalWidth="0" w:num="1">
            <w:col w:w="11000"/>
          </w:cols>
          <w:pgMar w:left="440" w:top="268" w:right="459" w:bottom="1440" w:gutter="0" w:footer="0" w:header="0"/>
        </w:sectPr>
      </w:pPr>
    </w:p>
    <w:bookmarkStart w:id="8" w:name="page9"/>
    <w:bookmarkEnd w:id="8"/>
    <w:p>
      <w:pPr>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w:t>
      </w:r>
    </w:p>
    <w:sectPr>
      <w:pgSz w:w="11900" w:h="16838" w:orient="portrait"/>
      <w:cols w:equalWidth="0" w:num="1">
        <w:col w:w="10980"/>
      </w:cols>
      <w:pgMar w:left="440" w:top="26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2023-01-09T07:24:43Z</dcterms:created>
  <dcterms:modified xsi:type="dcterms:W3CDTF">2023-01-09T07:24:43Z</dcterms:modified>
</cp:coreProperties>
</file>