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tabs>
          <w:tab w:leader="none" w:pos="9360" w:val="left"/>
        </w:tabs>
        <w:rPr>
          <w:sz w:val="20"/>
          <w:szCs w:val="20"/>
          <w:color w:val="auto"/>
        </w:rPr>
      </w:pPr>
      <w:r>
        <w:rPr>
          <w:rFonts w:ascii="Arial" w:cs="Arial" w:eastAsia="Arial" w:hAnsi="Arial"/>
          <w:sz w:val="18"/>
          <w:szCs w:val="18"/>
          <w:b w:val="1"/>
          <w:bCs w:val="1"/>
          <w:color w:val="auto"/>
        </w:rPr>
        <w:t>As filed with the Securities and Exchange Commission on March 11, 2022</w:t>
      </w:r>
      <w:r>
        <w:rPr>
          <w:sz w:val="20"/>
          <w:szCs w:val="20"/>
          <w:color w:val="auto"/>
        </w:rPr>
        <w:tab/>
      </w:r>
      <w:r>
        <w:rPr>
          <w:rFonts w:ascii="Arial" w:cs="Arial" w:eastAsia="Arial" w:hAnsi="Arial"/>
          <w:sz w:val="16"/>
          <w:szCs w:val="16"/>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234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POLESTAR AUTOMOTIVE HOLDING UK LIMITED</w:t>
      </w:r>
      <w:r>
        <w:rPr>
          <w:rFonts w:ascii="Arial" w:cs="Arial" w:eastAsia="Arial" w:hAnsi="Arial"/>
          <w:sz w:val="53"/>
          <w:szCs w:val="53"/>
          <w:b w:val="1"/>
          <w:bCs w:val="1"/>
          <w:color w:val="auto"/>
          <w:vertAlign w:val="superscript"/>
        </w:rPr>
        <w:t>1</w:t>
      </w:r>
    </w:p>
    <w:p>
      <w:pPr>
        <w:jc w:val="center"/>
        <w:spacing w:after="0"/>
        <w:rPr>
          <w:sz w:val="20"/>
          <w:szCs w:val="20"/>
          <w:color w:val="auto"/>
        </w:rPr>
      </w:pPr>
      <w:r>
        <w:rPr>
          <w:rFonts w:ascii="Arial" w:cs="Arial" w:eastAsia="Arial" w:hAnsi="Arial"/>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 of issuer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depositary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388 Greenwich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Polestar Automotive USA,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777 McArthur Blvd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Mahwah, NJ 07430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(949) 735-1834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20" w:type="dxa"/>
            <w:vAlign w:val="bottom"/>
            <w:gridSpan w:val="2"/>
          </w:tcPr>
          <w:p>
            <w:pPr>
              <w:jc w:val="center"/>
              <w:ind w:left="70"/>
              <w:spacing w:after="0"/>
              <w:rPr>
                <w:sz w:val="20"/>
                <w:szCs w:val="20"/>
                <w:color w:val="auto"/>
              </w:rPr>
            </w:pPr>
            <w:r>
              <w:rPr>
                <w:rFonts w:ascii="Arial" w:cs="Arial" w:eastAsia="Arial" w:hAnsi="Arial"/>
                <w:sz w:val="18"/>
                <w:szCs w:val="18"/>
                <w:color w:val="auto"/>
                <w:w w:val="91"/>
              </w:rPr>
              <w:t>Copies to:</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54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w w:val="93"/>
              </w:rPr>
              <w:t>Christian Nagler</w:t>
            </w:r>
          </w:p>
        </w:tc>
        <w:tc>
          <w:tcPr>
            <w:tcW w:w="38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2"/>
              </w:rPr>
              <w:t>Alexander Lloyd</w:t>
            </w:r>
          </w:p>
        </w:tc>
        <w:tc>
          <w:tcPr>
            <w:tcW w:w="860" w:type="dxa"/>
            <w:vAlign w:val="bottom"/>
          </w:tcPr>
          <w:p>
            <w:pPr>
              <w:spacing w:after="0"/>
              <w:rPr>
                <w:sz w:val="18"/>
                <w:szCs w:val="18"/>
                <w:color w:val="auto"/>
              </w:rPr>
            </w:pPr>
          </w:p>
        </w:tc>
        <w:tc>
          <w:tcPr>
            <w:tcW w:w="292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92"/>
              </w:rPr>
              <w:t>Herman H. Raspé, Esq.</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3"/>
              </w:rPr>
              <w:t>Timothy Cruikshank</w:t>
            </w:r>
          </w:p>
        </w:tc>
        <w:tc>
          <w:tcPr>
            <w:tcW w:w="38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9"/>
              </w:rPr>
              <w:t>Kirkland &amp; Ellis LLP</w:t>
            </w:r>
          </w:p>
        </w:tc>
        <w:tc>
          <w:tcPr>
            <w:tcW w:w="378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3"/>
              </w:rPr>
              <w:t>Patterson Belknap Webb &amp; Tyler LLP</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95"/>
              </w:rPr>
              <w:t>Kirkland and Ellis LLP</w:t>
            </w:r>
          </w:p>
        </w:tc>
        <w:tc>
          <w:tcPr>
            <w:tcW w:w="38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200 Clarendon Street</w:t>
            </w:r>
          </w:p>
        </w:tc>
        <w:tc>
          <w:tcPr>
            <w:tcW w:w="3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1133 Avenue of the Americas</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ind w:left="10"/>
              <w:spacing w:after="0"/>
              <w:rPr>
                <w:sz w:val="20"/>
                <w:szCs w:val="20"/>
                <w:color w:val="auto"/>
              </w:rPr>
            </w:pPr>
            <w:r>
              <w:rPr>
                <w:rFonts w:ascii="Arial" w:cs="Arial" w:eastAsia="Arial" w:hAnsi="Arial"/>
                <w:sz w:val="18"/>
                <w:szCs w:val="18"/>
                <w:b w:val="1"/>
                <w:bCs w:val="1"/>
                <w:color w:val="auto"/>
                <w:w w:val="88"/>
              </w:rPr>
              <w:t>601 Lexington Avenue</w:t>
            </w:r>
          </w:p>
        </w:tc>
        <w:tc>
          <w:tcPr>
            <w:tcW w:w="38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1"/>
              </w:rPr>
              <w:t>Boston, MA 02116</w:t>
            </w:r>
          </w:p>
        </w:tc>
        <w:tc>
          <w:tcPr>
            <w:tcW w:w="860" w:type="dxa"/>
            <w:vAlign w:val="bottom"/>
          </w:tcPr>
          <w:p>
            <w:pPr>
              <w:spacing w:after="0"/>
              <w:rPr>
                <w:sz w:val="18"/>
                <w:szCs w:val="18"/>
                <w:color w:val="auto"/>
              </w:rPr>
            </w:pPr>
          </w:p>
        </w:tc>
        <w:tc>
          <w:tcPr>
            <w:tcW w:w="2920" w:type="dxa"/>
            <w:vAlign w:val="bottom"/>
            <w:gridSpan w:val="2"/>
          </w:tcPr>
          <w:p>
            <w:pPr>
              <w:jc w:val="center"/>
              <w:ind w:right="690"/>
              <w:spacing w:after="0"/>
              <w:rPr>
                <w:sz w:val="20"/>
                <w:szCs w:val="20"/>
                <w:color w:val="auto"/>
              </w:rPr>
            </w:pPr>
            <w:r>
              <w:rPr>
                <w:rFonts w:ascii="Arial" w:cs="Arial" w:eastAsia="Arial" w:hAnsi="Arial"/>
                <w:sz w:val="18"/>
                <w:szCs w:val="18"/>
                <w:b w:val="1"/>
                <w:bCs w:val="1"/>
                <w:color w:val="auto"/>
                <w:w w:val="91"/>
              </w:rPr>
              <w:t>New York, New York 10036</w:t>
            </w:r>
          </w:p>
        </w:tc>
        <w:tc>
          <w:tcPr>
            <w:tcW w:w="0" w:type="dxa"/>
            <w:vAlign w:val="bottom"/>
          </w:tcPr>
          <w:p>
            <w:pPr>
              <w:spacing w:after="0"/>
              <w:rPr>
                <w:sz w:val="1"/>
                <w:szCs w:val="1"/>
                <w:color w:val="auto"/>
              </w:rPr>
            </w:pPr>
          </w:p>
        </w:tc>
      </w:tr>
      <w:tr>
        <w:trPr>
          <w:trHeight w:val="216"/>
        </w:trPr>
        <w:tc>
          <w:tcPr>
            <w:tcW w:w="3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5"/>
              </w:rPr>
              <w:t>New York, NY 10022</w:t>
            </w:r>
          </w:p>
        </w:tc>
        <w:tc>
          <w:tcPr>
            <w:tcW w:w="38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1"/>
              </w:rPr>
              <w:t>Tel: (617) 385-7500</w:t>
            </w:r>
          </w:p>
        </w:tc>
        <w:tc>
          <w:tcPr>
            <w:tcW w:w="37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(212) 336-2301</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2540" w:type="dxa"/>
            <w:vAlign w:val="bottom"/>
            <w:gridSpan w:val="5"/>
          </w:tcPr>
          <w:p>
            <w:pPr>
              <w:jc w:val="center"/>
              <w:ind w:right="1000"/>
              <w:spacing w:after="0"/>
              <w:rPr>
                <w:sz w:val="20"/>
                <w:szCs w:val="20"/>
                <w:color w:val="auto"/>
              </w:rPr>
            </w:pPr>
            <w:r>
              <w:rPr>
                <w:rFonts w:ascii="Arial" w:cs="Arial" w:eastAsia="Arial" w:hAnsi="Arial"/>
                <w:sz w:val="18"/>
                <w:szCs w:val="18"/>
                <w:b w:val="1"/>
                <w:bCs w:val="1"/>
                <w:color w:val="auto"/>
                <w:w w:val="93"/>
              </w:rPr>
              <w:t>Tel: (212) 446-4800</w:t>
            </w:r>
          </w:p>
        </w:tc>
        <w:tc>
          <w:tcPr>
            <w:tcW w:w="1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4"/>
              </w:rPr>
              <w:t>Fax: (212) 446-4900</w:t>
            </w:r>
          </w:p>
        </w:tc>
        <w:tc>
          <w:tcPr>
            <w:tcW w:w="1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540" w:type="dxa"/>
            <w:vAlign w:val="bottom"/>
            <w:gridSpan w:val="7"/>
          </w:tcPr>
          <w:p>
            <w:pPr>
              <w:ind w:left="320"/>
              <w:spacing w:after="0"/>
              <w:rPr>
                <w:sz w:val="20"/>
                <w:szCs w:val="20"/>
                <w:color w:val="auto"/>
              </w:rPr>
            </w:pPr>
            <w:r>
              <w:rPr>
                <w:rFonts w:ascii="Arial" w:cs="Arial" w:eastAsia="Arial" w:hAnsi="Arial"/>
                <w:sz w:val="18"/>
                <w:szCs w:val="18"/>
                <w:color w:val="auto"/>
              </w:rPr>
              <w:t>It is proposed that this filing become effective under Rule 466:</w:t>
            </w:r>
          </w:p>
        </w:tc>
        <w:tc>
          <w:tcPr>
            <w:tcW w:w="3820" w:type="dxa"/>
            <w:vAlign w:val="bottom"/>
            <w:gridSpan w:val="3"/>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immediately upon filing.</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820" w:type="dxa"/>
            <w:vAlign w:val="bottom"/>
            <w:gridSpan w:val="3"/>
          </w:tcPr>
          <w:p>
            <w:pPr>
              <w:ind w:left="8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 (Date) at (Time).</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360" w:type="dxa"/>
            <w:vAlign w:val="bottom"/>
            <w:gridSpan w:val="10"/>
          </w:tcPr>
          <w:p>
            <w:pPr>
              <w:ind w:left="320"/>
              <w:spacing w:after="0" w:line="207" w:lineRule="exact"/>
              <w:rPr>
                <w:sz w:val="20"/>
                <w:szCs w:val="20"/>
                <w:color w:val="auto"/>
              </w:rPr>
            </w:pPr>
            <w:r>
              <w:rPr>
                <w:rFonts w:ascii="Arial" w:cs="Arial" w:eastAsia="Arial" w:hAnsi="Arial"/>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1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rPr>
              <w:t>CALCULATION OF REGISTRATION FEE</w:t>
            </w:r>
          </w:p>
        </w:tc>
        <w:tc>
          <w:tcPr>
            <w:tcW w:w="8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640" w:type="dxa"/>
            <w:vAlign w:val="bottom"/>
            <w:tcBorders>
              <w:right w:val="single" w:sz="8" w:color="auto"/>
            </w:tcBorders>
            <w:gridSpan w:val="6"/>
          </w:tcPr>
          <w:p>
            <w:pPr>
              <w:ind w:left="1020"/>
              <w:spacing w:after="0" w:line="195" w:lineRule="exact"/>
              <w:rPr>
                <w:sz w:val="20"/>
                <w:szCs w:val="20"/>
                <w:color w:val="auto"/>
              </w:rPr>
            </w:pPr>
            <w:r>
              <w:rPr>
                <w:rFonts w:ascii="Arial" w:cs="Arial" w:eastAsia="Arial" w:hAnsi="Arial"/>
                <w:sz w:val="18"/>
                <w:szCs w:val="18"/>
                <w:color w:val="auto"/>
              </w:rPr>
              <w:t>Title of Each Class of</w:t>
            </w:r>
          </w:p>
        </w:tc>
        <w:tc>
          <w:tcPr>
            <w:tcW w:w="19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Amount to be</w:t>
            </w:r>
          </w:p>
        </w:tc>
        <w:tc>
          <w:tcPr>
            <w:tcW w:w="19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900" w:type="dxa"/>
            <w:vAlign w:val="bottom"/>
            <w:tcBorders>
              <w:right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880" w:type="dxa"/>
            <w:vAlign w:val="bottom"/>
          </w:tcPr>
          <w:p>
            <w:pPr>
              <w:jc w:val="center"/>
              <w:spacing w:after="0" w:line="195" w:lineRule="exact"/>
              <w:rPr>
                <w:sz w:val="20"/>
                <w:szCs w:val="20"/>
                <w:color w:val="auto"/>
              </w:rPr>
            </w:pPr>
            <w:r>
              <w:rPr>
                <w:rFonts w:ascii="Arial" w:cs="Arial" w:eastAsia="Arial" w:hAnsi="Arial"/>
                <w:sz w:val="18"/>
                <w:szCs w:val="18"/>
                <w:color w:val="auto"/>
                <w:w w:val="95"/>
              </w:rPr>
              <w:t>Amount of</w:t>
            </w:r>
          </w:p>
        </w:tc>
        <w:tc>
          <w:tcPr>
            <w:tcW w:w="0" w:type="dxa"/>
            <w:vAlign w:val="bottom"/>
          </w:tcPr>
          <w:p>
            <w:pPr>
              <w:spacing w:after="0"/>
              <w:rPr>
                <w:sz w:val="1"/>
                <w:szCs w:val="1"/>
                <w:color w:val="auto"/>
              </w:rPr>
            </w:pPr>
          </w:p>
        </w:tc>
      </w:tr>
      <w:tr>
        <w:trPr>
          <w:trHeight w:val="216"/>
        </w:trPr>
        <w:tc>
          <w:tcPr>
            <w:tcW w:w="3640" w:type="dxa"/>
            <w:vAlign w:val="bottom"/>
            <w:tcBorders>
              <w:right w:val="single" w:sz="8" w:color="auto"/>
            </w:tcBorders>
            <w:gridSpan w:val="6"/>
          </w:tcPr>
          <w:p>
            <w:pPr>
              <w:ind w:left="840"/>
              <w:spacing w:after="0"/>
              <w:rPr>
                <w:sz w:val="20"/>
                <w:szCs w:val="20"/>
                <w:color w:val="auto"/>
              </w:rPr>
            </w:pPr>
            <w:r>
              <w:rPr>
                <w:rFonts w:ascii="Arial" w:cs="Arial" w:eastAsia="Arial" w:hAnsi="Arial"/>
                <w:sz w:val="18"/>
                <w:szCs w:val="18"/>
                <w:color w:val="auto"/>
              </w:rPr>
              <w:t>Securities to be Registered</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Aggregate Price Per</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Aggregate Offering</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Registration Fee</w:t>
            </w:r>
          </w:p>
        </w:tc>
        <w:tc>
          <w:tcPr>
            <w:tcW w:w="0" w:type="dxa"/>
            <w:vAlign w:val="bottom"/>
          </w:tcPr>
          <w:p>
            <w:pPr>
              <w:spacing w:after="0"/>
              <w:rPr>
                <w:sz w:val="1"/>
                <w:szCs w:val="1"/>
                <w:color w:val="auto"/>
              </w:rPr>
            </w:pPr>
          </w:p>
        </w:tc>
      </w:tr>
      <w:tr>
        <w:trPr>
          <w:trHeight w:val="230"/>
        </w:trPr>
        <w:tc>
          <w:tcPr>
            <w:tcW w:w="1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Unit*</w:t>
            </w: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Price**</w:t>
            </w:r>
          </w:p>
        </w:tc>
        <w:tc>
          <w:tcPr>
            <w:tcW w:w="1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40" w:type="dxa"/>
            <w:vAlign w:val="bottom"/>
            <w:tcBorders>
              <w:right w:val="single" w:sz="8" w:color="auto"/>
            </w:tcBorders>
            <w:gridSpan w:val="6"/>
          </w:tcPr>
          <w:p>
            <w:pPr>
              <w:spacing w:after="0" w:line="169" w:lineRule="exact"/>
              <w:rPr>
                <w:sz w:val="20"/>
                <w:szCs w:val="20"/>
                <w:color w:val="auto"/>
              </w:rPr>
            </w:pPr>
            <w:r>
              <w:rPr>
                <w:rFonts w:ascii="Arial" w:cs="Arial" w:eastAsia="Arial" w:hAnsi="Arial"/>
                <w:sz w:val="18"/>
                <w:szCs w:val="18"/>
                <w:color w:val="auto"/>
                <w:w w:val="98"/>
              </w:rPr>
              <w:t>American Depositary Shares (“ADS(s)”), each</w:t>
            </w:r>
          </w:p>
        </w:tc>
        <w:tc>
          <w:tcPr>
            <w:tcW w:w="190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gridSpan w:val="2"/>
          </w:tcPr>
          <w:p>
            <w:pPr>
              <w:spacing w:after="0" w:line="20" w:lineRule="exact"/>
              <w:rPr>
                <w:sz w:val="1"/>
                <w:szCs w:val="1"/>
                <w:color w:val="auto"/>
              </w:rPr>
            </w:pPr>
          </w:p>
        </w:tc>
        <w:tc>
          <w:tcPr>
            <w:tcW w:w="190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40" w:type="dxa"/>
            <w:vAlign w:val="bottom"/>
            <w:tcBorders>
              <w:right w:val="single" w:sz="8" w:color="auto"/>
            </w:tcBorders>
            <w:gridSpan w:val="6"/>
          </w:tcPr>
          <w:p>
            <w:pPr>
              <w:spacing w:after="0"/>
              <w:rPr>
                <w:sz w:val="20"/>
                <w:szCs w:val="20"/>
                <w:color w:val="auto"/>
              </w:rPr>
            </w:pPr>
            <w:r>
              <w:rPr>
                <w:rFonts w:ascii="Arial" w:cs="Arial" w:eastAsia="Arial" w:hAnsi="Arial"/>
                <w:sz w:val="18"/>
                <w:szCs w:val="18"/>
                <w:color w:val="auto"/>
                <w:w w:val="94"/>
              </w:rPr>
              <w:t>ADS representing the right to receive one Class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500,000,000 ADSs</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$5.00</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1"/>
              </w:rPr>
              <w:t>$25,000,000.00</w:t>
            </w:r>
          </w:p>
        </w:tc>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89"/>
              </w:rPr>
              <w:t>$2,317.50</w:t>
            </w:r>
          </w:p>
        </w:tc>
        <w:tc>
          <w:tcPr>
            <w:tcW w:w="0" w:type="dxa"/>
            <w:vAlign w:val="bottom"/>
          </w:tcPr>
          <w:p>
            <w:pPr>
              <w:spacing w:after="0"/>
              <w:rPr>
                <w:sz w:val="1"/>
                <w:szCs w:val="1"/>
                <w:color w:val="auto"/>
              </w:rPr>
            </w:pPr>
          </w:p>
        </w:tc>
      </w:tr>
      <w:tr>
        <w:trPr>
          <w:trHeight w:val="122"/>
        </w:trPr>
        <w:tc>
          <w:tcPr>
            <w:tcW w:w="364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18"/>
                <w:szCs w:val="18"/>
                <w:color w:val="auto"/>
                <w:w w:val="93"/>
              </w:rPr>
              <w:t>A ordinary share of Polestar Automotive Holding</w:t>
            </w:r>
          </w:p>
        </w:tc>
        <w:tc>
          <w:tcPr>
            <w:tcW w:w="190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gridSpan w:val="2"/>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40" w:type="dxa"/>
            <w:vAlign w:val="bottom"/>
            <w:tcBorders>
              <w:right w:val="single" w:sz="8" w:color="auto"/>
            </w:tcBorders>
            <w:gridSpan w:val="6"/>
            <w:vMerge w:val="continue"/>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920" w:type="dxa"/>
            <w:vAlign w:val="bottom"/>
            <w:tcBorders>
              <w:righ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640" w:type="dxa"/>
            <w:vAlign w:val="bottom"/>
            <w:tcBorders>
              <w:right w:val="single" w:sz="8" w:color="auto"/>
            </w:tcBorders>
            <w:gridSpan w:val="6"/>
          </w:tcPr>
          <w:p>
            <w:pPr>
              <w:spacing w:after="0" w:line="190" w:lineRule="exact"/>
              <w:rPr>
                <w:sz w:val="20"/>
                <w:szCs w:val="20"/>
                <w:color w:val="auto"/>
              </w:rPr>
            </w:pPr>
            <w:r>
              <w:rPr>
                <w:rFonts w:ascii="Arial" w:cs="Arial" w:eastAsia="Arial" w:hAnsi="Arial"/>
                <w:sz w:val="18"/>
                <w:szCs w:val="18"/>
                <w:color w:val="auto"/>
              </w:rPr>
              <w:t>UK PLC (the “Company”)</w:t>
            </w:r>
          </w:p>
        </w:tc>
        <w:tc>
          <w:tcPr>
            <w:tcW w:w="190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1900" w:type="dxa"/>
            <w:vAlign w:val="bottom"/>
            <w:tcBorders>
              <w:bottom w:val="single" w:sz="8" w:color="auto"/>
              <w:right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unit represents 100 ADSs.</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Estimated solely for the purpose of calculating the registration fee. Pursuant to Rule 457(k), such estimate is computed on the basis of the maximum</w:t>
      </w:r>
    </w:p>
    <w:p>
      <w:pPr>
        <w:sectPr>
          <w:pgSz w:w="11900" w:h="16859" w:orient="portrait"/>
          <w:cols w:equalWidth="0" w:num="1">
            <w:col w:w="11240"/>
          </w:cols>
          <w:pgMar w:left="320" w:top="472" w:right="339" w:bottom="0" w:gutter="0" w:footer="0" w:header="0"/>
        </w:sectPr>
      </w:pPr>
    </w:p>
    <w:bookmarkStart w:id="1" w:name="page2"/>
    <w:bookmarkEnd w:id="1"/>
    <w:p>
      <w:pPr>
        <w:ind w:left="320"/>
        <w:spacing w:after="0"/>
        <w:rPr>
          <w:sz w:val="20"/>
          <w:szCs w:val="20"/>
          <w:color w:val="auto"/>
        </w:rPr>
      </w:pPr>
      <w:r>
        <w:rPr>
          <w:rFonts w:ascii="Arial" w:cs="Arial" w:eastAsia="Arial" w:hAnsi="Arial"/>
          <w:sz w:val="18"/>
          <w:szCs w:val="18"/>
          <w:color w:val="auto"/>
        </w:rPr>
        <w:t>aggregate fees or charges to be imposed in connection with the issuance of ADSs.</w:t>
      </w:r>
    </w:p>
    <w:p>
      <w:pPr>
        <w:spacing w:after="0" w:line="266" w:lineRule="exact"/>
        <w:rPr>
          <w:sz w:val="20"/>
          <w:szCs w:val="20"/>
          <w:color w:val="auto"/>
        </w:rPr>
      </w:pPr>
    </w:p>
    <w:p>
      <w:pPr>
        <w:ind w:left="320" w:right="200"/>
        <w:spacing w:after="0" w:line="237" w:lineRule="auto"/>
        <w:rPr>
          <w:sz w:val="20"/>
          <w:szCs w:val="20"/>
          <w:color w:val="auto"/>
        </w:rPr>
      </w:pPr>
      <w:r>
        <w:rPr>
          <w:rFonts w:ascii="Arial" w:cs="Arial" w:eastAsia="Arial" w:hAnsi="Arial"/>
          <w:sz w:val="22"/>
          <w:szCs w:val="2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-783590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04" w:lineRule="exact"/>
        <w:rPr>
          <w:sz w:val="20"/>
          <w:szCs w:val="20"/>
          <w:color w:val="auto"/>
        </w:rPr>
      </w:pPr>
    </w:p>
    <w:p>
      <w:pPr>
        <w:ind w:firstLine="8"/>
        <w:spacing w:after="0" w:line="194" w:lineRule="auto"/>
        <w:tabs>
          <w:tab w:leader="none" w:pos="141"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issuer intends to alter its legal status under English law from a private limited company to a public limited company and to change its name to “Polestar Automotive Holding UK PLC”. This registration statement will be amended to reflect such changes prior to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ind w:left="180" w:right="199"/>
        <w:spacing w:after="0" w:line="277" w:lineRule="auto"/>
        <w:rPr>
          <w:sz w:val="20"/>
          <w:szCs w:val="20"/>
          <w:color w:val="auto"/>
        </w:rPr>
      </w:pPr>
      <w:r>
        <w:rPr>
          <w:rFonts w:ascii="Arial" w:cs="Arial" w:eastAsia="Arial" w:hAnsi="Arial"/>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jc w:val="center"/>
              <w:ind w:left="2590"/>
              <w:spacing w:after="0"/>
              <w:rPr>
                <w:sz w:val="20"/>
                <w:szCs w:val="20"/>
                <w:color w:val="auto"/>
              </w:rPr>
            </w:pPr>
            <w:r>
              <w:rPr>
                <w:rFonts w:ascii="Arial" w:cs="Arial" w:eastAsia="Arial" w:hAnsi="Arial"/>
                <w:sz w:val="18"/>
                <w:szCs w:val="18"/>
                <w:b w:val="1"/>
                <w:bCs w:val="1"/>
                <w:color w:val="auto"/>
                <w:w w:val="98"/>
              </w:rPr>
              <w:t>PART I</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0" w:type="dxa"/>
            <w:vAlign w:val="bottom"/>
            <w:gridSpan w:val="2"/>
          </w:tcPr>
          <w:p>
            <w:pPr>
              <w:jc w:val="center"/>
              <w:ind w:left="1450"/>
              <w:spacing w:after="0"/>
              <w:rPr>
                <w:sz w:val="20"/>
                <w:szCs w:val="20"/>
                <w:color w:val="auto"/>
              </w:rPr>
            </w:pPr>
            <w:r>
              <w:rPr>
                <w:rFonts w:ascii="Arial" w:cs="Arial" w:eastAsia="Arial" w:hAnsi="Arial"/>
                <w:sz w:val="18"/>
                <w:szCs w:val="18"/>
                <w:b w:val="1"/>
                <w:bCs w:val="1"/>
                <w:color w:val="auto"/>
              </w:rPr>
              <w:t>INFORMATION REQUIRED IN PROSPECTUS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jc w:val="center"/>
              <w:ind w:left="2570"/>
              <w:spacing w:after="0"/>
              <w:rPr>
                <w:sz w:val="20"/>
                <w:szCs w:val="20"/>
                <w:color w:val="auto"/>
              </w:rPr>
            </w:pPr>
            <w:r>
              <w:rPr>
                <w:rFonts w:ascii="Arial" w:cs="Arial" w:eastAsia="Arial" w:hAnsi="Arial"/>
                <w:sz w:val="18"/>
                <w:szCs w:val="18"/>
                <w:b w:val="1"/>
                <w:bCs w:val="1"/>
                <w:color w:val="auto"/>
                <w:w w:val="87"/>
              </w:rPr>
              <w:t>Cross Reference Sheet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58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 OF SECURITIES TO BE REGISTERED</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5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46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30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Name of Depositary and address of its principal executive office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Introductory Article.</w:t>
            </w: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Title of Receipts and identity of deposited securities</w:t>
            </w: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4"/>
          </w:tcPr>
          <w:p>
            <w:pPr>
              <w:ind w:left="80"/>
              <w:spacing w:after="0"/>
              <w:rPr>
                <w:sz w:val="20"/>
                <w:szCs w:val="20"/>
                <w:color w:val="auto"/>
              </w:rPr>
            </w:pPr>
            <w:r>
              <w:rPr>
                <w:rFonts w:ascii="Arial" w:cs="Arial" w:eastAsia="Arial" w:hAnsi="Arial"/>
                <w:sz w:val="18"/>
                <w:szCs w:val="18"/>
                <w:color w:val="auto"/>
              </w:rPr>
              <w:t>- Top Center.</w:t>
            </w:r>
          </w:p>
        </w:tc>
      </w:tr>
      <w:tr>
        <w:trPr>
          <w:trHeight w:val="453"/>
        </w:trPr>
        <w:tc>
          <w:tcPr>
            <w:tcW w:w="300" w:type="dxa"/>
            <w:vAlign w:val="bottom"/>
          </w:tcPr>
          <w:p>
            <w:pPr>
              <w:spacing w:after="0"/>
              <w:rPr>
                <w:sz w:val="24"/>
                <w:szCs w:val="24"/>
                <w:color w:val="auto"/>
              </w:rPr>
            </w:pP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Terms of Deposit: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amount of deposited securities represented by one American</w:t>
            </w: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4"/>
          </w:tcPr>
          <w:p>
            <w:pPr>
              <w:ind w:left="80"/>
              <w:spacing w:after="0"/>
              <w:rPr>
                <w:sz w:val="20"/>
                <w:szCs w:val="20"/>
                <w:color w:val="auto"/>
              </w:rPr>
            </w:pPr>
            <w:r>
              <w:rPr>
                <w:rFonts w:ascii="Arial" w:cs="Arial" w:eastAsia="Arial" w:hAnsi="Arial"/>
                <w:sz w:val="18"/>
                <w:szCs w:val="18"/>
                <w:color w:val="auto"/>
              </w:rPr>
              <w:t>- Upper right corner.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Depositary Share ("ADSs")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procedure for voting, if any, the deposited securities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(17) and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collection and distribution of dividends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 (15).</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(iv)</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transmission of notices, reports and proxy soliciting material</w:t>
            </w:r>
          </w:p>
        </w:tc>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Face of Receipt</w:t>
            </w:r>
          </w:p>
        </w:tc>
        <w:tc>
          <w:tcPr>
            <w:tcW w:w="3440" w:type="dxa"/>
            <w:vAlign w:val="bottom"/>
            <w:gridSpan w:val="4"/>
          </w:tcPr>
          <w:p>
            <w:pPr>
              <w:ind w:left="80"/>
              <w:spacing w:after="0"/>
              <w:rPr>
                <w:sz w:val="20"/>
                <w:szCs w:val="20"/>
                <w:color w:val="auto"/>
              </w:rPr>
            </w:pPr>
            <w:r>
              <w:rPr>
                <w:rFonts w:ascii="Arial" w:cs="Arial" w:eastAsia="Arial" w:hAnsi="Arial"/>
                <w:sz w:val="18"/>
                <w:szCs w:val="18"/>
                <w:color w:val="auto"/>
              </w:rPr>
              <w:t>- Paragraph (14);</w:t>
            </w: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sale or exercise of rights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The deposit or sale of securities resulting from dividends, splits or</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Paragraphs (3) and (6);</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5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plans of reorganization</w:t>
            </w: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Amendment, extension or termination of the deposit agreement</w:t>
            </w:r>
          </w:p>
        </w:tc>
        <w:tc>
          <w:tcPr>
            <w:tcW w:w="4580" w:type="dxa"/>
            <w:vAlign w:val="bottom"/>
            <w:gridSpan w:val="5"/>
          </w:tcPr>
          <w:p>
            <w:pPr>
              <w:spacing w:after="0"/>
              <w:rPr>
                <w:sz w:val="20"/>
                <w:szCs w:val="20"/>
                <w:color w:val="auto"/>
              </w:rPr>
            </w:pPr>
            <w:r>
              <w:rPr>
                <w:rFonts w:ascii="Arial" w:cs="Arial" w:eastAsia="Arial" w:hAnsi="Arial"/>
                <w:sz w:val="18"/>
                <w:szCs w:val="18"/>
                <w:color w:val="auto"/>
                <w:w w:val="90"/>
              </w:rPr>
              <w:t>Reverse of Receipt - Paragraphs (23) and (24) (no provision for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1"/>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(viii)</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Rights of holders of Receipts to inspect the transfer books of the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Depositary and the list of holders of ADSs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456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520" w:type="dxa"/>
            <w:vAlign w:val="bottom"/>
            <w:gridSpan w:val="4"/>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0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46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Filed Herewith as Prospectus</w:t>
            </w:r>
          </w:p>
        </w:tc>
      </w:tr>
      <w:tr>
        <w:trPr>
          <w:trHeight w:val="20"/>
        </w:trPr>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(ix)</w:t>
            </w: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Restrictions upon the right to deposit or withdraw the underlying</w:t>
            </w:r>
          </w:p>
        </w:tc>
        <w:tc>
          <w:tcPr>
            <w:tcW w:w="4560" w:type="dxa"/>
            <w:vAlign w:val="bottom"/>
            <w:gridSpan w:val="5"/>
          </w:tcPr>
          <w:p>
            <w:pPr>
              <w:spacing w:after="0"/>
              <w:rPr>
                <w:sz w:val="20"/>
                <w:szCs w:val="20"/>
                <w:color w:val="auto"/>
              </w:rPr>
            </w:pPr>
            <w:r>
              <w:rPr>
                <w:rFonts w:ascii="Arial" w:cs="Arial" w:eastAsia="Arial" w:hAnsi="Arial"/>
                <w:sz w:val="18"/>
                <w:szCs w:val="18"/>
                <w:color w:val="auto"/>
                <w:w w:val="90"/>
              </w:rPr>
              <w:t>Face of Receipt – Paragraphs (2), (3), (4), (6), (7), (9) and (10).</w:t>
            </w:r>
          </w:p>
        </w:tc>
      </w:tr>
      <w:tr>
        <w:trPr>
          <w:trHeight w:val="237"/>
        </w:trPr>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securities</w:t>
            </w: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(x)</w:t>
            </w:r>
          </w:p>
        </w:tc>
        <w:tc>
          <w:tcPr>
            <w:tcW w:w="5560" w:type="dxa"/>
            <w:vAlign w:val="bottom"/>
            <w:gridSpan w:val="2"/>
          </w:tcPr>
          <w:p>
            <w:pPr>
              <w:ind w:left="80"/>
              <w:spacing w:after="0"/>
              <w:rPr>
                <w:sz w:val="20"/>
                <w:szCs w:val="20"/>
                <w:color w:val="auto"/>
              </w:rPr>
            </w:pPr>
            <w:r>
              <w:rPr>
                <w:rFonts w:ascii="Arial" w:cs="Arial" w:eastAsia="Arial" w:hAnsi="Arial"/>
                <w:sz w:val="18"/>
                <w:szCs w:val="18"/>
                <w:color w:val="auto"/>
              </w:rPr>
              <w:t>Limitation upon the liability of the Depositary</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(8);</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(20) and (21).</w:t>
            </w:r>
          </w:p>
        </w:tc>
      </w:tr>
      <w:tr>
        <w:trPr>
          <w:trHeight w:val="20"/>
        </w:trPr>
        <w:tc>
          <w:tcPr>
            <w:tcW w:w="30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6220" w:type="dxa"/>
            <w:vAlign w:val="bottom"/>
            <w:gridSpan w:val="3"/>
          </w:tcPr>
          <w:p>
            <w:pPr>
              <w:ind w:left="160"/>
              <w:spacing w:after="0"/>
              <w:rPr>
                <w:sz w:val="20"/>
                <w:szCs w:val="20"/>
                <w:color w:val="auto"/>
              </w:rPr>
            </w:pPr>
            <w:r>
              <w:rPr>
                <w:rFonts w:ascii="Arial" w:cs="Arial" w:eastAsia="Arial" w:hAnsi="Arial"/>
                <w:sz w:val="18"/>
                <w:szCs w:val="18"/>
                <w:color w:val="auto"/>
              </w:rPr>
              <w:t>Fees and charges which may be imposed directly or indirectly on holders of</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(11).</w:t>
            </w:r>
          </w:p>
        </w:tc>
      </w:tr>
      <w:tr>
        <w:trPr>
          <w:trHeight w:val="237"/>
        </w:trPr>
        <w:tc>
          <w:tcPr>
            <w:tcW w:w="300" w:type="dxa"/>
            <w:vAlign w:val="bottom"/>
          </w:tcPr>
          <w:p>
            <w:pPr>
              <w:spacing w:after="0"/>
              <w:rPr>
                <w:sz w:val="20"/>
                <w:szCs w:val="20"/>
                <w:color w:val="auto"/>
              </w:rPr>
            </w:pPr>
          </w:p>
        </w:tc>
        <w:tc>
          <w:tcPr>
            <w:tcW w:w="660" w:type="dxa"/>
            <w:vAlign w:val="bottom"/>
          </w:tcPr>
          <w:p>
            <w:pPr>
              <w:ind w:left="160"/>
              <w:spacing w:after="0"/>
              <w:rPr>
                <w:sz w:val="20"/>
                <w:szCs w:val="20"/>
                <w:color w:val="auto"/>
              </w:rPr>
            </w:pPr>
            <w:r>
              <w:rPr>
                <w:rFonts w:ascii="Arial" w:cs="Arial" w:eastAsia="Arial" w:hAnsi="Arial"/>
                <w:sz w:val="18"/>
                <w:szCs w:val="18"/>
                <w:color w:val="auto"/>
              </w:rPr>
              <w:t>ADSs</w:t>
            </w:r>
          </w:p>
        </w:tc>
        <w:tc>
          <w:tcPr>
            <w:tcW w:w="1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5560" w:type="dxa"/>
            <w:vAlign w:val="bottom"/>
            <w:gridSpan w:val="2"/>
          </w:tcPr>
          <w:p>
            <w:pPr>
              <w:ind w:left="560"/>
              <w:spacing w:after="0"/>
              <w:rPr>
                <w:sz w:val="20"/>
                <w:szCs w:val="20"/>
                <w:color w:val="auto"/>
              </w:rPr>
            </w:pPr>
            <w:r>
              <w:rPr>
                <w:rFonts w:ascii="Arial" w:cs="Arial" w:eastAsia="Arial" w:hAnsi="Arial"/>
                <w:sz w:val="18"/>
                <w:szCs w:val="18"/>
                <w:b w:val="1"/>
                <w:bCs w:val="1"/>
                <w:color w:val="auto"/>
              </w:rPr>
              <w:t>AVAILABLE INFORMATION</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39" w:right="4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9" w:lineRule="exact"/>
        <w:rPr>
          <w:sz w:val="20"/>
          <w:szCs w:val="20"/>
          <w:color w:val="auto"/>
        </w:rPr>
      </w:pPr>
    </w:p>
    <w:p>
      <w:pPr>
        <w:ind w:left="180" w:right="499"/>
        <w:spacing w:after="0" w:line="263" w:lineRule="auto"/>
        <w:rPr>
          <w:sz w:val="20"/>
          <w:szCs w:val="20"/>
          <w:color w:val="auto"/>
        </w:rPr>
      </w:pPr>
      <w:r>
        <w:rPr>
          <w:rFonts w:ascii="Arial" w:cs="Arial" w:eastAsia="Arial" w:hAnsi="Arial"/>
          <w:sz w:val="18"/>
          <w:szCs w:val="18"/>
          <w:color w:val="auto"/>
        </w:rPr>
        <w:t>The Prospectus consists of the proposed form of American Depositary Receipt included as Exhibit A to the Form of Deposit Agreement filed as Exhibit (a) to this Registration Statement on Form F-6 and is incorporated herein by reference.</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1300" w:right="300" w:hanging="644"/>
        <w:spacing w:after="0" w:line="263"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 of Deposit Agreement, by and among Polestar Automotive Holding UK [Limited][PLC]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issued thereunder (“</w:t>
      </w:r>
      <w:r>
        <w:rPr>
          <w:rFonts w:ascii="Arial" w:cs="Arial" w:eastAsia="Arial" w:hAnsi="Arial"/>
          <w:sz w:val="18"/>
          <w:szCs w:val="18"/>
          <w:u w:val="single" w:color="auto"/>
          <w:color w:val="auto"/>
        </w:rPr>
        <w:t>Deposit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 Filed herewith as Exhibit (a).</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agreement to which the Depositary is a party relating to the issuance of the American Depositary Shares registered hereunder or the custody of the deposited securities represented thereby. — None.</w:t>
      </w:r>
    </w:p>
    <w:p>
      <w:pPr>
        <w:spacing w:after="0" w:line="170"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Every material contract relating to the deposited securities between the Depositary and the issuer of the deposited securities in effect at any time within the last three years. — None.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Opinion of counsel for the Depositary as to the legality of the securities to be registered. — Filed herewith as Exhibit (d).</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Certificate under Rule 466. — None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for certain officers and directors and the authorized representative of the Company. — Set forth on the signature pages hereto.</w:t>
      </w:r>
    </w:p>
    <w:p>
      <w:pPr>
        <w:spacing w:after="0" w:line="271"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769" w:right="49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ind w:left="1300" w:hanging="644"/>
        <w:spacing w:after="0" w:line="311" w:lineRule="auto"/>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48" w:lineRule="exact"/>
        <w:rPr>
          <w:rFonts w:ascii="Arial" w:cs="Arial" w:eastAsia="Arial" w:hAnsi="Arial"/>
          <w:sz w:val="16"/>
          <w:szCs w:val="16"/>
          <w:color w:val="auto"/>
        </w:rPr>
      </w:pPr>
    </w:p>
    <w:p>
      <w:pPr>
        <w:ind w:left="1300" w:right="60" w:hanging="644"/>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Pursuant to the requirements of the Securities Act of 1933, as amended, Citibank, N.A., acting solely on behalf of the legal entity to be created by the Deposit Agreement, by and among Polestar Automotive Holding UK Limited, Citibank, N.A., as depositary, and all Holders and Beneficial Owners from time to time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8th day of March 2022.</w:t>
      </w:r>
    </w:p>
    <w:p>
      <w:pPr>
        <w:spacing w:after="0" w:line="17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Legal entity created by the Deposit Agreement under which the American</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Depositary Shares registered hereunder are to be issued, each American</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Depositary Share representing the right to receive one Class A ordinary share</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of Polestar Automotive Holding UK Limited.</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CITIBANK, N.A., solely in its capacity as Depositary</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Keith Galfo</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Attorney-in-Fact</w:t>
      </w: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as amended, Polestar Automotive Holding UK Limited certifies that it has reasonable grounds to believe that all the requirements for filing on Form F-6 are met and has duly caused this Registration Statement on Form F-6 to be signed on its behalf by the undersigned thereunto duly authorized, in the City of Gottenburg, Sweden, on March 4, 2022.</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Polestar Automotive Holding UK Limited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Thomas Ingenlath</w:t>
      </w:r>
    </w:p>
    <w:p>
      <w:pPr>
        <w:spacing w:after="0" w:line="23" w:lineRule="exact"/>
        <w:rPr>
          <w:sz w:val="20"/>
          <w:szCs w:val="20"/>
          <w:color w:val="auto"/>
        </w:rPr>
      </w:pPr>
    </w:p>
    <w:p>
      <w:pPr>
        <w:ind w:left="6200"/>
        <w:spacing w:after="0"/>
        <w:tabs>
          <w:tab w:leader="none" w:pos="6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31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POWERS OF ATTORNEY</w:t>
      </w:r>
    </w:p>
    <w:p>
      <w:pPr>
        <w:spacing w:after="0" w:line="225"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each of Thomas</w:t>
      </w:r>
      <w:r>
        <w:rPr>
          <w:rFonts w:ascii="Arial" w:cs="Arial" w:eastAsia="Arial" w:hAnsi="Arial"/>
          <w:sz w:val="18"/>
          <w:szCs w:val="18"/>
          <w:b w:val="1"/>
          <w:bCs w:val="1"/>
          <w:color w:val="auto"/>
        </w:rPr>
        <w:t xml:space="preserve"> </w:t>
      </w:r>
      <w:r>
        <w:rPr>
          <w:rFonts w:ascii="Arial" w:cs="Arial" w:eastAsia="Arial" w:hAnsi="Arial"/>
          <w:sz w:val="18"/>
          <w:szCs w:val="18"/>
          <w:color w:val="auto"/>
        </w:rPr>
        <w:t>Ingenlath, Johan Malmqvist, Roger Molin and Jan Mikael Alkmark, each acting alone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9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F-6 has been signed by the following persons in the following capacities on March 4, 2022.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3660" w:type="dxa"/>
            <w:vAlign w:val="bottom"/>
          </w:tcPr>
          <w:p>
            <w:pPr>
              <w:spacing w:after="0"/>
              <w:rPr>
                <w:sz w:val="17"/>
                <w:szCs w:val="17"/>
                <w:color w:val="auto"/>
              </w:rPr>
            </w:pP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453"/>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Ingenlath</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Chief Executive Officer</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Thomas Ingenlath</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Johan Malmqvist</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Chief Financial Officer</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Johan Malmqvist</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Roger Molin</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Head of Group Financial Accounting &amp; Control</w:t>
            </w:r>
          </w:p>
        </w:tc>
      </w:tr>
      <w:tr>
        <w:trPr>
          <w:trHeight w:val="195"/>
        </w:trPr>
        <w:tc>
          <w:tcPr>
            <w:tcW w:w="4360" w:type="dxa"/>
            <w:vAlign w:val="bottom"/>
            <w:gridSpan w:val="2"/>
          </w:tcPr>
          <w:p>
            <w:pPr>
              <w:spacing w:after="0" w:line="195" w:lineRule="exact"/>
              <w:rPr>
                <w:sz w:val="20"/>
                <w:szCs w:val="20"/>
                <w:color w:val="auto"/>
              </w:rPr>
            </w:pPr>
            <w:r>
              <w:rPr>
                <w:rFonts w:ascii="Arial" w:cs="Arial" w:eastAsia="Arial" w:hAnsi="Arial"/>
                <w:sz w:val="18"/>
                <w:szCs w:val="18"/>
                <w:color w:val="auto"/>
              </w:rPr>
              <w:t>Roger Molin</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300" w:type="dxa"/>
            <w:vAlign w:val="bottom"/>
          </w:tcPr>
          <w:p>
            <w:pPr>
              <w:spacing w:after="0"/>
              <w:rPr>
                <w:sz w:val="16"/>
                <w:szCs w:val="16"/>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300" w:type="dxa"/>
            <w:vAlign w:val="bottom"/>
          </w:tcPr>
          <w:p>
            <w:pPr>
              <w:spacing w:after="0"/>
              <w:rPr>
                <w:sz w:val="20"/>
                <w:szCs w:val="20"/>
                <w:color w:val="auto"/>
              </w:rPr>
            </w:pPr>
          </w:p>
        </w:tc>
      </w:tr>
      <w:tr>
        <w:trPr>
          <w:trHeight w:val="432"/>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 Mikael Alkmark</w:t>
            </w:r>
          </w:p>
        </w:tc>
        <w:tc>
          <w:tcPr>
            <w:tcW w:w="6880" w:type="dxa"/>
            <w:vAlign w:val="bottom"/>
            <w:gridSpan w:val="3"/>
          </w:tcPr>
          <w:p>
            <w:pPr>
              <w:ind w:left="1260"/>
              <w:spacing w:after="0"/>
              <w:rPr>
                <w:sz w:val="20"/>
                <w:szCs w:val="20"/>
                <w:color w:val="auto"/>
              </w:rPr>
            </w:pPr>
            <w:r>
              <w:rPr>
                <w:rFonts w:ascii="Arial" w:cs="Arial" w:eastAsia="Arial" w:hAnsi="Arial"/>
                <w:sz w:val="18"/>
                <w:szCs w:val="18"/>
                <w:color w:val="auto"/>
              </w:rPr>
              <w:t>Director</w:t>
            </w: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Jan Mikael Alkmark</w:t>
            </w: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300" w:type="dxa"/>
            <w:vAlign w:val="bottom"/>
          </w:tcPr>
          <w:p>
            <w:pPr>
              <w:spacing w:after="0"/>
              <w:rPr>
                <w:sz w:val="19"/>
                <w:szCs w:val="19"/>
                <w:color w:val="auto"/>
              </w:rPr>
            </w:pPr>
          </w:p>
        </w:tc>
      </w:tr>
      <w:tr>
        <w:trPr>
          <w:trHeight w:val="587"/>
        </w:trPr>
        <w:tc>
          <w:tcPr>
            <w:tcW w:w="7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gridSpan w:val="3"/>
          </w:tcPr>
          <w:p>
            <w:pPr>
              <w:ind w:left="1120"/>
              <w:spacing w:after="0"/>
              <w:rPr>
                <w:sz w:val="20"/>
                <w:szCs w:val="20"/>
                <w:color w:val="auto"/>
              </w:rPr>
            </w:pPr>
            <w:r>
              <w:rPr>
                <w:rFonts w:ascii="Arial" w:cs="Arial" w:eastAsia="Arial" w:hAnsi="Arial"/>
                <w:sz w:val="22"/>
                <w:szCs w:val="22"/>
                <w:color w:val="auto"/>
              </w:rPr>
              <w:t>II-5</w:t>
            </w:r>
          </w:p>
        </w:tc>
      </w:tr>
    </w:tbl>
    <w:p>
      <w:pPr>
        <w:sectPr>
          <w:pgSz w:w="11900" w:h="16838" w:orient="portrait"/>
          <w:cols w:equalWidth="0" w:num="1">
            <w:col w:w="11240"/>
          </w:cols>
          <w:pgMar w:left="320" w:top="76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AUTHORIZED REPRESENTATIVE IN THE UNITED STATES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Pursuant to the requirements of the Securities Act of 1933, as amended, Polestar Automotive Holding UK Limited has duly caused this registration statement to be signed by the following duly authorized representative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POLESTAR AUTOMOTIVE USA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Mikael Alkmark</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Jan Mikael Alkmark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Authorized Representative in the United States</w:t>
            </w:r>
          </w:p>
        </w:tc>
      </w:tr>
    </w:tbl>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Arial" w:cs="Arial" w:eastAsia="Arial" w:hAnsi="Arial"/>
                <w:sz w:val="18"/>
                <w:szCs w:val="18"/>
                <w:b w:val="1"/>
                <w:bCs w:val="1"/>
                <w:color w:val="auto"/>
              </w:rPr>
              <w:t>Sequentially</w:t>
            </w:r>
          </w:p>
        </w:tc>
      </w:tr>
      <w:tr>
        <w:trPr>
          <w:trHeight w:val="194"/>
        </w:trPr>
        <w:tc>
          <w:tcPr>
            <w:tcW w:w="580" w:type="dxa"/>
            <w:vAlign w:val="bottom"/>
          </w:tcPr>
          <w:p>
            <w:pPr>
              <w:spacing w:after="0" w:line="194" w:lineRule="exact"/>
              <w:rPr>
                <w:sz w:val="20"/>
                <w:szCs w:val="20"/>
                <w:color w:val="auto"/>
              </w:rPr>
            </w:pPr>
            <w:r>
              <w:rPr>
                <w:rFonts w:ascii="Arial" w:cs="Arial" w:eastAsia="Arial" w:hAnsi="Arial"/>
                <w:sz w:val="18"/>
                <w:szCs w:val="18"/>
                <w:b w:val="1"/>
                <w:bCs w:val="1"/>
                <w:color w:val="auto"/>
                <w:w w:val="93"/>
              </w:rPr>
              <w:t>Exhibit</w:t>
            </w:r>
          </w:p>
        </w:tc>
        <w:tc>
          <w:tcPr>
            <w:tcW w:w="2920" w:type="dxa"/>
            <w:vAlign w:val="bottom"/>
          </w:tcPr>
          <w:p>
            <w:pPr>
              <w:spacing w:after="0"/>
              <w:rPr>
                <w:sz w:val="16"/>
                <w:szCs w:val="16"/>
                <w:color w:val="auto"/>
              </w:rPr>
            </w:pPr>
          </w:p>
        </w:tc>
        <w:tc>
          <w:tcPr>
            <w:tcW w:w="27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Document</w:t>
            </w:r>
          </w:p>
        </w:tc>
        <w:tc>
          <w:tcPr>
            <w:tcW w:w="2940" w:type="dxa"/>
            <w:vAlign w:val="bottom"/>
            <w:gridSpan w:val="2"/>
          </w:tcPr>
          <w:p>
            <w:pPr>
              <w:ind w:left="1700"/>
              <w:spacing w:after="0" w:line="194" w:lineRule="exact"/>
              <w:rPr>
                <w:sz w:val="20"/>
                <w:szCs w:val="20"/>
                <w:color w:val="auto"/>
              </w:rPr>
            </w:pPr>
            <w:r>
              <w:rPr>
                <w:rFonts w:ascii="Arial" w:cs="Arial" w:eastAsia="Arial" w:hAnsi="Arial"/>
                <w:sz w:val="18"/>
                <w:szCs w:val="18"/>
                <w:b w:val="1"/>
                <w:bCs w:val="1"/>
                <w:color w:val="auto"/>
                <w:w w:val="8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2920" w:type="dxa"/>
            <w:vAlign w:val="bottom"/>
          </w:tcPr>
          <w:p>
            <w:pPr>
              <w:spacing w:after="0"/>
              <w:rPr>
                <w:sz w:val="19"/>
                <w:szCs w:val="19"/>
                <w:color w:val="auto"/>
              </w:rPr>
            </w:pPr>
          </w:p>
        </w:tc>
        <w:tc>
          <w:tcPr>
            <w:tcW w:w="2780" w:type="dxa"/>
            <w:vAlign w:val="bottom"/>
            <w:gridSpan w:val="3"/>
          </w:tcPr>
          <w:p>
            <w:pPr>
              <w:spacing w:after="0"/>
              <w:rPr>
                <w:sz w:val="20"/>
                <w:szCs w:val="20"/>
                <w:color w:val="auto"/>
              </w:rPr>
            </w:pPr>
            <w:r>
              <w:rPr>
                <w:rFonts w:ascii="Arial" w:cs="Arial" w:eastAsia="Arial" w:hAnsi="Arial"/>
                <w:sz w:val="18"/>
                <w:szCs w:val="18"/>
                <w:color w:val="auto"/>
              </w:rPr>
              <w:t>Form of Deposit Agreement</w:t>
            </w:r>
          </w:p>
        </w:tc>
        <w:tc>
          <w:tcPr>
            <w:tcW w:w="17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(d)</w:t>
            </w:r>
          </w:p>
        </w:tc>
        <w:tc>
          <w:tcPr>
            <w:tcW w:w="2780" w:type="dxa"/>
            <w:vAlign w:val="bottom"/>
            <w:gridSpan w:val="3"/>
          </w:tcPr>
          <w:p>
            <w:pPr>
              <w:spacing w:after="0"/>
              <w:rPr>
                <w:sz w:val="20"/>
                <w:szCs w:val="20"/>
                <w:color w:val="auto"/>
              </w:rPr>
            </w:pPr>
            <w:r>
              <w:rPr>
                <w:rFonts w:ascii="Arial" w:cs="Arial" w:eastAsia="Arial" w:hAnsi="Arial"/>
                <w:sz w:val="18"/>
                <w:szCs w:val="18"/>
                <w:color w:val="auto"/>
                <w:w w:val="95"/>
              </w:rPr>
              <w:t>Opinion of counsel to the Depositary</w:t>
            </w:r>
          </w:p>
        </w:tc>
        <w:tc>
          <w:tcPr>
            <w:tcW w:w="170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ectPr>
          <w:pgSz w:w="11900" w:h="16838" w:orient="portrait"/>
          <w:cols w:equalWidth="0" w:num="1">
            <w:col w:w="10139"/>
          </w:cols>
          <w:pgMar w:left="320" w:top="783"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298450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POLESTAR AUTOMOTIVE HOLDING UK [LIMITED][PLC]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HOLDERS AND BENEFICIAL OWNERS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Dated as of </w:t>
      </w:r>
      <w:r>
        <w:rPr>
          <w:rFonts w:ascii="Arial" w:cs="Arial" w:eastAsia="Arial" w:hAnsi="Arial"/>
          <w:sz w:val="18"/>
          <w:szCs w:val="18"/>
          <w:b w:val="1"/>
          <w:bCs w:val="1"/>
          <w:color w:val="auto"/>
        </w:rPr>
        <w:t>[date]</w:t>
      </w:r>
      <w:r>
        <w:rPr>
          <w:rFonts w:ascii="Arial" w:cs="Arial" w:eastAsia="Arial" w:hAnsi="Arial"/>
          <w:sz w:val="18"/>
          <w:szCs w:val="18"/>
          <w:color w:val="auto"/>
        </w:rPr>
        <w:t xml:space="preserve">, </w:t>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8420" w:type="dxa"/>
            <w:vAlign w:val="bottom"/>
          </w:tcPr>
          <w:p>
            <w:pPr>
              <w:ind w:left="3300"/>
              <w:spacing w:after="0"/>
              <w:rPr>
                <w:sz w:val="20"/>
                <w:szCs w:val="20"/>
                <w:color w:val="auto"/>
              </w:rPr>
            </w:pPr>
            <w:r>
              <w:rPr>
                <w:rFonts w:ascii="Arial" w:cs="Arial" w:eastAsia="Arial" w:hAnsi="Arial"/>
                <w:sz w:val="18"/>
                <w:szCs w:val="18"/>
                <w:color w:val="auto"/>
              </w:rPr>
              <w:t>TABLE OF CONTENTS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8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DEFINITIONS</w:t>
            </w:r>
          </w:p>
        </w:tc>
        <w:tc>
          <w:tcPr>
            <w:tcW w:w="8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1.1</w:t>
            </w:r>
          </w:p>
        </w:tc>
        <w:tc>
          <w:tcPr>
            <w:tcW w:w="8420" w:type="dxa"/>
            <w:vAlign w:val="bottom"/>
          </w:tcPr>
          <w:p>
            <w:pPr>
              <w:ind w:left="280"/>
              <w:spacing w:after="0"/>
              <w:rPr>
                <w:sz w:val="20"/>
                <w:szCs w:val="20"/>
                <w:color w:val="auto"/>
              </w:rPr>
            </w:pPr>
            <w:r>
              <w:rPr>
                <w:rFonts w:ascii="Arial" w:cs="Arial" w:eastAsia="Arial" w:hAnsi="Arial"/>
                <w:sz w:val="18"/>
                <w:szCs w:val="18"/>
                <w:color w:val="auto"/>
              </w:rPr>
              <w:t>“ADS Record Date”</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“Affiliate”</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1.3</w:t>
            </w:r>
          </w:p>
        </w:tc>
        <w:tc>
          <w:tcPr>
            <w:tcW w:w="8420" w:type="dxa"/>
            <w:vAlign w:val="bottom"/>
          </w:tcPr>
          <w:p>
            <w:pPr>
              <w:ind w:left="280"/>
              <w:spacing w:after="0"/>
              <w:rPr>
                <w:sz w:val="20"/>
                <w:szCs w:val="20"/>
                <w:color w:val="auto"/>
              </w:rPr>
            </w:pPr>
            <w:r>
              <w:rPr>
                <w:rFonts w:ascii="Arial" w:cs="Arial" w:eastAsia="Arial" w:hAnsi="Arial"/>
                <w:sz w:val="18"/>
                <w:szCs w:val="18"/>
                <w:color w:val="auto"/>
              </w:rPr>
              <w:t>“American Depositary Receipt(s)”, “ADR(s)” and “Receipt(s)”</w:t>
            </w: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1.4</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“American Depositary Share(s)” and “ADS(s)”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1.5</w:t>
            </w:r>
          </w:p>
        </w:tc>
        <w:tc>
          <w:tcPr>
            <w:tcW w:w="8420" w:type="dxa"/>
            <w:vAlign w:val="bottom"/>
          </w:tcPr>
          <w:p>
            <w:pPr>
              <w:ind w:left="280"/>
              <w:spacing w:after="0"/>
              <w:rPr>
                <w:sz w:val="20"/>
                <w:szCs w:val="20"/>
                <w:color w:val="auto"/>
              </w:rPr>
            </w:pPr>
            <w:r>
              <w:rPr>
                <w:rFonts w:ascii="Arial" w:cs="Arial" w:eastAsia="Arial" w:hAnsi="Arial"/>
                <w:sz w:val="18"/>
                <w:szCs w:val="18"/>
                <w:color w:val="auto"/>
              </w:rPr>
              <w:t>“Beneficial Owner”</w:t>
            </w: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1.6</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“Certificated ADS(s)”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1.7</w:t>
            </w:r>
          </w:p>
        </w:tc>
        <w:tc>
          <w:tcPr>
            <w:tcW w:w="8420" w:type="dxa"/>
            <w:vAlign w:val="bottom"/>
          </w:tcPr>
          <w:p>
            <w:pPr>
              <w:ind w:left="280"/>
              <w:spacing w:after="0"/>
              <w:rPr>
                <w:sz w:val="20"/>
                <w:szCs w:val="20"/>
                <w:color w:val="auto"/>
              </w:rPr>
            </w:pPr>
            <w:r>
              <w:rPr>
                <w:rFonts w:ascii="Arial" w:cs="Arial" w:eastAsia="Arial" w:hAnsi="Arial"/>
                <w:sz w:val="18"/>
                <w:szCs w:val="18"/>
                <w:color w:val="auto"/>
              </w:rPr>
              <w:t>“Citibank”</w:t>
            </w: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1.8</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“Commission”</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1.9</w:t>
            </w:r>
          </w:p>
        </w:tc>
        <w:tc>
          <w:tcPr>
            <w:tcW w:w="8420" w:type="dxa"/>
            <w:vAlign w:val="bottom"/>
          </w:tcPr>
          <w:p>
            <w:pPr>
              <w:ind w:left="280"/>
              <w:spacing w:after="0"/>
              <w:rPr>
                <w:sz w:val="20"/>
                <w:szCs w:val="20"/>
                <w:color w:val="auto"/>
              </w:rPr>
            </w:pPr>
            <w:r>
              <w:rPr>
                <w:rFonts w:ascii="Arial" w:cs="Arial" w:eastAsia="Arial" w:hAnsi="Arial"/>
                <w:sz w:val="18"/>
                <w:szCs w:val="18"/>
                <w:color w:val="auto"/>
              </w:rPr>
              <w:t>“Company”</w:t>
            </w: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1.10</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“CREST”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1.11</w:t>
            </w:r>
          </w:p>
        </w:tc>
        <w:tc>
          <w:tcPr>
            <w:tcW w:w="8420" w:type="dxa"/>
            <w:vAlign w:val="bottom"/>
          </w:tcPr>
          <w:p>
            <w:pPr>
              <w:ind w:left="280"/>
              <w:spacing w:after="0"/>
              <w:rPr>
                <w:sz w:val="20"/>
                <w:szCs w:val="20"/>
                <w:color w:val="auto"/>
              </w:rPr>
            </w:pPr>
            <w:r>
              <w:rPr>
                <w:rFonts w:ascii="Arial" w:cs="Arial" w:eastAsia="Arial" w:hAnsi="Arial"/>
                <w:sz w:val="18"/>
                <w:szCs w:val="18"/>
                <w:color w:val="auto"/>
              </w:rPr>
              <w:t>“Custodian”</w:t>
            </w: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1.12</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“Deliver” and “Delivery”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1.13</w:t>
            </w:r>
          </w:p>
        </w:tc>
        <w:tc>
          <w:tcPr>
            <w:tcW w:w="8420" w:type="dxa"/>
            <w:vAlign w:val="bottom"/>
          </w:tcPr>
          <w:p>
            <w:pPr>
              <w:ind w:left="280"/>
              <w:spacing w:after="0"/>
              <w:rPr>
                <w:sz w:val="20"/>
                <w:szCs w:val="20"/>
                <w:color w:val="auto"/>
              </w:rPr>
            </w:pPr>
            <w:r>
              <w:rPr>
                <w:rFonts w:ascii="Arial" w:cs="Arial" w:eastAsia="Arial" w:hAnsi="Arial"/>
                <w:sz w:val="18"/>
                <w:szCs w:val="18"/>
                <w:color w:val="auto"/>
              </w:rPr>
              <w:t>“Deposit Agreement”</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1.14</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“Depositary”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1.15</w:t>
            </w:r>
          </w:p>
        </w:tc>
        <w:tc>
          <w:tcPr>
            <w:tcW w:w="8420" w:type="dxa"/>
            <w:vAlign w:val="bottom"/>
          </w:tcPr>
          <w:p>
            <w:pPr>
              <w:ind w:left="280"/>
              <w:spacing w:after="0"/>
              <w:rPr>
                <w:sz w:val="20"/>
                <w:szCs w:val="20"/>
                <w:color w:val="auto"/>
              </w:rPr>
            </w:pPr>
            <w:r>
              <w:rPr>
                <w:rFonts w:ascii="Arial" w:cs="Arial" w:eastAsia="Arial" w:hAnsi="Arial"/>
                <w:sz w:val="18"/>
                <w:szCs w:val="18"/>
                <w:color w:val="auto"/>
              </w:rPr>
              <w:t>“Deposited Property”</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1.16</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“Deposited Securities”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1.17</w:t>
            </w:r>
          </w:p>
        </w:tc>
        <w:tc>
          <w:tcPr>
            <w:tcW w:w="8420" w:type="dxa"/>
            <w:vAlign w:val="bottom"/>
          </w:tcPr>
          <w:p>
            <w:pPr>
              <w:ind w:left="280"/>
              <w:spacing w:after="0"/>
              <w:rPr>
                <w:sz w:val="20"/>
                <w:szCs w:val="20"/>
                <w:color w:val="auto"/>
              </w:rPr>
            </w:pPr>
            <w:r>
              <w:rPr>
                <w:rFonts w:ascii="Arial" w:cs="Arial" w:eastAsia="Arial" w:hAnsi="Arial"/>
                <w:sz w:val="18"/>
                <w:szCs w:val="18"/>
                <w:color w:val="auto"/>
              </w:rPr>
              <w:t>“Dollars” and “$”</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1.18</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“DTC”</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1.19</w:t>
            </w:r>
          </w:p>
        </w:tc>
        <w:tc>
          <w:tcPr>
            <w:tcW w:w="8420" w:type="dxa"/>
            <w:vAlign w:val="bottom"/>
          </w:tcPr>
          <w:p>
            <w:pPr>
              <w:ind w:left="280"/>
              <w:spacing w:after="0"/>
              <w:rPr>
                <w:sz w:val="20"/>
                <w:szCs w:val="20"/>
                <w:color w:val="auto"/>
              </w:rPr>
            </w:pPr>
            <w:r>
              <w:rPr>
                <w:rFonts w:ascii="Arial" w:cs="Arial" w:eastAsia="Arial" w:hAnsi="Arial"/>
                <w:sz w:val="18"/>
                <w:szCs w:val="18"/>
                <w:color w:val="auto"/>
              </w:rPr>
              <w:t>“DTC Participant”</w:t>
            </w:r>
          </w:p>
        </w:tc>
        <w:tc>
          <w:tcPr>
            <w:tcW w:w="14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1.20</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“Exchange Act”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1.21</w:t>
            </w:r>
          </w:p>
        </w:tc>
        <w:tc>
          <w:tcPr>
            <w:tcW w:w="8420" w:type="dxa"/>
            <w:vAlign w:val="bottom"/>
          </w:tcPr>
          <w:p>
            <w:pPr>
              <w:ind w:left="280"/>
              <w:spacing w:after="0"/>
              <w:rPr>
                <w:sz w:val="20"/>
                <w:szCs w:val="20"/>
                <w:color w:val="auto"/>
              </w:rPr>
            </w:pPr>
            <w:r>
              <w:rPr>
                <w:rFonts w:ascii="Arial" w:cs="Arial" w:eastAsia="Arial" w:hAnsi="Arial"/>
                <w:sz w:val="18"/>
                <w:szCs w:val="18"/>
                <w:color w:val="auto"/>
              </w:rPr>
              <w:t>“Foreign Currency”</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1.22</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“Full Entitlement ADR(s)”, “Full Entitlement ADS(s)” and “Full Entitlement Share(s)”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1.23</w:t>
            </w:r>
          </w:p>
        </w:tc>
        <w:tc>
          <w:tcPr>
            <w:tcW w:w="8420" w:type="dxa"/>
            <w:vAlign w:val="bottom"/>
          </w:tcPr>
          <w:p>
            <w:pPr>
              <w:ind w:left="280"/>
              <w:spacing w:after="0"/>
              <w:rPr>
                <w:sz w:val="20"/>
                <w:szCs w:val="20"/>
                <w:color w:val="auto"/>
              </w:rPr>
            </w:pPr>
            <w:r>
              <w:rPr>
                <w:rFonts w:ascii="Arial" w:cs="Arial" w:eastAsia="Arial" w:hAnsi="Arial"/>
                <w:sz w:val="18"/>
                <w:szCs w:val="18"/>
                <w:color w:val="auto"/>
              </w:rPr>
              <w:t>“Holder(s)”</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1.24</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“Partial Entitlement ADR(s)”, “Partial Entitlement ADS(s)” and “Partial Entitlement Share(s)”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1.25</w:t>
            </w:r>
          </w:p>
        </w:tc>
        <w:tc>
          <w:tcPr>
            <w:tcW w:w="8420" w:type="dxa"/>
            <w:vAlign w:val="bottom"/>
          </w:tcPr>
          <w:p>
            <w:pPr>
              <w:ind w:left="280"/>
              <w:spacing w:after="0"/>
              <w:rPr>
                <w:sz w:val="20"/>
                <w:szCs w:val="20"/>
                <w:color w:val="auto"/>
              </w:rPr>
            </w:pPr>
            <w:r>
              <w:rPr>
                <w:rFonts w:ascii="Arial" w:cs="Arial" w:eastAsia="Arial" w:hAnsi="Arial"/>
                <w:sz w:val="18"/>
                <w:szCs w:val="18"/>
                <w:color w:val="auto"/>
              </w:rPr>
              <w:t>“Principal Office”</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1.26</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“Registrar”</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1.27</w:t>
            </w:r>
          </w:p>
        </w:tc>
        <w:tc>
          <w:tcPr>
            <w:tcW w:w="8420" w:type="dxa"/>
            <w:vAlign w:val="bottom"/>
          </w:tcPr>
          <w:p>
            <w:pPr>
              <w:ind w:left="280"/>
              <w:spacing w:after="0"/>
              <w:rPr>
                <w:sz w:val="20"/>
                <w:szCs w:val="20"/>
                <w:color w:val="auto"/>
              </w:rPr>
            </w:pPr>
            <w:r>
              <w:rPr>
                <w:rFonts w:ascii="Arial" w:cs="Arial" w:eastAsia="Arial" w:hAnsi="Arial"/>
                <w:sz w:val="18"/>
                <w:szCs w:val="18"/>
                <w:color w:val="auto"/>
              </w:rPr>
              <w:t>“Restricted Securities”</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1.28</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“Restricted ADR(s)”, “Restricted ADS(s)” and “Restricted Shares”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1.29</w:t>
            </w:r>
          </w:p>
        </w:tc>
        <w:tc>
          <w:tcPr>
            <w:tcW w:w="8420" w:type="dxa"/>
            <w:vAlign w:val="bottom"/>
          </w:tcPr>
          <w:p>
            <w:pPr>
              <w:ind w:left="280"/>
              <w:spacing w:after="0"/>
              <w:rPr>
                <w:sz w:val="20"/>
                <w:szCs w:val="20"/>
                <w:color w:val="auto"/>
              </w:rPr>
            </w:pPr>
            <w:r>
              <w:rPr>
                <w:rFonts w:ascii="Arial" w:cs="Arial" w:eastAsia="Arial" w:hAnsi="Arial"/>
                <w:sz w:val="18"/>
                <w:szCs w:val="18"/>
                <w:color w:val="auto"/>
              </w:rPr>
              <w:t>“Securities Act”</w:t>
            </w: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1.30</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 Registrar”</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1.31</w:t>
            </w:r>
          </w:p>
        </w:tc>
        <w:tc>
          <w:tcPr>
            <w:tcW w:w="8420" w:type="dxa"/>
            <w:vAlign w:val="bottom"/>
          </w:tcPr>
          <w:p>
            <w:pPr>
              <w:ind w:left="280"/>
              <w:spacing w:after="0"/>
              <w:rPr>
                <w:sz w:val="20"/>
                <w:szCs w:val="20"/>
                <w:color w:val="auto"/>
              </w:rPr>
            </w:pPr>
            <w:r>
              <w:rPr>
                <w:rFonts w:ascii="Arial" w:cs="Arial" w:eastAsia="Arial" w:hAnsi="Arial"/>
                <w:sz w:val="18"/>
                <w:szCs w:val="18"/>
                <w:color w:val="auto"/>
              </w:rPr>
              <w:t>“Shares”</w:t>
            </w: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1.32</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“Uncertificated ADS(s)”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Arial" w:cs="Arial" w:eastAsia="Arial" w:hAnsi="Arial"/>
                <w:sz w:val="18"/>
                <w:szCs w:val="18"/>
                <w:color w:val="auto"/>
              </w:rPr>
              <w:t>Section 1.33</w:t>
            </w:r>
          </w:p>
        </w:tc>
        <w:tc>
          <w:tcPr>
            <w:tcW w:w="8420" w:type="dxa"/>
            <w:vAlign w:val="bottom"/>
          </w:tcPr>
          <w:p>
            <w:pPr>
              <w:ind w:left="280"/>
              <w:spacing w:after="0"/>
              <w:rPr>
                <w:sz w:val="20"/>
                <w:szCs w:val="20"/>
                <w:color w:val="auto"/>
              </w:rPr>
            </w:pPr>
            <w:r>
              <w:rPr>
                <w:rFonts w:ascii="Arial" w:cs="Arial" w:eastAsia="Arial" w:hAnsi="Arial"/>
                <w:sz w:val="18"/>
                <w:szCs w:val="18"/>
                <w:color w:val="auto"/>
              </w:rPr>
              <w:t>“United States” and “U.S.”</w:t>
            </w: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ARTICLE II</w:t>
            </w:r>
          </w:p>
        </w:tc>
        <w:tc>
          <w:tcPr>
            <w:tcW w:w="8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840" w:type="dxa"/>
            <w:vAlign w:val="bottom"/>
            <w:gridSpan w:val="2"/>
          </w:tcPr>
          <w:p>
            <w:pPr>
              <w:spacing w:after="0" w:line="201" w:lineRule="exact"/>
              <w:rPr>
                <w:sz w:val="20"/>
                <w:szCs w:val="20"/>
                <w:color w:val="auto"/>
              </w:rPr>
            </w:pPr>
            <w:r>
              <w:rPr>
                <w:rFonts w:ascii="Arial" w:cs="Arial" w:eastAsia="Arial" w:hAnsi="Arial"/>
                <w:sz w:val="18"/>
                <w:szCs w:val="18"/>
                <w:color w:val="auto"/>
              </w:rPr>
              <w:t>APPOINTMENT OF DEPOSITARY; FORM OF RECEIPTS;</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40" w:type="dxa"/>
            <w:vAlign w:val="bottom"/>
            <w:gridSpan w:val="2"/>
          </w:tcPr>
          <w:p>
            <w:pPr>
              <w:spacing w:after="0"/>
              <w:rPr>
                <w:sz w:val="20"/>
                <w:szCs w:val="20"/>
                <w:color w:val="auto"/>
              </w:rPr>
            </w:pPr>
            <w:r>
              <w:rPr>
                <w:rFonts w:ascii="Arial" w:cs="Arial" w:eastAsia="Arial" w:hAnsi="Arial"/>
                <w:sz w:val="18"/>
                <w:szCs w:val="18"/>
                <w:color w:val="auto"/>
              </w:rPr>
              <w:t>DEPOSIT OF SHARES; EXECUTION AND</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840" w:type="dxa"/>
            <w:vAlign w:val="bottom"/>
            <w:gridSpan w:val="2"/>
          </w:tcPr>
          <w:p>
            <w:pPr>
              <w:spacing w:after="0"/>
              <w:rPr>
                <w:sz w:val="20"/>
                <w:szCs w:val="20"/>
                <w:color w:val="auto"/>
              </w:rPr>
            </w:pPr>
            <w:r>
              <w:rPr>
                <w:rFonts w:ascii="Arial" w:cs="Arial" w:eastAsia="Arial" w:hAnsi="Arial"/>
                <w:sz w:val="18"/>
                <w:szCs w:val="18"/>
                <w:color w:val="auto"/>
              </w:rPr>
              <w:t>DELIVERY, TRANSFER AND SURRENDER OF RECEIPTS</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2.1</w:t>
            </w:r>
          </w:p>
        </w:tc>
        <w:tc>
          <w:tcPr>
            <w:tcW w:w="84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Appointment of Depositary</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1380" w:type="dxa"/>
            <w:vAlign w:val="bottom"/>
          </w:tcPr>
          <w:p>
            <w:pPr>
              <w:ind w:left="180"/>
              <w:spacing w:after="0"/>
              <w:rPr>
                <w:sz w:val="20"/>
                <w:szCs w:val="20"/>
                <w:color w:val="auto"/>
              </w:rPr>
            </w:pPr>
            <w:r>
              <w:rPr>
                <w:rFonts w:ascii="Arial" w:cs="Arial" w:eastAsia="Arial" w:hAnsi="Arial"/>
                <w:sz w:val="18"/>
                <w:szCs w:val="18"/>
                <w:color w:val="auto"/>
              </w:rPr>
              <w:t>Section 2.2</w:t>
            </w:r>
          </w:p>
        </w:tc>
        <w:tc>
          <w:tcPr>
            <w:tcW w:w="8620" w:type="dxa"/>
            <w:vAlign w:val="bottom"/>
          </w:tcPr>
          <w:p>
            <w:pPr>
              <w:ind w:left="320"/>
              <w:spacing w:after="0"/>
              <w:rPr>
                <w:sz w:val="20"/>
                <w:szCs w:val="20"/>
                <w:color w:val="auto"/>
              </w:rPr>
            </w:pPr>
            <w:r>
              <w:rPr>
                <w:rFonts w:ascii="Arial" w:cs="Arial" w:eastAsia="Arial" w:hAnsi="Arial"/>
                <w:sz w:val="18"/>
                <w:szCs w:val="18"/>
                <w:color w:val="auto"/>
              </w:rPr>
              <w:t>Form and Transferability of ADSs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2.3</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 of Shares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2.4</w:t>
            </w:r>
          </w:p>
        </w:tc>
        <w:tc>
          <w:tcPr>
            <w:tcW w:w="8620" w:type="dxa"/>
            <w:vAlign w:val="bottom"/>
          </w:tcPr>
          <w:p>
            <w:pPr>
              <w:ind w:left="320"/>
              <w:spacing w:after="0"/>
              <w:rPr>
                <w:sz w:val="20"/>
                <w:szCs w:val="20"/>
                <w:color w:val="auto"/>
              </w:rPr>
            </w:pPr>
            <w:r>
              <w:rPr>
                <w:rFonts w:ascii="Arial" w:cs="Arial" w:eastAsia="Arial" w:hAnsi="Arial"/>
                <w:sz w:val="18"/>
                <w:szCs w:val="18"/>
                <w:color w:val="auto"/>
              </w:rPr>
              <w:t>Registration and Safekeeping of Deposited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2.5</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ADSs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2.6</w:t>
            </w:r>
          </w:p>
        </w:tc>
        <w:tc>
          <w:tcPr>
            <w:tcW w:w="8620" w:type="dxa"/>
            <w:vAlign w:val="bottom"/>
          </w:tcPr>
          <w:p>
            <w:pPr>
              <w:ind w:left="320"/>
              <w:spacing w:after="0"/>
              <w:rPr>
                <w:sz w:val="20"/>
                <w:szCs w:val="20"/>
                <w:color w:val="auto"/>
              </w:rPr>
            </w:pPr>
            <w:r>
              <w:rPr>
                <w:rFonts w:ascii="Arial" w:cs="Arial" w:eastAsia="Arial" w:hAnsi="Arial"/>
                <w:sz w:val="18"/>
                <w:szCs w:val="18"/>
                <w:color w:val="auto"/>
              </w:rPr>
              <w:t>Transfer, Combination and Split-up of ADRs</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2.7</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Surrender of ADSs and Withdrawal of Deposited Securities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2.8</w:t>
            </w:r>
          </w:p>
        </w:tc>
        <w:tc>
          <w:tcPr>
            <w:tcW w:w="8620" w:type="dxa"/>
            <w:vAlign w:val="bottom"/>
          </w:tcPr>
          <w:p>
            <w:pPr>
              <w:ind w:left="320"/>
              <w:spacing w:after="0"/>
              <w:rPr>
                <w:sz w:val="20"/>
                <w:szCs w:val="20"/>
                <w:color w:val="auto"/>
              </w:rPr>
            </w:pPr>
            <w:r>
              <w:rPr>
                <w:rFonts w:ascii="Arial" w:cs="Arial" w:eastAsia="Arial" w:hAnsi="Arial"/>
                <w:sz w:val="18"/>
                <w:szCs w:val="18"/>
                <w:color w:val="auto"/>
              </w:rPr>
              <w:t>Limitations on Execution and Delivery, Transfer, etc. of ADSs; Suspension of Delivery, Transfer, etc</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2.9</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Lost ADRs, etc</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2.10</w:t>
            </w:r>
          </w:p>
        </w:tc>
        <w:tc>
          <w:tcPr>
            <w:tcW w:w="8620" w:type="dxa"/>
            <w:vAlign w:val="bottom"/>
          </w:tcPr>
          <w:p>
            <w:pPr>
              <w:ind w:left="320"/>
              <w:spacing w:after="0"/>
              <w:rPr>
                <w:sz w:val="20"/>
                <w:szCs w:val="20"/>
                <w:color w:val="auto"/>
              </w:rPr>
            </w:pPr>
            <w:r>
              <w:rPr>
                <w:rFonts w:ascii="Arial" w:cs="Arial" w:eastAsia="Arial" w:hAnsi="Arial"/>
                <w:sz w:val="18"/>
                <w:szCs w:val="18"/>
                <w:color w:val="auto"/>
              </w:rPr>
              <w:t>Cancellation and Destruction of Surrendered ADRs; Maintenance of Records</w:t>
            </w: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2.11</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Escheatment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2.12</w:t>
            </w:r>
          </w:p>
        </w:tc>
        <w:tc>
          <w:tcPr>
            <w:tcW w:w="8620" w:type="dxa"/>
            <w:vAlign w:val="bottom"/>
          </w:tcPr>
          <w:p>
            <w:pPr>
              <w:ind w:left="320"/>
              <w:spacing w:after="0"/>
              <w:rPr>
                <w:sz w:val="20"/>
                <w:szCs w:val="20"/>
                <w:color w:val="auto"/>
              </w:rPr>
            </w:pPr>
            <w:r>
              <w:rPr>
                <w:rFonts w:ascii="Arial" w:cs="Arial" w:eastAsia="Arial" w:hAnsi="Arial"/>
                <w:sz w:val="18"/>
                <w:szCs w:val="18"/>
                <w:color w:val="auto"/>
              </w:rPr>
              <w:t>Partial Entitlement ADSs</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2.13</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Certificated/Uncertificated ADSs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2.14</w:t>
            </w:r>
          </w:p>
        </w:tc>
        <w:tc>
          <w:tcPr>
            <w:tcW w:w="8620" w:type="dxa"/>
            <w:vAlign w:val="bottom"/>
          </w:tcPr>
          <w:p>
            <w:pPr>
              <w:ind w:left="320"/>
              <w:spacing w:after="0"/>
              <w:rPr>
                <w:sz w:val="20"/>
                <w:szCs w:val="20"/>
                <w:color w:val="auto"/>
              </w:rPr>
            </w:pPr>
            <w:r>
              <w:rPr>
                <w:rFonts w:ascii="Arial" w:cs="Arial" w:eastAsia="Arial" w:hAnsi="Arial"/>
                <w:sz w:val="18"/>
                <w:szCs w:val="18"/>
                <w:color w:val="auto"/>
              </w:rPr>
              <w:t>Restricted ADSs</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III</w:t>
            </w:r>
          </w:p>
        </w:tc>
        <w:tc>
          <w:tcPr>
            <w:tcW w:w="8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2"/>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000" w:type="dxa"/>
            <w:vAlign w:val="bottom"/>
            <w:gridSpan w:val="2"/>
          </w:tcPr>
          <w:p>
            <w:pPr>
              <w:spacing w:after="0" w:line="201" w:lineRule="exact"/>
              <w:rPr>
                <w:sz w:val="20"/>
                <w:szCs w:val="20"/>
                <w:color w:val="auto"/>
              </w:rPr>
            </w:pPr>
            <w:r>
              <w:rPr>
                <w:rFonts w:ascii="Arial" w:cs="Arial" w:eastAsia="Arial" w:hAnsi="Arial"/>
                <w:sz w:val="18"/>
                <w:szCs w:val="18"/>
                <w:color w:val="auto"/>
              </w:rPr>
              <w:t>CERTAIN OBLIGATIONS OF HOLDERS</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0" w:type="dxa"/>
            <w:vAlign w:val="bottom"/>
            <w:gridSpan w:val="2"/>
          </w:tcPr>
          <w:p>
            <w:pPr>
              <w:spacing w:after="0"/>
              <w:rPr>
                <w:sz w:val="20"/>
                <w:szCs w:val="20"/>
                <w:color w:val="auto"/>
              </w:rPr>
            </w:pPr>
            <w:r>
              <w:rPr>
                <w:rFonts w:ascii="Arial" w:cs="Arial" w:eastAsia="Arial" w:hAnsi="Arial"/>
                <w:sz w:val="18"/>
                <w:szCs w:val="18"/>
                <w:color w:val="auto"/>
              </w:rPr>
              <w:t>AND BENEFICIAL OWNERS OF ADSs</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3.1</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Proofs, Certificates and Other Information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3.2</w:t>
            </w:r>
          </w:p>
        </w:tc>
        <w:tc>
          <w:tcPr>
            <w:tcW w:w="8620" w:type="dxa"/>
            <w:vAlign w:val="bottom"/>
          </w:tcPr>
          <w:p>
            <w:pPr>
              <w:ind w:left="320"/>
              <w:spacing w:after="0"/>
              <w:rPr>
                <w:sz w:val="20"/>
                <w:szCs w:val="20"/>
                <w:color w:val="auto"/>
              </w:rPr>
            </w:pPr>
            <w:r>
              <w:rPr>
                <w:rFonts w:ascii="Arial" w:cs="Arial" w:eastAsia="Arial" w:hAnsi="Arial"/>
                <w:sz w:val="18"/>
                <w:szCs w:val="18"/>
                <w:color w:val="auto"/>
              </w:rPr>
              <w:t>Liability for Taxes and Other Charges</w:t>
            </w: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3.3</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Representations and Warranties on Deposit of Shares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3.4</w:t>
            </w:r>
          </w:p>
        </w:tc>
        <w:tc>
          <w:tcPr>
            <w:tcW w:w="8620" w:type="dxa"/>
            <w:vAlign w:val="bottom"/>
          </w:tcPr>
          <w:p>
            <w:pPr>
              <w:ind w:left="320"/>
              <w:spacing w:after="0"/>
              <w:rPr>
                <w:sz w:val="20"/>
                <w:szCs w:val="20"/>
                <w:color w:val="auto"/>
              </w:rPr>
            </w:pPr>
            <w:r>
              <w:rPr>
                <w:rFonts w:ascii="Arial" w:cs="Arial" w:eastAsia="Arial" w:hAnsi="Arial"/>
                <w:sz w:val="18"/>
                <w:szCs w:val="18"/>
                <w:color w:val="auto"/>
              </w:rPr>
              <w:t>Compliance with Information Requests</w:t>
            </w: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3.5</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Ownership Restrictions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3.6</w:t>
            </w:r>
          </w:p>
        </w:tc>
        <w:tc>
          <w:tcPr>
            <w:tcW w:w="8620" w:type="dxa"/>
            <w:vAlign w:val="bottom"/>
          </w:tcPr>
          <w:p>
            <w:pPr>
              <w:ind w:left="320"/>
              <w:spacing w:after="0"/>
              <w:rPr>
                <w:sz w:val="20"/>
                <w:szCs w:val="20"/>
                <w:color w:val="auto"/>
              </w:rPr>
            </w:pPr>
            <w:r>
              <w:rPr>
                <w:rFonts w:ascii="Arial" w:cs="Arial" w:eastAsia="Arial" w:hAnsi="Arial"/>
                <w:sz w:val="18"/>
                <w:szCs w:val="18"/>
                <w:color w:val="auto"/>
              </w:rPr>
              <w:t>Reporting Obligations and Regulatory Approvals</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ARTICLE IV</w:t>
            </w:r>
          </w:p>
        </w:tc>
        <w:tc>
          <w:tcPr>
            <w:tcW w:w="8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2"/>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2"/>
          </w:tcPr>
          <w:p>
            <w:pPr>
              <w:spacing w:after="0"/>
              <w:rPr>
                <w:sz w:val="20"/>
                <w:szCs w:val="20"/>
                <w:color w:val="auto"/>
              </w:rPr>
            </w:pPr>
            <w:r>
              <w:rPr>
                <w:rFonts w:ascii="Arial" w:cs="Arial" w:eastAsia="Arial" w:hAnsi="Arial"/>
                <w:sz w:val="18"/>
                <w:szCs w:val="18"/>
                <w:color w:val="auto"/>
              </w:rPr>
              <w:t>THE DEPOSITED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Distributions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4.2</w:t>
            </w:r>
          </w:p>
        </w:tc>
        <w:tc>
          <w:tcPr>
            <w:tcW w:w="8620" w:type="dxa"/>
            <w:vAlign w:val="bottom"/>
          </w:tcPr>
          <w:p>
            <w:pPr>
              <w:ind w:left="320"/>
              <w:spacing w:after="0"/>
              <w:rPr>
                <w:sz w:val="20"/>
                <w:szCs w:val="20"/>
                <w:color w:val="auto"/>
              </w:rPr>
            </w:pPr>
            <w:r>
              <w:rPr>
                <w:rFonts w:ascii="Arial" w:cs="Arial" w:eastAsia="Arial" w:hAnsi="Arial"/>
                <w:sz w:val="18"/>
                <w:szCs w:val="18"/>
                <w:color w:val="auto"/>
              </w:rPr>
              <w:t>Distribution in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4.3</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Elective Distributions in Cash or Shares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4.4</w:t>
            </w:r>
          </w:p>
        </w:tc>
        <w:tc>
          <w:tcPr>
            <w:tcW w:w="8620" w:type="dxa"/>
            <w:vAlign w:val="bottom"/>
          </w:tcPr>
          <w:p>
            <w:pPr>
              <w:ind w:left="320"/>
              <w:spacing w:after="0"/>
              <w:rPr>
                <w:sz w:val="20"/>
                <w:szCs w:val="20"/>
                <w:color w:val="auto"/>
              </w:rPr>
            </w:pPr>
            <w:r>
              <w:rPr>
                <w:rFonts w:ascii="Arial" w:cs="Arial" w:eastAsia="Arial" w:hAnsi="Arial"/>
                <w:sz w:val="18"/>
                <w:szCs w:val="18"/>
                <w:color w:val="auto"/>
              </w:rPr>
              <w:t>Distribution of Rights to Purchase Additional ADSs</w:t>
            </w: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4.5</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4.6</w:t>
            </w:r>
          </w:p>
        </w:tc>
        <w:tc>
          <w:tcPr>
            <w:tcW w:w="8620" w:type="dxa"/>
            <w:vAlign w:val="bottom"/>
          </w:tcPr>
          <w:p>
            <w:pPr>
              <w:ind w:left="320"/>
              <w:spacing w:after="0"/>
              <w:rPr>
                <w:sz w:val="20"/>
                <w:szCs w:val="20"/>
                <w:color w:val="auto"/>
              </w:rPr>
            </w:pPr>
            <w:r>
              <w:rPr>
                <w:rFonts w:ascii="Arial" w:cs="Arial" w:eastAsia="Arial" w:hAnsi="Arial"/>
                <w:sz w:val="18"/>
                <w:szCs w:val="18"/>
                <w:color w:val="auto"/>
              </w:rPr>
              <w:t>Distributions with Respect to Deposited Securities in Bearer Form</w:t>
            </w: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4.7</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Redemption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4.8</w:t>
            </w:r>
          </w:p>
        </w:tc>
        <w:tc>
          <w:tcPr>
            <w:tcW w:w="8620" w:type="dxa"/>
            <w:vAlign w:val="bottom"/>
          </w:tcPr>
          <w:p>
            <w:pPr>
              <w:ind w:left="320"/>
              <w:spacing w:after="0"/>
              <w:rPr>
                <w:sz w:val="20"/>
                <w:szCs w:val="20"/>
                <w:color w:val="auto"/>
              </w:rPr>
            </w:pPr>
            <w:r>
              <w:rPr>
                <w:rFonts w:ascii="Arial" w:cs="Arial" w:eastAsia="Arial" w:hAnsi="Arial"/>
                <w:sz w:val="18"/>
                <w:szCs w:val="18"/>
                <w:color w:val="auto"/>
              </w:rPr>
              <w:t>Conversion of Foreign Currency</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4.9</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Fixing of ADS Record Date</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4.10</w:t>
            </w:r>
          </w:p>
        </w:tc>
        <w:tc>
          <w:tcPr>
            <w:tcW w:w="8620" w:type="dxa"/>
            <w:vAlign w:val="bottom"/>
          </w:tcPr>
          <w:p>
            <w:pPr>
              <w:ind w:left="320"/>
              <w:spacing w:after="0"/>
              <w:rPr>
                <w:sz w:val="20"/>
                <w:szCs w:val="20"/>
                <w:color w:val="auto"/>
              </w:rPr>
            </w:pPr>
            <w:r>
              <w:rPr>
                <w:rFonts w:ascii="Arial" w:cs="Arial" w:eastAsia="Arial" w:hAnsi="Arial"/>
                <w:sz w:val="18"/>
                <w:szCs w:val="18"/>
                <w:color w:val="auto"/>
              </w:rPr>
              <w:t>Voting of Deposited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4.11</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Affecting Deposited Securities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4.12</w:t>
            </w:r>
          </w:p>
        </w:tc>
        <w:tc>
          <w:tcPr>
            <w:tcW w:w="8620" w:type="dxa"/>
            <w:vAlign w:val="bottom"/>
          </w:tcPr>
          <w:p>
            <w:pPr>
              <w:ind w:left="320"/>
              <w:spacing w:after="0"/>
              <w:rPr>
                <w:sz w:val="20"/>
                <w:szCs w:val="20"/>
                <w:color w:val="auto"/>
              </w:rPr>
            </w:pPr>
            <w:r>
              <w:rPr>
                <w:rFonts w:ascii="Arial" w:cs="Arial" w:eastAsia="Arial" w:hAnsi="Arial"/>
                <w:sz w:val="18"/>
                <w:szCs w:val="18"/>
                <w:color w:val="auto"/>
              </w:rPr>
              <w:t>Available Information</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4.13</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Reports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80"/>
              <w:spacing w:after="0"/>
              <w:rPr>
                <w:sz w:val="20"/>
                <w:szCs w:val="20"/>
                <w:color w:val="auto"/>
              </w:rPr>
            </w:pPr>
            <w:r>
              <w:rPr>
                <w:rFonts w:ascii="Arial" w:cs="Arial" w:eastAsia="Arial" w:hAnsi="Arial"/>
                <w:sz w:val="18"/>
                <w:szCs w:val="18"/>
                <w:color w:val="auto"/>
              </w:rPr>
              <w:t>Section 4.14</w:t>
            </w:r>
          </w:p>
        </w:tc>
        <w:tc>
          <w:tcPr>
            <w:tcW w:w="8620" w:type="dxa"/>
            <w:vAlign w:val="bottom"/>
          </w:tcPr>
          <w:p>
            <w:pPr>
              <w:ind w:left="320"/>
              <w:spacing w:after="0"/>
              <w:rPr>
                <w:sz w:val="20"/>
                <w:szCs w:val="20"/>
                <w:color w:val="auto"/>
              </w:rPr>
            </w:pPr>
            <w:r>
              <w:rPr>
                <w:rFonts w:ascii="Arial" w:cs="Arial" w:eastAsia="Arial" w:hAnsi="Arial"/>
                <w:sz w:val="18"/>
                <w:szCs w:val="18"/>
                <w:color w:val="auto"/>
              </w:rPr>
              <w:t>List of Holders</w:t>
            </w: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4.15</w:t>
            </w: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Taxation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ARTICLE V</w:t>
            </w:r>
          </w:p>
        </w:tc>
        <w:tc>
          <w:tcPr>
            <w:tcW w:w="7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THE DEPOSITARY, THE CUSTODIAN AND THE COMPANY</w:t>
            </w:r>
          </w:p>
        </w:tc>
        <w:tc>
          <w:tcPr>
            <w:tcW w:w="19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5.1</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Maintenance of Office and Transfer Books by the Registrar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Arial" w:cs="Arial" w:eastAsia="Arial" w:hAnsi="Arial"/>
                <w:sz w:val="18"/>
                <w:szCs w:val="18"/>
                <w:color w:val="auto"/>
              </w:rPr>
              <w:t>Section 5.2</w:t>
            </w:r>
          </w:p>
        </w:tc>
        <w:tc>
          <w:tcPr>
            <w:tcW w:w="7720" w:type="dxa"/>
            <w:vAlign w:val="bottom"/>
          </w:tcPr>
          <w:p>
            <w:pPr>
              <w:ind w:left="100"/>
              <w:spacing w:after="0"/>
              <w:rPr>
                <w:sz w:val="20"/>
                <w:szCs w:val="20"/>
                <w:color w:val="auto"/>
              </w:rPr>
            </w:pPr>
            <w:r>
              <w:rPr>
                <w:rFonts w:ascii="Arial" w:cs="Arial" w:eastAsia="Arial" w:hAnsi="Arial"/>
                <w:sz w:val="18"/>
                <w:szCs w:val="18"/>
                <w:color w:val="auto"/>
              </w:rPr>
              <w:t>Exoneration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5.3</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Standard of Care</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Arial" w:cs="Arial" w:eastAsia="Arial" w:hAnsi="Arial"/>
                <w:sz w:val="18"/>
                <w:szCs w:val="18"/>
                <w:color w:val="auto"/>
              </w:rPr>
              <w:t>Section 5.4</w:t>
            </w:r>
          </w:p>
        </w:tc>
        <w:tc>
          <w:tcPr>
            <w:tcW w:w="7720" w:type="dxa"/>
            <w:vAlign w:val="bottom"/>
          </w:tcPr>
          <w:p>
            <w:pPr>
              <w:ind w:left="10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9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5.5</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The Custodian</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Arial" w:cs="Arial" w:eastAsia="Arial" w:hAnsi="Arial"/>
                <w:sz w:val="18"/>
                <w:szCs w:val="18"/>
                <w:color w:val="auto"/>
              </w:rPr>
              <w:t>Section 5.6</w:t>
            </w:r>
          </w:p>
        </w:tc>
        <w:tc>
          <w:tcPr>
            <w:tcW w:w="7720" w:type="dxa"/>
            <w:vAlign w:val="bottom"/>
          </w:tcPr>
          <w:p>
            <w:pPr>
              <w:ind w:left="100"/>
              <w:spacing w:after="0"/>
              <w:rPr>
                <w:sz w:val="20"/>
                <w:szCs w:val="20"/>
                <w:color w:val="auto"/>
              </w:rPr>
            </w:pPr>
            <w:r>
              <w:rPr>
                <w:rFonts w:ascii="Arial" w:cs="Arial" w:eastAsia="Arial" w:hAnsi="Arial"/>
                <w:sz w:val="18"/>
                <w:szCs w:val="18"/>
                <w:color w:val="auto"/>
              </w:rPr>
              <w:t>Notices and Reports</w:t>
            </w:r>
          </w:p>
        </w:tc>
        <w:tc>
          <w:tcPr>
            <w:tcW w:w="192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5.7</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of Additional Shares, ADSs etc</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Arial" w:cs="Arial" w:eastAsia="Arial" w:hAnsi="Arial"/>
                <w:sz w:val="18"/>
                <w:szCs w:val="18"/>
                <w:color w:val="auto"/>
              </w:rPr>
              <w:t>Section 5.8</w:t>
            </w:r>
          </w:p>
        </w:tc>
        <w:tc>
          <w:tcPr>
            <w:tcW w:w="772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19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5.9</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ADS Fees and Charges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Arial" w:cs="Arial" w:eastAsia="Arial" w:hAnsi="Arial"/>
                <w:sz w:val="18"/>
                <w:szCs w:val="18"/>
                <w:color w:val="auto"/>
              </w:rPr>
              <w:t>Section 5.10</w:t>
            </w:r>
          </w:p>
        </w:tc>
        <w:tc>
          <w:tcPr>
            <w:tcW w:w="7720" w:type="dxa"/>
            <w:vAlign w:val="bottom"/>
          </w:tcPr>
          <w:p>
            <w:pPr>
              <w:ind w:left="100"/>
              <w:spacing w:after="0"/>
              <w:rPr>
                <w:sz w:val="20"/>
                <w:szCs w:val="20"/>
                <w:color w:val="auto"/>
              </w:rPr>
            </w:pPr>
            <w:r>
              <w:rPr>
                <w:rFonts w:ascii="Arial" w:cs="Arial" w:eastAsia="Arial" w:hAnsi="Arial"/>
                <w:sz w:val="18"/>
                <w:szCs w:val="18"/>
                <w:color w:val="auto"/>
              </w:rPr>
              <w:t>Restricted Securities Owners</w:t>
            </w:r>
          </w:p>
        </w:tc>
        <w:tc>
          <w:tcPr>
            <w:tcW w:w="19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ARTICLE VI</w:t>
            </w:r>
          </w:p>
        </w:tc>
        <w:tc>
          <w:tcPr>
            <w:tcW w:w="7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Arial" w:cs="Arial" w:eastAsia="Arial" w:hAnsi="Arial"/>
                <w:sz w:val="18"/>
                <w:szCs w:val="18"/>
                <w:color w:val="auto"/>
              </w:rPr>
              <w:t>AMENDMENT AND TERMINATION</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6.1</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Amendment/Supplement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Arial" w:cs="Arial" w:eastAsia="Arial" w:hAnsi="Arial"/>
                <w:sz w:val="18"/>
                <w:szCs w:val="18"/>
                <w:color w:val="auto"/>
              </w:rPr>
              <w:t>Section 6.2</w:t>
            </w:r>
          </w:p>
        </w:tc>
        <w:tc>
          <w:tcPr>
            <w:tcW w:w="772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ARTICLE VII</w:t>
            </w:r>
          </w:p>
        </w:tc>
        <w:tc>
          <w:tcPr>
            <w:tcW w:w="7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MISCELLANEOUS</w:t>
            </w:r>
          </w:p>
        </w:tc>
        <w:tc>
          <w:tcPr>
            <w:tcW w:w="77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7.1</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Counterparts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Arial" w:cs="Arial" w:eastAsia="Arial" w:hAnsi="Arial"/>
                <w:sz w:val="18"/>
                <w:szCs w:val="18"/>
                <w:color w:val="auto"/>
              </w:rPr>
              <w:t>Section 7.2</w:t>
            </w:r>
          </w:p>
        </w:tc>
        <w:tc>
          <w:tcPr>
            <w:tcW w:w="7720" w:type="dxa"/>
            <w:vAlign w:val="bottom"/>
          </w:tcPr>
          <w:p>
            <w:pPr>
              <w:ind w:left="100"/>
              <w:spacing w:after="0"/>
              <w:rPr>
                <w:sz w:val="20"/>
                <w:szCs w:val="20"/>
                <w:color w:val="auto"/>
              </w:rPr>
            </w:pPr>
            <w:r>
              <w:rPr>
                <w:rFonts w:ascii="Arial" w:cs="Arial" w:eastAsia="Arial" w:hAnsi="Arial"/>
                <w:sz w:val="18"/>
                <w:szCs w:val="18"/>
                <w:color w:val="auto"/>
              </w:rPr>
              <w:t>No Third Party Beneficiaries/Acknowledgments</w:t>
            </w:r>
          </w:p>
        </w:tc>
        <w:tc>
          <w:tcPr>
            <w:tcW w:w="192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7.3</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Severability</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Arial" w:cs="Arial" w:eastAsia="Arial" w:hAnsi="Arial"/>
                <w:sz w:val="18"/>
                <w:szCs w:val="18"/>
                <w:color w:val="auto"/>
              </w:rPr>
              <w:t>Section 7.4</w:t>
            </w:r>
          </w:p>
        </w:tc>
        <w:tc>
          <w:tcPr>
            <w:tcW w:w="7720" w:type="dxa"/>
            <w:vAlign w:val="bottom"/>
          </w:tcPr>
          <w:p>
            <w:pPr>
              <w:ind w:left="100"/>
              <w:spacing w:after="0"/>
              <w:rPr>
                <w:sz w:val="20"/>
                <w:szCs w:val="20"/>
                <w:color w:val="auto"/>
              </w:rPr>
            </w:pPr>
            <w:r>
              <w:rPr>
                <w:rFonts w:ascii="Arial" w:cs="Arial" w:eastAsia="Arial" w:hAnsi="Arial"/>
                <w:sz w:val="18"/>
                <w:szCs w:val="18"/>
                <w:color w:val="auto"/>
              </w:rPr>
              <w:t>Holders and Beneficial Owners as Parties; Binding Effect</w:t>
            </w:r>
          </w:p>
        </w:tc>
        <w:tc>
          <w:tcPr>
            <w:tcW w:w="192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7.5</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Notices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Arial" w:cs="Arial" w:eastAsia="Arial" w:hAnsi="Arial"/>
                <w:sz w:val="18"/>
                <w:szCs w:val="18"/>
                <w:color w:val="auto"/>
              </w:rPr>
              <w:t>Section 7.6</w:t>
            </w:r>
          </w:p>
        </w:tc>
        <w:tc>
          <w:tcPr>
            <w:tcW w:w="7720" w:type="dxa"/>
            <w:vAlign w:val="bottom"/>
          </w:tcPr>
          <w:p>
            <w:pPr>
              <w:ind w:left="100"/>
              <w:spacing w:after="0"/>
              <w:rPr>
                <w:sz w:val="20"/>
                <w:szCs w:val="20"/>
                <w:color w:val="auto"/>
              </w:rPr>
            </w:pPr>
            <w:r>
              <w:rPr>
                <w:rFonts w:ascii="Arial" w:cs="Arial" w:eastAsia="Arial" w:hAnsi="Arial"/>
                <w:sz w:val="18"/>
                <w:szCs w:val="18"/>
                <w:color w:val="auto"/>
              </w:rPr>
              <w:t>Governing Law and Jurisdiction</w:t>
            </w:r>
          </w:p>
        </w:tc>
        <w:tc>
          <w:tcPr>
            <w:tcW w:w="19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7.7</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Assignment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Arial" w:cs="Arial" w:eastAsia="Arial" w:hAnsi="Arial"/>
                <w:sz w:val="18"/>
                <w:szCs w:val="18"/>
                <w:color w:val="auto"/>
              </w:rPr>
              <w:t>Section 7.8</w:t>
            </w:r>
          </w:p>
        </w:tc>
        <w:tc>
          <w:tcPr>
            <w:tcW w:w="7720" w:type="dxa"/>
            <w:vAlign w:val="bottom"/>
          </w:tcPr>
          <w:p>
            <w:pPr>
              <w:ind w:left="100"/>
              <w:spacing w:after="0"/>
              <w:rPr>
                <w:sz w:val="20"/>
                <w:szCs w:val="20"/>
                <w:color w:val="auto"/>
              </w:rPr>
            </w:pPr>
            <w:r>
              <w:rPr>
                <w:rFonts w:ascii="Arial" w:cs="Arial" w:eastAsia="Arial" w:hAnsi="Arial"/>
                <w:sz w:val="18"/>
                <w:szCs w:val="18"/>
                <w:color w:val="auto"/>
              </w:rPr>
              <w:t>Compliance with, and No Disclaimer under, U.S. Securities Laws</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Section 7.9</w:t>
            </w: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English Law References</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80"/>
              <w:spacing w:after="0"/>
              <w:rPr>
                <w:sz w:val="20"/>
                <w:szCs w:val="20"/>
                <w:color w:val="auto"/>
              </w:rPr>
            </w:pPr>
            <w:r>
              <w:rPr>
                <w:rFonts w:ascii="Arial" w:cs="Arial" w:eastAsia="Arial" w:hAnsi="Arial"/>
                <w:sz w:val="18"/>
                <w:szCs w:val="18"/>
                <w:color w:val="auto"/>
              </w:rPr>
              <w:t>Section 7.10</w:t>
            </w:r>
          </w:p>
        </w:tc>
        <w:tc>
          <w:tcPr>
            <w:tcW w:w="7720" w:type="dxa"/>
            <w:vAlign w:val="bottom"/>
          </w:tcPr>
          <w:p>
            <w:pPr>
              <w:ind w:left="100"/>
              <w:spacing w:after="0"/>
              <w:rPr>
                <w:sz w:val="20"/>
                <w:szCs w:val="20"/>
                <w:color w:val="auto"/>
              </w:rPr>
            </w:pPr>
            <w:r>
              <w:rPr>
                <w:rFonts w:ascii="Arial" w:cs="Arial" w:eastAsia="Arial" w:hAnsi="Arial"/>
                <w:sz w:val="18"/>
                <w:szCs w:val="18"/>
                <w:color w:val="auto"/>
              </w:rPr>
              <w:t>Titles and References</w:t>
            </w:r>
          </w:p>
        </w:tc>
        <w:tc>
          <w:tcPr>
            <w:tcW w:w="19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EXHIBITS</w:t>
            </w:r>
          </w:p>
        </w:tc>
        <w:tc>
          <w:tcPr>
            <w:tcW w:w="7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7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Form of ADR.</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7720" w:type="dxa"/>
            <w:vAlign w:val="bottom"/>
          </w:tcPr>
          <w:p>
            <w:pPr>
              <w:ind w:left="100"/>
              <w:spacing w:after="0"/>
              <w:rPr>
                <w:sz w:val="20"/>
                <w:szCs w:val="20"/>
                <w:color w:val="auto"/>
              </w:rPr>
            </w:pPr>
            <w:r>
              <w:rPr>
                <w:rFonts w:ascii="Arial" w:cs="Arial" w:eastAsia="Arial" w:hAnsi="Arial"/>
                <w:sz w:val="18"/>
                <w:szCs w:val="18"/>
                <w:color w:val="auto"/>
              </w:rPr>
              <w:t>Fee Schedule.</w:t>
            </w:r>
          </w:p>
        </w:tc>
        <w:tc>
          <w:tcPr>
            <w:tcW w:w="1920" w:type="dxa"/>
            <w:vAlign w:val="bottom"/>
          </w:tcPr>
          <w:p>
            <w:pPr>
              <w:jc w:val="right"/>
              <w:spacing w:after="0"/>
              <w:rPr>
                <w:sz w:val="20"/>
                <w:szCs w:val="20"/>
                <w:color w:val="auto"/>
              </w:rPr>
            </w:pPr>
            <w:r>
              <w:rPr>
                <w:rFonts w:ascii="Arial" w:cs="Arial" w:eastAsia="Arial" w:hAnsi="Arial"/>
                <w:sz w:val="18"/>
                <w:szCs w:val="18"/>
                <w:color w:val="auto"/>
              </w:rPr>
              <w:t>B-1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DEPOSIT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DEPOSIT AGREEMENT</w:t>
      </w:r>
      <w:r>
        <w:rPr>
          <w:rFonts w:ascii="Arial" w:cs="Arial" w:eastAsia="Arial" w:hAnsi="Arial"/>
          <w:sz w:val="17"/>
          <w:szCs w:val="17"/>
          <w:color w:val="auto"/>
        </w:rPr>
        <w:t>, dated as of ___________, 2022, by and among (i) Polestar Automotive Holding UK [Limited][PLC], a [public]</w:t>
      </w:r>
    </w:p>
    <w:p>
      <w:pPr>
        <w:spacing w:after="0" w:line="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limited company incorporated under the laws of England and Wales, and its successors (the “</w:t>
      </w:r>
      <w:r>
        <w:rPr>
          <w:rFonts w:ascii="Arial" w:cs="Arial" w:eastAsia="Arial" w:hAnsi="Arial"/>
          <w:sz w:val="18"/>
          <w:szCs w:val="18"/>
          <w:u w:val="single" w:color="auto"/>
          <w:color w:val="auto"/>
        </w:rPr>
        <w:t>Company</w:t>
      </w:r>
      <w:r>
        <w:rPr>
          <w:rFonts w:ascii="Arial" w:cs="Arial" w:eastAsia="Arial" w:hAnsi="Arial"/>
          <w:sz w:val="18"/>
          <w:szCs w:val="18"/>
          <w:color w:val="auto"/>
        </w:rPr>
        <w:t>”), (ii) CITIBANK, N.A., a national banking association organized under the laws of the United States of America (“</w:t>
      </w:r>
      <w:r>
        <w:rPr>
          <w:rFonts w:ascii="Arial" w:cs="Arial" w:eastAsia="Arial" w:hAnsi="Arial"/>
          <w:sz w:val="18"/>
          <w:szCs w:val="18"/>
          <w:u w:val="single" w:color="auto"/>
          <w:color w:val="auto"/>
        </w:rPr>
        <w:t>Citibank</w:t>
      </w:r>
      <w:r>
        <w:rPr>
          <w:rFonts w:ascii="Arial" w:cs="Arial" w:eastAsia="Arial" w:hAnsi="Arial"/>
          <w:sz w:val="18"/>
          <w:szCs w:val="18"/>
          <w:color w:val="auto"/>
        </w:rPr>
        <w:t>”) acting in its capacity as depositary, and any successor depositary hereunder (Citibank in such capacity, the “</w:t>
      </w:r>
      <w:r>
        <w:rPr>
          <w:rFonts w:ascii="Arial" w:cs="Arial" w:eastAsia="Arial" w:hAnsi="Arial"/>
          <w:sz w:val="18"/>
          <w:szCs w:val="18"/>
          <w:u w:val="single" w:color="auto"/>
          <w:color w:val="auto"/>
        </w:rPr>
        <w:t>Depositary</w:t>
      </w:r>
      <w:r>
        <w:rPr>
          <w:rFonts w:ascii="Arial" w:cs="Arial" w:eastAsia="Arial" w:hAnsi="Arial"/>
          <w:sz w:val="18"/>
          <w:szCs w:val="18"/>
          <w:color w:val="auto"/>
        </w:rPr>
        <w:t>”), and (iii) all Holders and Beneficial Owners of American Depositary Shares issued hereunder (all such capitalized terms as hereinafter defined).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desires to establish with the Depositary an ADR facility to provide, inter alia, for the deposit of the Shares (as</w:t>
      </w:r>
      <w:r>
        <w:rPr>
          <w:rFonts w:ascii="Arial" w:cs="Arial" w:eastAsia="Arial" w:hAnsi="Arial"/>
          <w:sz w:val="17"/>
          <w:szCs w:val="17"/>
          <w:b w:val="1"/>
          <w:bCs w:val="1"/>
          <w:color w:val="auto"/>
        </w:rPr>
        <w:t xml:space="preserve"> </w:t>
      </w:r>
      <w:r>
        <w:rPr>
          <w:rFonts w:ascii="Arial" w:cs="Arial" w:eastAsia="Arial" w:hAnsi="Arial"/>
          <w:sz w:val="17"/>
          <w:szCs w:val="17"/>
          <w:color w:val="auto"/>
        </w:rPr>
        <w:t>hereinafter 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58"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62" w:lineRule="exact"/>
        <w:rPr>
          <w:sz w:val="20"/>
          <w:szCs w:val="20"/>
          <w:color w:val="auto"/>
        </w:rPr>
      </w:pPr>
    </w:p>
    <w:p>
      <w:pPr>
        <w:ind w:right="420" w:firstLine="648"/>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any American Depositary Receipts issued pursuant to the terms of the Deposit Agreement are to be substantially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with appropriate insertions, modifications and omissions, as hereinafter provided in the Deposit Agreement; and</w:t>
      </w:r>
    </w:p>
    <w:p>
      <w:pPr>
        <w:spacing w:after="0" w:line="116"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w:t>
      </w:r>
      <w:r>
        <w:rPr>
          <w:rFonts w:ascii="Arial" w:cs="Arial" w:eastAsia="Arial" w:hAnsi="Arial"/>
          <w:sz w:val="18"/>
          <w:szCs w:val="18"/>
          <w:b w:val="1"/>
          <w:bCs w:val="1"/>
          <w:color w:val="auto"/>
        </w:rPr>
        <w:t xml:space="preserve"> </w:t>
      </w:r>
      <w:r>
        <w:rPr>
          <w:rFonts w:ascii="Arial" w:cs="Arial" w:eastAsia="Arial" w:hAnsi="Arial"/>
          <w:sz w:val="18"/>
          <w:szCs w:val="18"/>
          <w:color w:val="auto"/>
        </w:rPr>
        <w:t>agree as follows: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ADS Record Date</w:t>
      </w:r>
      <w:r>
        <w:rPr>
          <w:rFonts w:ascii="Arial" w:cs="Arial" w:eastAsia="Arial" w:hAnsi="Arial"/>
          <w:sz w:val="16"/>
          <w:szCs w:val="16"/>
          <w:color w:val="auto"/>
        </w:rPr>
        <w:t>” shall have the meaning given to such term in Section 4.9.</w:t>
      </w:r>
    </w:p>
    <w:p>
      <w:pPr>
        <w:spacing w:after="0" w:line="22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b w:val="1"/>
          <w:bCs w:val="1"/>
          <w:color w:val="auto"/>
        </w:rPr>
        <w:t>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(as hereinafter defined), or under any successor regulation thereto.</w:t>
      </w:r>
    </w:p>
    <w:p>
      <w:pPr>
        <w:spacing w:after="0" w:line="162"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American Depositary Receipt(s)</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ADR(s)</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Receipt(s)</w:t>
      </w:r>
      <w:r>
        <w:rPr>
          <w:rFonts w:ascii="Arial" w:cs="Arial" w:eastAsia="Arial" w:hAnsi="Arial"/>
          <w:sz w:val="17"/>
          <w:szCs w:val="17"/>
          <w:color w:val="auto"/>
        </w:rPr>
        <w:t>” shall mean the certificate(s) issued by the Depositary to</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 the American Depositary Shares issued under the terms of the Deposit Agreement in the form of Certificated ADS(s) (as hereinafter defined)</w:t>
      </w:r>
      <w:r>
        <w:rPr>
          <w:rFonts w:ascii="Arial" w:cs="Arial" w:eastAsia="Arial" w:hAnsi="Arial"/>
          <w:sz w:val="17"/>
          <w:szCs w:val="17"/>
          <w:b w:val="1"/>
          <w:bCs w:val="1"/>
          <w:color w:val="auto"/>
        </w:rPr>
        <w:t>,</w:t>
      </w:r>
      <w:r>
        <w:rPr>
          <w:rFonts w:ascii="Arial" w:cs="Arial" w:eastAsia="Arial" w:hAnsi="Arial"/>
          <w:sz w:val="17"/>
          <w:szCs w:val="17"/>
          <w:color w:val="auto"/>
        </w:rPr>
        <w:t xml:space="preserve">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8" w:name="page19"/>
    <w:bookmarkEnd w:id="18"/>
    <w:p>
      <w:pPr>
        <w:ind w:firstLine="648"/>
        <w:spacing w:after="0" w:line="289"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American Depositary Share(s)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ADS(s)</w:t>
      </w:r>
      <w:r>
        <w:rPr>
          <w:rFonts w:ascii="Arial" w:cs="Arial" w:eastAsia="Arial" w:hAnsi="Arial"/>
          <w:sz w:val="16"/>
          <w:szCs w:val="16"/>
          <w:color w:val="auto"/>
        </w:rPr>
        <w:t>” shall mean the rights and interests in the Deposited Property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granted to the Holders and Beneficial Owners pursuant to the terms and conditions of the Deposit Agreement and , if issued as Certificated ADS(s) (as hereinafter defined), the ADR(s) issued to evidence such ADSs. ADS(s) may be issued under the terms of the Deposit Agreement in the form of</w:t>
      </w:r>
    </w:p>
    <w:p>
      <w:pPr>
        <w:spacing w:after="0" w:line="2" w:lineRule="exact"/>
        <w:rPr>
          <w:sz w:val="20"/>
          <w:szCs w:val="20"/>
          <w:color w:val="auto"/>
        </w:rPr>
      </w:pPr>
    </w:p>
    <w:p>
      <w:pPr>
        <w:ind w:firstLine="8"/>
        <w:spacing w:after="0" w:line="267"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Beneficial Owner</w:t>
      </w:r>
      <w:r>
        <w:rPr>
          <w:rFonts w:ascii="Arial" w:cs="Arial" w:eastAsia="Arial" w:hAnsi="Arial"/>
          <w:sz w:val="16"/>
          <w:szCs w:val="16"/>
          <w:color w:val="auto"/>
        </w:rPr>
        <w:t>” shall mean, as to any ADS, any person or entity having a beneficial interest deriving from the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w:t>
      </w:r>
      <w:r>
        <w:rPr>
          <w:rFonts w:ascii="Arial" w:cs="Arial" w:eastAsia="Arial" w:hAnsi="Arial"/>
          <w:sz w:val="16"/>
          <w:szCs w:val="16"/>
          <w:i w:val="1"/>
          <w:iCs w:val="1"/>
          <w:color w:val="auto"/>
        </w:rPr>
        <w:t>e.g.,</w:t>
      </w:r>
      <w:r>
        <w:rPr>
          <w:rFonts w:ascii="Arial" w:cs="Arial" w:eastAsia="Arial" w:hAnsi="Arial"/>
          <w:sz w:val="16"/>
          <w:szCs w:val="16"/>
          <w:color w:val="auto"/>
        </w:rPr>
        <w:t xml:space="preserve"> in a brokerage account vs. as registered holder) may affect the rights and obligations of, the manner in which, and the extent to which, services are made available to, Beneficial Owners pursuant to the terms of the Deposit Agreement.</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b w:val="1"/>
          <w:bCs w:val="1"/>
          <w:color w:val="auto"/>
        </w:rPr>
        <w:t>Section 1.7 “</w:t>
      </w:r>
      <w:r>
        <w:rPr>
          <w:rFonts w:ascii="Arial" w:cs="Arial" w:eastAsia="Arial" w:hAnsi="Arial"/>
          <w:sz w:val="18"/>
          <w:szCs w:val="18"/>
          <w:b w:val="1"/>
          <w:bCs w:val="1"/>
          <w:u w:val="single" w:color="auto"/>
          <w:color w:val="auto"/>
        </w:rPr>
        <w:t>Citibank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and its successors.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shall mean Polestar Automotive Holding UK [Limited][PLC], a [public] limited company incorporated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laws of England and Wales, and its successors.</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Section 1.10 “</w:t>
      </w:r>
      <w:r>
        <w:rPr>
          <w:rFonts w:ascii="Arial" w:cs="Arial" w:eastAsia="Arial" w:hAnsi="Arial"/>
          <w:sz w:val="18"/>
          <w:szCs w:val="18"/>
          <w:b w:val="1"/>
          <w:bCs w:val="1"/>
          <w:u w:val="single" w:color="auto"/>
          <w:color w:val="auto"/>
        </w:rPr>
        <w:t>CREST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system for the paperless settlement of trades in securities and the holding of uncertificated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by Euroclear UK &amp; Ireland Limited in accordance with the Uncertificated Securities Regulations 2001 (SI 2001 No. 3755), as amended from time to time, or any successor thereto.</w:t>
      </w:r>
    </w:p>
    <w:p>
      <w:pPr>
        <w:spacing w:after="0" w:line="176"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Custodian</w:t>
      </w:r>
      <w:r>
        <w:rPr>
          <w:rFonts w:ascii="Arial" w:cs="Arial" w:eastAsia="Arial" w:hAnsi="Arial"/>
          <w:sz w:val="18"/>
          <w:szCs w:val="18"/>
          <w:color w:val="auto"/>
        </w:rPr>
        <w:t>” shall mean (i) as of the date hereof, Citibank, N.A. (London), having its principal office at 25 Canada Square,</w:t>
      </w:r>
      <w:r>
        <w:rPr>
          <w:rFonts w:ascii="Arial" w:cs="Arial" w:eastAsia="Arial" w:hAnsi="Arial"/>
          <w:sz w:val="18"/>
          <w:szCs w:val="18"/>
          <w:b w:val="1"/>
          <w:bCs w:val="1"/>
          <w:color w:val="auto"/>
        </w:rPr>
        <w:t xml:space="preserve"> </w:t>
      </w:r>
      <w:r>
        <w:rPr>
          <w:rFonts w:ascii="Arial" w:cs="Arial" w:eastAsia="Arial" w:hAnsi="Arial"/>
          <w:sz w:val="18"/>
          <w:szCs w:val="18"/>
          <w:color w:val="auto"/>
        </w:rPr>
        <w:t>Canary 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3"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Deliver</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Delivery</w:t>
      </w:r>
      <w:r>
        <w:rPr>
          <w:rFonts w:ascii="Arial" w:cs="Arial" w:eastAsia="Arial" w:hAnsi="Arial"/>
          <w:sz w:val="18"/>
          <w:szCs w:val="18"/>
          <w:color w:val="auto"/>
        </w:rPr>
        <w:t>” shall mean (x) when used in respect of Shares and other Deposited Securities,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the certificate(s) representing such securities, or (ii) the book-entry transfer and recordation of such securities on the books of the Share Registrar (as hereinafter defined) or in the book-entry settlement of CREST, and (y) when used in respect of ADSs, either (i) the physical delivery of ADR(s) evidencing the ADSs, or (ii) the book-entry transfer and recordation of ADSs on the books of the Depositary or any book-entry settlement system in which the ADSs are settlement-eligible.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0" w:name="page21"/>
    <w:bookmarkEnd w:id="20"/>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Deposit Agreement</w:t>
      </w:r>
      <w:r>
        <w:rPr>
          <w:rFonts w:ascii="Arial" w:cs="Arial" w:eastAsia="Arial" w:hAnsi="Arial"/>
          <w:sz w:val="18"/>
          <w:szCs w:val="18"/>
          <w:color w:val="auto"/>
        </w:rPr>
        <w:t>” shall mean this Deposit Agreement and all exhibits hereto, as the same may from time to time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supplemented from time to time in accordance with the terms of the Deposit Agreement.</w:t>
      </w:r>
    </w:p>
    <w:p>
      <w:pPr>
        <w:spacing w:after="0" w:line="16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Depositary</w:t>
      </w:r>
      <w:r>
        <w:rPr>
          <w:rFonts w:ascii="Arial" w:cs="Arial" w:eastAsia="Arial" w:hAnsi="Arial"/>
          <w:sz w:val="18"/>
          <w:szCs w:val="18"/>
          <w:color w:val="auto"/>
        </w:rPr>
        <w:t>” shall mean Citibank, N.A., a national banking association organized under the laws of the United States,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depositary under the terms of the Deposit Agreement, and any successor depositary hereunder.</w:t>
      </w:r>
    </w:p>
    <w:p>
      <w:pPr>
        <w:spacing w:after="0" w:line="162" w:lineRule="exact"/>
        <w:rPr>
          <w:sz w:val="20"/>
          <w:szCs w:val="20"/>
          <w:color w:val="auto"/>
        </w:rPr>
      </w:pPr>
    </w:p>
    <w:p>
      <w:pPr>
        <w:ind w:right="220" w:firstLine="648"/>
        <w:spacing w:after="0" w:line="294" w:lineRule="auto"/>
        <w:rPr>
          <w:sz w:val="20"/>
          <w:szCs w:val="20"/>
          <w:color w:val="auto"/>
        </w:rPr>
      </w:pPr>
      <w:r>
        <w:rPr>
          <w:rFonts w:ascii="Arial" w:cs="Arial" w:eastAsia="Arial" w:hAnsi="Arial"/>
          <w:sz w:val="16"/>
          <w:szCs w:val="16"/>
          <w:b w:val="1"/>
          <w:bCs w:val="1"/>
          <w:color w:val="auto"/>
        </w:rPr>
        <w:t>Section 1.15 “</w:t>
      </w:r>
      <w:r>
        <w:rPr>
          <w:rFonts w:ascii="Arial" w:cs="Arial" w:eastAsia="Arial" w:hAnsi="Arial"/>
          <w:sz w:val="16"/>
          <w:szCs w:val="16"/>
          <w:b w:val="1"/>
          <w:bCs w:val="1"/>
          <w:u w:val="single" w:color="auto"/>
          <w:color w:val="auto"/>
        </w:rPr>
        <w:t>Deposited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Deposited Securities and any cash and other property held on deposit by the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Custodian in respect of the ADSs or the Deposited Securities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60"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Section 1.16 “</w:t>
      </w:r>
      <w:r>
        <w:rPr>
          <w:rFonts w:ascii="Arial" w:cs="Arial" w:eastAsia="Arial" w:hAnsi="Arial"/>
          <w:sz w:val="18"/>
          <w:szCs w:val="18"/>
          <w:b w:val="1"/>
          <w:bCs w:val="1"/>
          <w:u w:val="single" w:color="auto"/>
          <w:color w:val="auto"/>
        </w:rPr>
        <w:t>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Shares and any other securities held on deposit by the Custodian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ADSs under the Deposit Agreement and constituting Deposited Property.</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Dollars</w:t>
      </w:r>
      <w:r>
        <w:rPr>
          <w:rFonts w:ascii="Arial" w:cs="Arial" w:eastAsia="Arial" w:hAnsi="Arial"/>
          <w:sz w:val="16"/>
          <w:szCs w:val="16"/>
          <w:color w:val="auto"/>
        </w:rPr>
        <w:t>” and “</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shall refer to the lawful currency of the United States.</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DTC</w:t>
      </w:r>
      <w:r>
        <w:rPr>
          <w:rFonts w:ascii="Arial" w:cs="Arial" w:eastAsia="Arial" w:hAnsi="Arial"/>
          <w:sz w:val="18"/>
          <w:szCs w:val="18"/>
          <w:color w:val="auto"/>
        </w:rPr>
        <w:t>” 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 xml:space="preserve">Section 1.19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DTC Participant</w:t>
      </w:r>
      <w:r>
        <w:rPr>
          <w:rFonts w:ascii="Arial" w:cs="Arial" w:eastAsia="Arial" w:hAnsi="Arial"/>
          <w:sz w:val="16"/>
          <w:szCs w:val="16"/>
          <w:color w:val="auto"/>
        </w:rPr>
        <w:t>” shall mean any financial institution (or any nominee of such institution) having one or more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1" w:name="page22"/>
    <w:bookmarkEnd w:id="21"/>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Foreign Currency</w:t>
      </w:r>
      <w:r>
        <w:rPr>
          <w:rFonts w:ascii="Arial" w:cs="Arial" w:eastAsia="Arial" w:hAnsi="Arial"/>
          <w:sz w:val="16"/>
          <w:szCs w:val="16"/>
          <w:color w:val="auto"/>
        </w:rPr>
        <w:t>” shall mean any currency other than Dollars.</w:t>
      </w:r>
    </w:p>
    <w:p>
      <w:pPr>
        <w:spacing w:after="0" w:line="22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Section 1.22 “</w:t>
      </w:r>
      <w:r>
        <w:rPr>
          <w:rFonts w:ascii="Arial" w:cs="Arial" w:eastAsia="Arial" w:hAnsi="Arial"/>
          <w:sz w:val="18"/>
          <w:szCs w:val="18"/>
          <w:b w:val="1"/>
          <w:bCs w:val="1"/>
          <w:u w:val="single" w:color="auto"/>
          <w:color w:val="auto"/>
        </w:rPr>
        <w:t>Full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Full Entitlement ADS(s)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Full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Section 2.12.</w:t>
      </w:r>
    </w:p>
    <w:p>
      <w:pPr>
        <w:spacing w:after="0" w:line="162"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b w:val="1"/>
          <w:bCs w:val="1"/>
          <w:color w:val="auto"/>
        </w:rPr>
        <w:t xml:space="preserve">Section 1.23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Holder(s)</w:t>
      </w:r>
      <w:r>
        <w:rPr>
          <w:rFonts w:ascii="Arial" w:cs="Arial" w:eastAsia="Arial" w:hAnsi="Arial"/>
          <w:sz w:val="16"/>
          <w:szCs w:val="16"/>
          <w:color w:val="auto"/>
        </w:rPr>
        <w:t>” shall mean the person(s) in whose name the ADSs are registered on the books of the Depositary (or the Registrar, if</w:t>
      </w:r>
      <w:r>
        <w:rPr>
          <w:rFonts w:ascii="Arial" w:cs="Arial" w:eastAsia="Arial" w:hAnsi="Arial"/>
          <w:sz w:val="16"/>
          <w:szCs w:val="16"/>
          <w:b w:val="1"/>
          <w:bCs w:val="1"/>
          <w:color w:val="auto"/>
        </w:rPr>
        <w:t xml:space="preserve"> </w:t>
      </w:r>
      <w:r>
        <w:rPr>
          <w:rFonts w:ascii="Arial" w:cs="Arial" w:eastAsia="Arial" w:hAnsi="Arial"/>
          <w:sz w:val="16"/>
          <w:szCs w:val="16"/>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w:t>
      </w:r>
      <w:r>
        <w:rPr>
          <w:rFonts w:ascii="Arial" w:cs="Arial" w:eastAsia="Arial" w:hAnsi="Arial"/>
          <w:sz w:val="16"/>
          <w:szCs w:val="16"/>
          <w:i w:val="1"/>
          <w:iCs w:val="1"/>
          <w:color w:val="auto"/>
        </w:rPr>
        <w:t>e.g.,</w:t>
      </w:r>
      <w:r>
        <w:rPr>
          <w:rFonts w:ascii="Arial" w:cs="Arial" w:eastAsia="Arial" w:hAnsi="Arial"/>
          <w:sz w:val="16"/>
          <w:szCs w:val="16"/>
          <w:color w:val="auto"/>
        </w:rPr>
        <w:t xml:space="preserve"> in certificated vs. uncertificated form) may affect the rights and obligations of, and the manner in which, and the extent to which, the services are made available to, Holders pursuant to the terms of the Deposit Agreement.</w:t>
      </w:r>
    </w:p>
    <w:p>
      <w:pPr>
        <w:spacing w:after="0" w:line="154"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Section 1.24 “</w:t>
      </w:r>
      <w:r>
        <w:rPr>
          <w:rFonts w:ascii="Arial" w:cs="Arial" w:eastAsia="Arial" w:hAnsi="Arial"/>
          <w:sz w:val="18"/>
          <w:szCs w:val="18"/>
          <w:b w:val="1"/>
          <w:bCs w:val="1"/>
          <w:u w:val="single" w:color="auto"/>
          <w:color w:val="auto"/>
        </w:rPr>
        <w:t>Partial Entitlement ADR(s)</w:t>
      </w:r>
      <w:r>
        <w:rPr>
          <w:rFonts w:ascii="Arial" w:cs="Arial" w:eastAsia="Arial" w:hAnsi="Arial"/>
          <w:sz w:val="18"/>
          <w:szCs w:val="18"/>
          <w:b w:val="1"/>
          <w:bCs w:val="1"/>
          <w:color w:val="auto"/>
        </w:rPr>
        <w:t>”, “</w:t>
      </w:r>
      <w:r>
        <w:rPr>
          <w:rFonts w:ascii="Arial" w:cs="Arial" w:eastAsia="Arial" w:hAnsi="Arial"/>
          <w:sz w:val="18"/>
          <w:szCs w:val="18"/>
          <w:b w:val="1"/>
          <w:bCs w:val="1"/>
          <w:u w:val="single" w:color="auto"/>
          <w:color w:val="auto"/>
        </w:rPr>
        <w:t>Partial Entitlement ADS(s)</w:t>
      </w:r>
      <w:r>
        <w:rPr>
          <w:rFonts w:ascii="Arial" w:cs="Arial" w:eastAsia="Arial" w:hAnsi="Arial"/>
          <w:sz w:val="18"/>
          <w:szCs w:val="18"/>
          <w:b w:val="1"/>
          <w:bCs w:val="1"/>
          <w:color w:val="auto"/>
        </w:rPr>
        <w:t>” and “</w:t>
      </w:r>
      <w:r>
        <w:rPr>
          <w:rFonts w:ascii="Arial" w:cs="Arial" w:eastAsia="Arial" w:hAnsi="Arial"/>
          <w:sz w:val="18"/>
          <w:szCs w:val="18"/>
          <w:b w:val="1"/>
          <w:bCs w:val="1"/>
          <w:u w:val="single" w:color="auto"/>
          <w:color w:val="auto"/>
        </w:rPr>
        <w:t>Partial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2.12.</w:t>
      </w:r>
    </w:p>
    <w:p>
      <w:pPr>
        <w:spacing w:after="0" w:line="16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Section 1.25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Principal Office</w:t>
      </w:r>
      <w:r>
        <w:rPr>
          <w:rFonts w:ascii="Arial" w:cs="Arial" w:eastAsia="Arial" w:hAnsi="Arial"/>
          <w:sz w:val="18"/>
          <w:szCs w:val="18"/>
          <w:color w:val="auto"/>
        </w:rPr>
        <w:t>” 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Deposit Agreement, is located at 388 Greenwich Street, New York, New York 10013, U.S.A.</w:t>
      </w:r>
    </w:p>
    <w:p>
      <w:pPr>
        <w:spacing w:after="0" w:line="17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b w:val="1"/>
          <w:bCs w:val="1"/>
          <w:color w:val="auto"/>
        </w:rPr>
        <w:t xml:space="preserve">Section 1.26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Registrar</w:t>
      </w:r>
      <w:r>
        <w:rPr>
          <w:rFonts w:ascii="Arial" w:cs="Arial" w:eastAsia="Arial" w:hAnsi="Arial"/>
          <w:sz w:val="17"/>
          <w:szCs w:val="17"/>
          <w:color w:val="auto"/>
        </w:rPr>
        <w:t>” 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6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Section 1.27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Restricted Securities</w:t>
      </w:r>
      <w:r>
        <w:rPr>
          <w:rFonts w:ascii="Arial" w:cs="Arial" w:eastAsia="Arial" w:hAnsi="Arial"/>
          <w:sz w:val="17"/>
          <w:szCs w:val="17"/>
          <w:color w:val="auto"/>
        </w:rPr>
        <w:t>” shall mean Shares, Deposited Securities or ADSs which (i) have been acquired directly or indirectly</w:t>
      </w:r>
      <w:r>
        <w:rPr>
          <w:rFonts w:ascii="Arial" w:cs="Arial" w:eastAsia="Arial" w:hAnsi="Arial"/>
          <w:sz w:val="17"/>
          <w:szCs w:val="17"/>
          <w:b w:val="1"/>
          <w:bCs w:val="1"/>
          <w:color w:val="auto"/>
        </w:rPr>
        <w:t xml:space="preserve"> </w:t>
      </w:r>
      <w:r>
        <w:rPr>
          <w:rFonts w:ascii="Arial" w:cs="Arial" w:eastAsia="Arial" w:hAnsi="Arial"/>
          <w:sz w:val="17"/>
          <w:szCs w:val="17"/>
          <w:color w:val="auto"/>
        </w:rPr>
        <w:t>from 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2" w:name="page23"/>
    <w:bookmarkEnd w:id="22"/>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1.28</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Restricted ADR(s)</w:t>
      </w:r>
      <w:r>
        <w:rPr>
          <w:rFonts w:ascii="Arial" w:cs="Arial" w:eastAsia="Arial" w:hAnsi="Arial"/>
          <w:sz w:val="16"/>
          <w:szCs w:val="16"/>
          <w:b w:val="1"/>
          <w:bCs w:val="1"/>
          <w:color w:val="auto"/>
        </w:rPr>
        <w:t>”,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and “</w:t>
      </w:r>
      <w:r>
        <w:rPr>
          <w:rFonts w:ascii="Arial" w:cs="Arial" w:eastAsia="Arial" w:hAnsi="Arial"/>
          <w:sz w:val="16"/>
          <w:szCs w:val="16"/>
          <w:b w:val="1"/>
          <w:bCs w:val="1"/>
          <w:u w:val="single" w:color="auto"/>
          <w:color w:val="auto"/>
        </w:rPr>
        <w:t>Restricted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respective meanings set forth in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2.14.</w:t>
      </w:r>
    </w:p>
    <w:p>
      <w:pPr>
        <w:spacing w:after="0" w:line="20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shall mean the United States Securities Act of 1933, as amended from time to time.</w:t>
      </w:r>
    </w:p>
    <w:p>
      <w:pPr>
        <w:spacing w:after="0" w:line="225" w:lineRule="exact"/>
        <w:rPr>
          <w:sz w:val="20"/>
          <w:szCs w:val="20"/>
          <w:color w:val="auto"/>
        </w:rPr>
      </w:pPr>
    </w:p>
    <w:p>
      <w:pPr>
        <w:ind w:right="520" w:firstLine="648"/>
        <w:spacing w:after="0" w:line="347" w:lineRule="auto"/>
        <w:rPr>
          <w:sz w:val="20"/>
          <w:szCs w:val="20"/>
          <w:color w:val="auto"/>
        </w:rPr>
      </w:pPr>
      <w:r>
        <w:rPr>
          <w:rFonts w:ascii="Arial" w:cs="Arial" w:eastAsia="Arial" w:hAnsi="Arial"/>
          <w:sz w:val="16"/>
          <w:szCs w:val="16"/>
          <w:b w:val="1"/>
          <w:bCs w:val="1"/>
          <w:color w:val="auto"/>
        </w:rPr>
        <w:t xml:space="preserve">Section 1.30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Share Registrar</w:t>
      </w:r>
      <w:r>
        <w:rPr>
          <w:rFonts w:ascii="Arial" w:cs="Arial" w:eastAsia="Arial" w:hAnsi="Arial"/>
          <w:sz w:val="16"/>
          <w:szCs w:val="16"/>
          <w:color w:val="auto"/>
        </w:rPr>
        <w:t>” shall mean Computershare Trust Company, N.A., or any other institution organized under the laws of</w:t>
      </w:r>
      <w:r>
        <w:rPr>
          <w:rFonts w:ascii="Arial" w:cs="Arial" w:eastAsia="Arial" w:hAnsi="Arial"/>
          <w:sz w:val="16"/>
          <w:szCs w:val="16"/>
          <w:b w:val="1"/>
          <w:bCs w:val="1"/>
          <w:color w:val="auto"/>
        </w:rPr>
        <w:t xml:space="preserve"> </w:t>
      </w:r>
      <w:r>
        <w:rPr>
          <w:rFonts w:ascii="Arial" w:cs="Arial" w:eastAsia="Arial" w:hAnsi="Arial"/>
          <w:sz w:val="16"/>
          <w:szCs w:val="16"/>
          <w:color w:val="auto"/>
        </w:rPr>
        <w:t>England and Wales appointed by the Company from time to time to carry out the duties of registrar for the Shares, and any successor thereto.</w:t>
      </w:r>
    </w:p>
    <w:p>
      <w:pPr>
        <w:spacing w:after="0" w:line="116"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b w:val="1"/>
          <w:bCs w:val="1"/>
          <w:color w:val="auto"/>
        </w:rPr>
        <w:t xml:space="preserve">Section 1.31 </w:t>
      </w:r>
      <w:r>
        <w:rPr>
          <w:rFonts w:ascii="Arial" w:cs="Arial" w:eastAsia="Arial" w:hAnsi="Arial"/>
          <w:sz w:val="16"/>
          <w:szCs w:val="16"/>
          <w:color w:val="auto"/>
        </w:rPr>
        <w:t>“</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shall mean the Company’s Class A ordinary shares, nominal value $0.01 per share, validly issued and outstanding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fully paid and may, if the Depositary so agrees after consultation with the Company, include evidence of the right to receive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Shares include evidence of the right to receive Shares with respect to which the full purchase price has not been paid or Shares as to which preemptive rights have theretofore not been validly waived or exercised;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there shall occur any change in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Section 1.33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United States</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U.S.</w:t>
      </w:r>
      <w:r>
        <w:rPr>
          <w:rFonts w:ascii="Arial" w:cs="Arial" w:eastAsia="Arial" w:hAnsi="Arial"/>
          <w:sz w:val="18"/>
          <w:szCs w:val="18"/>
          <w:color w:val="auto"/>
        </w:rPr>
        <w:t>” 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69" w:right="459" w:bottom="1440" w:gutter="0" w:footer="0" w:header="0"/>
        </w:sectPr>
      </w:pPr>
    </w:p>
    <w:bookmarkStart w:id="23" w:name="page24"/>
    <w:bookmarkEnd w:id="23"/>
    <w:p>
      <w:pPr>
        <w:jc w:val="center"/>
        <w:ind w:right="-9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DEPOSIT OF SHARES; EXECUTION AND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DELIVERY, TRANSFER AND SURRENDER OF RECEIPTS</w:t>
      </w:r>
    </w:p>
    <w:p>
      <w:pPr>
        <w:spacing w:after="0" w:line="20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b w:val="1"/>
          <w:bCs w:val="1"/>
          <w:u w:val="single" w:color="auto"/>
          <w:color w:val="auto"/>
        </w:rPr>
        <w:t>Appointment of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appoints the Depositary as depositary for the Deposited Property and</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59"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Form and Transferability of ADSs</w:t>
      </w:r>
      <w:r>
        <w:rPr>
          <w:rFonts w:ascii="Arial" w:cs="Arial" w:eastAsia="Arial" w:hAnsi="Arial"/>
          <w:sz w:val="16"/>
          <w:szCs w:val="16"/>
          <w:b w:val="1"/>
          <w:bCs w:val="1"/>
          <w:color w:val="auto"/>
        </w:rPr>
        <w:t>.</w:t>
      </w:r>
    </w:p>
    <w:p>
      <w:pPr>
        <w:spacing w:after="0" w:line="225" w:lineRule="exact"/>
        <w:rPr>
          <w:sz w:val="20"/>
          <w:szCs w:val="20"/>
          <w:color w:val="auto"/>
        </w:rPr>
      </w:pPr>
    </w:p>
    <w:p>
      <w:pPr>
        <w:ind w:right="20" w:firstLine="656"/>
        <w:spacing w:after="0" w:line="287" w:lineRule="auto"/>
        <w:tabs>
          <w:tab w:leader="none" w:pos="153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Form</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Certificated ADSs shall be evidenced by definitive ADRs which shall be engraved, printed, lithographed or produced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26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24" w:name="page25"/>
    <w:bookmarkEnd w:id="24"/>
    <w:p>
      <w:pPr>
        <w:jc w:val="both"/>
        <w:ind w:left="-8" w:right="120" w:firstLine="656"/>
        <w:spacing w:after="0" w:line="293" w:lineRule="auto"/>
        <w:tabs>
          <w:tab w:leader="none" w:pos="1489"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ADRs may be endorsed with, or have incorporated in the text thereof, such legends or recitals not inconsistent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Deposit Agreement as may be (i) necessary to enable the Depositary and the Company to perform their respective obligations hereunder,</w:t>
      </w:r>
    </w:p>
    <w:p>
      <w:pPr>
        <w:spacing w:after="0" w:line="1" w:lineRule="exact"/>
        <w:rPr>
          <w:rFonts w:ascii="Arial" w:cs="Arial" w:eastAsia="Arial" w:hAnsi="Arial"/>
          <w:sz w:val="16"/>
          <w:szCs w:val="16"/>
          <w:b w:val="1"/>
          <w:bCs w:val="1"/>
          <w:color w:val="auto"/>
        </w:rPr>
      </w:pPr>
    </w:p>
    <w:p>
      <w:pPr>
        <w:ind w:left="-8" w:firstLine="8"/>
        <w:spacing w:after="0" w:line="270" w:lineRule="auto"/>
        <w:tabs>
          <w:tab w:leader="none" w:pos="257" w:val="left"/>
        </w:tabs>
        <w:numPr>
          <w:ilvl w:val="0"/>
          <w:numId w:val="8"/>
        </w:numPr>
        <w:rPr>
          <w:rFonts w:ascii="Arial" w:cs="Arial" w:eastAsia="Arial" w:hAnsi="Arial"/>
          <w:sz w:val="17"/>
          <w:szCs w:val="17"/>
          <w:color w:val="auto"/>
        </w:rPr>
      </w:pPr>
      <w:r>
        <w:rPr>
          <w:rFonts w:ascii="Arial" w:cs="Arial" w:eastAsia="Arial" w:hAnsi="Arial"/>
          <w:sz w:val="17"/>
          <w:szCs w:val="17"/>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74" w:lineRule="exact"/>
        <w:rPr>
          <w:rFonts w:ascii="Arial" w:cs="Arial" w:eastAsia="Arial" w:hAnsi="Arial"/>
          <w:sz w:val="17"/>
          <w:szCs w:val="17"/>
          <w:color w:val="auto"/>
        </w:rPr>
      </w:pPr>
    </w:p>
    <w:p>
      <w:pPr>
        <w:ind w:left="-8" w:right="20" w:firstLine="656"/>
        <w:spacing w:after="0" w:line="254" w:lineRule="auto"/>
        <w:tabs>
          <w:tab w:leader="none" w:pos="1514"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and in the ADR, title to an ADR (and to each Certificated ADS evidenced thereby)</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91" w:lineRule="exact"/>
        <w:rPr>
          <w:rFonts w:ascii="Arial" w:cs="Arial" w:eastAsia="Arial" w:hAnsi="Arial"/>
          <w:sz w:val="18"/>
          <w:szCs w:val="18"/>
          <w:b w:val="1"/>
          <w:bCs w:val="1"/>
          <w:color w:val="auto"/>
        </w:rPr>
      </w:pPr>
    </w:p>
    <w:p>
      <w:pPr>
        <w:ind w:left="-8" w:right="20" w:firstLine="656"/>
        <w:spacing w:after="0" w:line="268" w:lineRule="auto"/>
        <w:tabs>
          <w:tab w:leader="none" w:pos="1489"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Book-Entry Systems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make arrangements for the acceptance of the ADSs into DTC. All ADSs held through</w:t>
      </w:r>
      <w:r>
        <w:rPr>
          <w:rFonts w:ascii="Arial" w:cs="Arial" w:eastAsia="Arial" w:hAnsi="Arial"/>
          <w:sz w:val="17"/>
          <w:szCs w:val="17"/>
          <w:b w:val="1"/>
          <w:bCs w:val="1"/>
          <w:color w:val="auto"/>
        </w:rPr>
        <w:t xml:space="preserve"> </w:t>
      </w:r>
      <w:r>
        <w:rPr>
          <w:rFonts w:ascii="Arial" w:cs="Arial" w:eastAsia="Arial" w:hAnsi="Arial"/>
          <w:sz w:val="17"/>
          <w:szCs w:val="17"/>
          <w:color w:val="auto"/>
        </w:rPr>
        <w:t>DTC will 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282"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69" w:right="339" w:bottom="1440" w:gutter="0" w:footer="0" w:header="0"/>
        </w:sectPr>
      </w:pPr>
    </w:p>
    <w:bookmarkStart w:id="25" w:name="page26"/>
    <w:bookmarkEnd w:id="25"/>
    <w:p>
      <w:pPr>
        <w:ind w:firstLine="648"/>
        <w:spacing w:after="0" w:line="284"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w:t>
      </w:r>
      <w:r>
        <w:rPr>
          <w:rFonts w:ascii="Arial" w:cs="Arial" w:eastAsia="Arial" w:hAnsi="Arial"/>
          <w:sz w:val="16"/>
          <w:szCs w:val="16"/>
          <w:color w:val="auto"/>
        </w:rPr>
        <w:t xml:space="preserve"> </w:t>
      </w:r>
      <w:r>
        <w:rPr>
          <w:rFonts w:ascii="Arial" w:cs="Arial" w:eastAsia="Arial" w:hAnsi="Arial"/>
          <w:sz w:val="16"/>
          <w:szCs w:val="16"/>
          <w:i w:val="1"/>
          <w:iCs w:val="1"/>
          <w:color w:val="auto"/>
        </w:rPr>
        <w:t>case of Shares represented by certificates issued in registered form</w:t>
      </w:r>
      <w:r>
        <w:rPr>
          <w:rFonts w:ascii="Arial" w:cs="Arial" w:eastAsia="Arial" w:hAnsi="Arial"/>
          <w:sz w:val="16"/>
          <w:szCs w:val="16"/>
          <w:color w:val="auto"/>
        </w:rPr>
        <w:t>, appropriate instruments of transfer or endorsement, in a form reasonably satisfactory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Custodian, (ii) </w:t>
      </w:r>
      <w:r>
        <w:rPr>
          <w:rFonts w:ascii="Arial" w:cs="Arial" w:eastAsia="Arial" w:hAnsi="Arial"/>
          <w:sz w:val="16"/>
          <w:szCs w:val="16"/>
          <w:i w:val="1"/>
          <w:iCs w:val="1"/>
          <w:color w:val="auto"/>
        </w:rPr>
        <w:t>in the case of Shares represented by certificates in bearer form,</w:t>
      </w:r>
      <w:r>
        <w:rPr>
          <w:rFonts w:ascii="Arial" w:cs="Arial" w:eastAsia="Arial" w:hAnsi="Arial"/>
          <w:sz w:val="16"/>
          <w:szCs w:val="16"/>
          <w:color w:val="auto"/>
        </w:rPr>
        <w:t xml:space="preserve"> the requisite coupons and talons pertaining thereto, and (iii) </w:t>
      </w:r>
      <w:r>
        <w:rPr>
          <w:rFonts w:ascii="Arial" w:cs="Arial" w:eastAsia="Arial" w:hAnsi="Arial"/>
          <w:sz w:val="16"/>
          <w:szCs w:val="16"/>
          <w:i w:val="1"/>
          <w:iCs w:val="1"/>
          <w:color w:val="auto"/>
        </w:rPr>
        <w:t>in the case</w:t>
      </w:r>
      <w:r>
        <w:rPr>
          <w:rFonts w:ascii="Arial" w:cs="Arial" w:eastAsia="Arial" w:hAnsi="Arial"/>
          <w:sz w:val="16"/>
          <w:szCs w:val="16"/>
          <w:color w:val="auto"/>
        </w:rPr>
        <w:t xml:space="preserve"> </w:t>
      </w:r>
      <w:r>
        <w:rPr>
          <w:rFonts w:ascii="Arial" w:cs="Arial" w:eastAsia="Arial" w:hAnsi="Arial"/>
          <w:sz w:val="16"/>
          <w:szCs w:val="16"/>
          <w:i w:val="1"/>
          <w:iCs w:val="1"/>
          <w:color w:val="auto"/>
        </w:rPr>
        <w:t>of Shares delivered by book-entry transfer and recordation</w:t>
      </w:r>
      <w:r>
        <w:rPr>
          <w:rFonts w:ascii="Arial" w:cs="Arial" w:eastAsia="Arial" w:hAnsi="Arial"/>
          <w:sz w:val="16"/>
          <w:szCs w:val="16"/>
          <w:color w:val="auto"/>
        </w:rPr>
        <w:t>, confirmation of such book-entry transfer and recordation in the books of the Share Registrar or</w:t>
      </w:r>
      <w:r>
        <w:rPr>
          <w:rFonts w:ascii="Arial" w:cs="Arial" w:eastAsia="Arial" w:hAnsi="Arial"/>
          <w:sz w:val="16"/>
          <w:szCs w:val="16"/>
          <w:i w:val="1"/>
          <w:iCs w:val="1"/>
          <w:color w:val="auto"/>
        </w:rPr>
        <w:t xml:space="preserve"> </w:t>
      </w:r>
      <w:r>
        <w:rPr>
          <w:rFonts w:ascii="Arial" w:cs="Arial" w:eastAsia="Arial" w:hAnsi="Arial"/>
          <w:sz w:val="16"/>
          <w:szCs w:val="16"/>
          <w:color w:val="auto"/>
        </w:rPr>
        <w:t>of CREST, as applicable, to the Custodian or that irrevocable instructions have been given to cause such Shares to be issued or transferred and recorded,</w:t>
      </w:r>
    </w:p>
    <w:p>
      <w:pPr>
        <w:spacing w:after="0" w:line="5" w:lineRule="exact"/>
        <w:rPr>
          <w:sz w:val="20"/>
          <w:szCs w:val="20"/>
          <w:color w:val="auto"/>
        </w:rPr>
      </w:pPr>
    </w:p>
    <w:p>
      <w:pPr>
        <w:ind w:right="40" w:firstLine="8"/>
        <w:spacing w:after="0" w:line="267" w:lineRule="auto"/>
        <w:tabs>
          <w:tab w:leader="none" w:pos="285" w:val="left"/>
        </w:tabs>
        <w:numPr>
          <w:ilvl w:val="0"/>
          <w:numId w:val="9"/>
        </w:numPr>
        <w:rPr>
          <w:rFonts w:ascii="Arial" w:cs="Arial" w:eastAsia="Arial" w:hAnsi="Arial"/>
          <w:sz w:val="17"/>
          <w:szCs w:val="17"/>
          <w:color w:val="auto"/>
        </w:rPr>
      </w:pPr>
      <w:r>
        <w:rPr>
          <w:rFonts w:ascii="Arial" w:cs="Arial" w:eastAsia="Arial" w:hAnsi="Arial"/>
          <w:sz w:val="17"/>
          <w:szCs w:val="17"/>
          <w:color w:val="auto"/>
        </w:rPr>
        <w:t>such certifications and payments (including, without limitation, the Depositary’s fees and related charges) and evidence of such payments (including, without limitation, stamping or otherwise marking such Shares by way of receipt) as may be reasonably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8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6" w:name="page27"/>
    <w:bookmarkEnd w:id="26"/>
    <w:p>
      <w:pPr>
        <w:ind w:right="80" w:firstLine="648"/>
        <w:spacing w:after="0" w:line="271" w:lineRule="auto"/>
        <w:rPr>
          <w:sz w:val="20"/>
          <w:szCs w:val="20"/>
          <w:color w:val="auto"/>
        </w:rPr>
      </w:pPr>
      <w:r>
        <w:rPr>
          <w:rFonts w:ascii="Arial" w:cs="Arial" w:eastAsia="Arial" w:hAnsi="Arial"/>
          <w:sz w:val="17"/>
          <w:szCs w:val="17"/>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7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Registration and Safekeeping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instruct the Custodian upon each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27" w:name="page28"/>
    <w:bookmarkEnd w:id="27"/>
    <w:p>
      <w:pPr>
        <w:ind w:firstLine="648"/>
        <w:spacing w:after="0" w:line="269" w:lineRule="auto"/>
        <w:rPr>
          <w:sz w:val="20"/>
          <w:szCs w:val="20"/>
          <w:color w:val="auto"/>
        </w:rPr>
      </w:pPr>
      <w:r>
        <w:rPr>
          <w:rFonts w:ascii="Arial" w:cs="Arial" w:eastAsia="Arial" w:hAnsi="Arial"/>
          <w:sz w:val="17"/>
          <w:szCs w:val="17"/>
          <w:b w:val="1"/>
          <w:bCs w:val="1"/>
          <w:color w:val="auto"/>
        </w:rPr>
        <w:t xml:space="preserve">Section 2.5 </w:t>
      </w:r>
      <w:r>
        <w:rPr>
          <w:rFonts w:ascii="Arial" w:cs="Arial" w:eastAsia="Arial" w:hAnsi="Arial"/>
          <w:sz w:val="17"/>
          <w:szCs w:val="17"/>
          <w:b w:val="1"/>
          <w:bCs w:val="1"/>
          <w:u w:val="single" w:color="auto"/>
          <w:color w:val="auto"/>
        </w:rPr>
        <w:t>Issuance of ADSs.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made arrangements with the Custodian for the Custodian to confirm to the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CREST,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charges of the Depositary for accepting a deposit of Shares and issuing ADSs (as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and all taxes and governmental charges and fees payable in connection with such deposit and the transfer of the Shares and the issuance of the ADS(s). The Depositary shall only issue ADSs in whole numbers and deliver , if applicable, ADR(s) evidencing whole numbers of ADSs.</w:t>
      </w:r>
    </w:p>
    <w:p>
      <w:pPr>
        <w:spacing w:after="0" w:line="176"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w:t>
      </w:r>
    </w:p>
    <w:p>
      <w:pPr>
        <w:spacing w:after="0" w:line="225" w:lineRule="exact"/>
        <w:rPr>
          <w:sz w:val="20"/>
          <w:szCs w:val="20"/>
          <w:color w:val="auto"/>
        </w:rPr>
      </w:pPr>
    </w:p>
    <w:p>
      <w:pPr>
        <w:ind w:firstLine="656"/>
        <w:spacing w:after="0" w:line="285" w:lineRule="auto"/>
        <w:tabs>
          <w:tab w:leader="none" w:pos="1532" w:val="left"/>
        </w:tabs>
        <w:numPr>
          <w:ilvl w:val="1"/>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ADRs (and of the ADSs represented thereby) on the books maintained for such</w:t>
      </w:r>
      <w:r>
        <w:rPr>
          <w:rFonts w:ascii="Arial" w:cs="Arial" w:eastAsia="Arial" w:hAnsi="Arial"/>
          <w:sz w:val="16"/>
          <w:szCs w:val="16"/>
          <w:b w:val="1"/>
          <w:bCs w:val="1"/>
          <w:color w:val="auto"/>
        </w:rPr>
        <w:t xml:space="preserve"> </w:t>
      </w:r>
      <w:r>
        <w:rPr>
          <w:rFonts w:ascii="Arial" w:cs="Arial" w:eastAsia="Arial" w:hAnsi="Arial"/>
          <w:sz w:val="16"/>
          <w:szCs w:val="16"/>
          <w:color w:val="auto"/>
        </w:rPr>
        <w:t>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3" w:lineRule="exact"/>
        <w:rPr>
          <w:rFonts w:ascii="Arial" w:cs="Arial" w:eastAsia="Arial" w:hAnsi="Arial"/>
          <w:sz w:val="16"/>
          <w:szCs w:val="16"/>
          <w:b w:val="1"/>
          <w:bCs w:val="1"/>
          <w:color w:val="auto"/>
        </w:rPr>
      </w:pPr>
    </w:p>
    <w:p>
      <w:pPr>
        <w:jc w:val="both"/>
        <w:ind w:right="220" w:firstLine="8"/>
        <w:spacing w:after="0" w:line="253" w:lineRule="auto"/>
        <w:tabs>
          <w:tab w:leader="none" w:pos="3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xml:space="preserve"> to the terms and conditions of the applicable ADRs, of the Deposit Agreement and of applicable law, in each case as in effect at the time thereof.</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8" w:name="page29"/>
    <w:bookmarkEnd w:id="28"/>
    <w:p>
      <w:pPr>
        <w:ind w:firstLine="656"/>
        <w:spacing w:after="0" w:line="272" w:lineRule="auto"/>
        <w:tabs>
          <w:tab w:leader="none" w:pos="1497"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Combination &amp; Split-Up</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Registrar shall register the split-up or combination of ADRs (and of the ADSs represented thereby)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applicable ADRs, of the Deposit Agreement and of applicable law, in each case as in effect at the time thereof.</w:t>
      </w:r>
    </w:p>
    <w:p>
      <w:pPr>
        <w:spacing w:after="0" w:line="17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w:t>
      </w:r>
      <w:r>
        <w:rPr>
          <w:rFonts w:ascii="Arial" w:cs="Arial" w:eastAsia="Arial" w:hAnsi="Arial"/>
          <w:sz w:val="16"/>
          <w:szCs w:val="16"/>
          <w:color w:val="auto"/>
        </w:rPr>
        <w:t>The Holder of ADSs shall be entitled to Delivery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ADRs evidencing the surrendered ADSs, of the Deposit Agreement, of the Company’s Articles of Association and of any applicable laws and the rules of CREST and to any provisions of or governing the Deposited Securities , in each case as in effect at the time thereof.</w:t>
      </w:r>
    </w:p>
    <w:p>
      <w:pPr>
        <w:spacing w:after="0" w:line="16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ind w:right="60" w:firstLine="648"/>
        <w:spacing w:after="0" w:line="273" w:lineRule="auto"/>
        <w:rPr>
          <w:sz w:val="20"/>
          <w:szCs w:val="20"/>
          <w:color w:val="auto"/>
        </w:rPr>
      </w:pPr>
      <w:r>
        <w:rPr>
          <w:rFonts w:ascii="Arial" w:cs="Arial" w:eastAsia="Arial" w:hAnsi="Arial"/>
          <w:sz w:val="17"/>
          <w:szCs w:val="17"/>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9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Limitations on Execution and Delivery, Transfer, etc. of ADSs; Suspension of Delivery, Transfer, etc</w:t>
      </w:r>
      <w:r>
        <w:rPr>
          <w:rFonts w:ascii="Arial" w:cs="Arial" w:eastAsia="Arial" w:hAnsi="Arial"/>
          <w:sz w:val="16"/>
          <w:szCs w:val="16"/>
          <w:b w:val="1"/>
          <w:bCs w:val="1"/>
          <w:color w:val="auto"/>
        </w:rPr>
        <w:t>.</w:t>
      </w:r>
    </w:p>
    <w:p>
      <w:pPr>
        <w:spacing w:after="0" w:line="225" w:lineRule="exact"/>
        <w:rPr>
          <w:sz w:val="20"/>
          <w:szCs w:val="20"/>
          <w:color w:val="auto"/>
        </w:rPr>
      </w:pPr>
    </w:p>
    <w:p>
      <w:pPr>
        <w:ind w:right="40" w:firstLine="656"/>
        <w:spacing w:after="0" w:line="285" w:lineRule="auto"/>
        <w:tabs>
          <w:tab w:leader="none" w:pos="1532" w:val="left"/>
        </w:tabs>
        <w:numPr>
          <w:ilvl w:val="1"/>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Requirements</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 transfer, split-up,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(ii) the production of proof reasonably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w:t>
      </w:r>
    </w:p>
    <w:p>
      <w:pPr>
        <w:ind w:right="140" w:firstLine="8"/>
        <w:spacing w:after="0" w:line="260" w:lineRule="auto"/>
        <w:tabs>
          <w:tab w:leader="none" w:pos="2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reasonable regulations as the Depositary and the Company may establish consistent with the provisions of the representative ADR, if applicable, the Deposit Agreement and applicable law.</w:t>
      </w:r>
    </w:p>
    <w:p>
      <w:pPr>
        <w:spacing w:after="0" w:line="28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30" w:name="page31"/>
    <w:bookmarkEnd w:id="30"/>
    <w:p>
      <w:pPr>
        <w:ind w:firstLine="656"/>
        <w:spacing w:after="0" w:line="292" w:lineRule="auto"/>
        <w:tabs>
          <w:tab w:leader="none" w:pos="1497"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ADSs against deposits of Shares generally or against deposits of particular Shares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61" w:lineRule="exact"/>
        <w:rPr>
          <w:rFonts w:ascii="Arial" w:cs="Arial" w:eastAsia="Arial" w:hAnsi="Arial"/>
          <w:sz w:val="16"/>
          <w:szCs w:val="16"/>
          <w:b w:val="1"/>
          <w:bCs w:val="1"/>
          <w:color w:val="auto"/>
        </w:rPr>
      </w:pPr>
    </w:p>
    <w:p>
      <w:pPr>
        <w:ind w:right="40" w:firstLine="656"/>
        <w:spacing w:after="0" w:line="274" w:lineRule="auto"/>
        <w:tabs>
          <w:tab w:leader="none" w:pos="1522"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Regulatory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the Deposit Agreement or any ADR(s) to the contrary, Holders are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73" w:lineRule="exact"/>
        <w:rPr>
          <w:sz w:val="20"/>
          <w:szCs w:val="20"/>
          <w:color w:val="auto"/>
        </w:rPr>
      </w:pPr>
    </w:p>
    <w:p>
      <w:pPr>
        <w:ind w:right="20" w:firstLine="648"/>
        <w:spacing w:after="0" w:line="292"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ADR of like tenor at the expense of the Holder (a) </w:t>
      </w:r>
      <w:r>
        <w:rPr>
          <w:rFonts w:ascii="Arial" w:cs="Arial" w:eastAsia="Arial" w:hAnsi="Arial"/>
          <w:sz w:val="16"/>
          <w:szCs w:val="16"/>
          <w:i w:val="1"/>
          <w:iCs w:val="1"/>
          <w:color w:val="auto"/>
        </w:rPr>
        <w:t>in the case of a mutilated ADR,</w:t>
      </w:r>
      <w:r>
        <w:rPr>
          <w:rFonts w:ascii="Arial" w:cs="Arial" w:eastAsia="Arial" w:hAnsi="Arial"/>
          <w:sz w:val="16"/>
          <w:szCs w:val="16"/>
          <w:color w:val="auto"/>
        </w:rPr>
        <w:t xml:space="preserve"> in exchange of and substitution for such mutilated ADR upon cancellation thereof, or (b) </w:t>
      </w:r>
      <w:r>
        <w:rPr>
          <w:rFonts w:ascii="Arial" w:cs="Arial" w:eastAsia="Arial" w:hAnsi="Arial"/>
          <w:sz w:val="16"/>
          <w:szCs w:val="16"/>
          <w:i w:val="1"/>
          <w:iCs w:val="1"/>
          <w:color w:val="auto"/>
        </w:rPr>
        <w:t>in the case of a destroyed, lost or stolen ADR,</w:t>
      </w:r>
      <w:r>
        <w:rPr>
          <w:rFonts w:ascii="Arial" w:cs="Arial" w:eastAsia="Arial" w:hAnsi="Arial"/>
          <w:sz w:val="16"/>
          <w:szCs w:val="16"/>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61"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Cancellation and Destruction of Surrendered ADRs; Maintenance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All ADRs surrendered to the Depositary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6"/>
          <w:szCs w:val="16"/>
          <w:i w:val="1"/>
          <w:iCs w:val="1"/>
          <w:color w:val="auto"/>
        </w:rPr>
        <w:t>e.g.</w:t>
      </w:r>
      <w:r>
        <w:rPr>
          <w:rFonts w:ascii="Arial" w:cs="Arial" w:eastAsia="Arial" w:hAnsi="Arial"/>
          <w:sz w:val="16"/>
          <w:szCs w:val="16"/>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5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Depositary and</w:t>
      </w:r>
      <w:r>
        <w:rPr>
          <w:rFonts w:ascii="Arial" w:cs="Arial" w:eastAsia="Arial" w:hAnsi="Arial"/>
          <w:sz w:val="18"/>
          <w:szCs w:val="18"/>
          <w:b w:val="1"/>
          <w:bCs w:val="1"/>
          <w:color w:val="auto"/>
        </w:rPr>
        <w:t xml:space="preserve"> </w:t>
      </w:r>
      <w:r>
        <w:rPr>
          <w:rFonts w:ascii="Arial" w:cs="Arial" w:eastAsia="Arial" w:hAnsi="Arial"/>
          <w:sz w:val="18"/>
          <w:szCs w:val="18"/>
          <w:color w:val="auto"/>
        </w:rPr>
        <w:t>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ind w:right="200" w:firstLine="648"/>
        <w:spacing w:after="0" w:line="284" w:lineRule="auto"/>
        <w:rPr>
          <w:sz w:val="20"/>
          <w:szCs w:val="20"/>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b w:val="1"/>
          <w:bCs w:val="1"/>
          <w:u w:val="single" w:color="auto"/>
          <w:color w:val="auto"/>
        </w:rPr>
        <w:t>Partial Entitlement ADSs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any Shares are deposited which (i) entitle the holders thereof to receive a per-share</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Arial" w:cs="Arial" w:eastAsia="Arial" w:hAnsi="Arial"/>
          <w:sz w:val="16"/>
          <w:szCs w:val="16"/>
          <w:u w:val="single" w:color="auto"/>
          <w:color w:val="auto"/>
        </w:rPr>
        <w:t>Full Entitlement Shares</w:t>
      </w:r>
      <w:r>
        <w:rPr>
          <w:rFonts w:ascii="Arial" w:cs="Arial" w:eastAsia="Arial" w:hAnsi="Arial"/>
          <w:sz w:val="16"/>
          <w:szCs w:val="16"/>
          <w:color w:val="auto"/>
        </w:rPr>
        <w:t>” and the Shares with different entitlement, “</w:t>
      </w:r>
      <w:r>
        <w:rPr>
          <w:rFonts w:ascii="Arial" w:cs="Arial" w:eastAsia="Arial" w:hAnsi="Arial"/>
          <w:sz w:val="16"/>
          <w:szCs w:val="16"/>
          <w:u w:val="single" w:color="auto"/>
          <w:color w:val="auto"/>
        </w:rPr>
        <w:t>Partial Entitlement Shares</w:t>
      </w:r>
      <w:r>
        <w:rPr>
          <w:rFonts w:ascii="Arial" w:cs="Arial" w:eastAsia="Arial" w:hAnsi="Arial"/>
          <w:sz w:val="16"/>
          <w:szCs w:val="16"/>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Arial" w:cs="Arial" w:eastAsia="Arial" w:hAnsi="Arial"/>
          <w:sz w:val="16"/>
          <w:szCs w:val="16"/>
          <w:u w:val="single" w:color="auto"/>
          <w:color w:val="auto"/>
        </w:rPr>
        <w:t>Partial Entitlement ADSs/ADRs</w:t>
      </w:r>
      <w:r>
        <w:rPr>
          <w:rFonts w:ascii="Arial" w:cs="Arial" w:eastAsia="Arial" w:hAnsi="Arial"/>
          <w:sz w:val="16"/>
          <w:szCs w:val="16"/>
          <w:color w:val="auto"/>
        </w:rPr>
        <w:t>” and “</w:t>
      </w:r>
      <w:r>
        <w:rPr>
          <w:rFonts w:ascii="Arial" w:cs="Arial" w:eastAsia="Arial" w:hAnsi="Arial"/>
          <w:sz w:val="16"/>
          <w:szCs w:val="16"/>
          <w:u w:val="single" w:color="auto"/>
          <w:color w:val="auto"/>
        </w:rPr>
        <w:t>Full Entitlement ADSs/ADRs</w:t>
      </w:r>
      <w:r>
        <w:rPr>
          <w:rFonts w:ascii="Arial" w:cs="Arial" w:eastAsia="Arial" w:hAnsi="Arial"/>
          <w:sz w:val="16"/>
          <w:szCs w:val="16"/>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w:t>
      </w:r>
    </w:p>
    <w:p>
      <w:pPr>
        <w:spacing w:after="0" w:line="3" w:lineRule="exact"/>
        <w:rPr>
          <w:sz w:val="20"/>
          <w:szCs w:val="20"/>
          <w:color w:val="auto"/>
        </w:rPr>
      </w:pPr>
    </w:p>
    <w:p>
      <w:pPr>
        <w:ind w:firstLine="8"/>
        <w:spacing w:after="0" w:line="268"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7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b w:val="1"/>
          <w:bCs w:val="1"/>
          <w:color w:val="auto"/>
        </w:rPr>
        <w:t xml:space="preserve">Section 2.13 </w:t>
      </w:r>
      <w:r>
        <w:rPr>
          <w:rFonts w:ascii="Arial" w:cs="Arial" w:eastAsia="Arial" w:hAnsi="Arial"/>
          <w:sz w:val="18"/>
          <w:szCs w:val="18"/>
          <w:b w:val="1"/>
          <w:bCs w:val="1"/>
          <w:u w:val="single" w:color="auto"/>
          <w:color w:val="auto"/>
        </w:rPr>
        <w:t>Certificated/Uncertificated ADSs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Deposit Agreement, the Depositary may, at any</w:t>
      </w:r>
      <w:r>
        <w:rPr>
          <w:rFonts w:ascii="Arial" w:cs="Arial" w:eastAsia="Arial" w:hAnsi="Arial"/>
          <w:sz w:val="18"/>
          <w:szCs w:val="18"/>
          <w:b w:val="1"/>
          <w:bCs w:val="1"/>
          <w:color w:val="auto"/>
        </w:rPr>
        <w:t xml:space="preserve"> </w:t>
      </w:r>
      <w:r>
        <w:rPr>
          <w:rFonts w:ascii="Arial" w:cs="Arial" w:eastAsia="Arial" w:hAnsi="Arial"/>
          <w:sz w:val="18"/>
          <w:szCs w:val="18"/>
          <w:color w:val="auto"/>
        </w:rPr>
        <w:t>time and from time to time, issue ADSs that are not evidenced by ADRs (such ADSs, the “</w:t>
      </w:r>
      <w:r>
        <w:rPr>
          <w:rFonts w:ascii="Arial" w:cs="Arial" w:eastAsia="Arial" w:hAnsi="Arial"/>
          <w:sz w:val="18"/>
          <w:szCs w:val="18"/>
          <w:u w:val="single" w:color="auto"/>
          <w:color w:val="auto"/>
        </w:rPr>
        <w:t>Uncertificated ADS(s)</w:t>
      </w:r>
      <w:r>
        <w:rPr>
          <w:rFonts w:ascii="Arial" w:cs="Arial" w:eastAsia="Arial" w:hAnsi="Arial"/>
          <w:sz w:val="18"/>
          <w:szCs w:val="18"/>
          <w:color w:val="auto"/>
        </w:rPr>
        <w:t>” and the ADS(s) evidenced by ADR(s), the “</w:t>
      </w:r>
      <w:r>
        <w:rPr>
          <w:rFonts w:ascii="Arial" w:cs="Arial" w:eastAsia="Arial" w:hAnsi="Arial"/>
          <w:sz w:val="18"/>
          <w:szCs w:val="18"/>
          <w:u w:val="single" w:color="auto"/>
          <w:color w:val="auto"/>
        </w:rPr>
        <w:t>Certificated ADS(s)</w:t>
      </w:r>
      <w:r>
        <w:rPr>
          <w:rFonts w:ascii="Arial" w:cs="Arial" w:eastAsia="Arial" w:hAnsi="Arial"/>
          <w:sz w:val="18"/>
          <w:szCs w:val="18"/>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2" w:name="page33"/>
    <w:bookmarkEnd w:id="32"/>
    <w:p>
      <w:pPr>
        <w:spacing w:after="0" w:line="282" w:lineRule="auto"/>
        <w:rPr>
          <w:sz w:val="20"/>
          <w:szCs w:val="20"/>
          <w:color w:val="auto"/>
        </w:rPr>
      </w:pPr>
      <w:r>
        <w:rPr>
          <w:rFonts w:ascii="Arial" w:cs="Arial" w:eastAsia="Arial" w:hAnsi="Arial"/>
          <w:sz w:val="16"/>
          <w:szCs w:val="16"/>
          <w:color w:val="auto"/>
        </w:rPr>
        <w:t>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w:t>
      </w:r>
    </w:p>
    <w:p>
      <w:pPr>
        <w:spacing w:after="0" w:line="11" w:lineRule="exact"/>
        <w:rPr>
          <w:sz w:val="20"/>
          <w:szCs w:val="20"/>
          <w:color w:val="auto"/>
        </w:rPr>
      </w:pPr>
    </w:p>
    <w:p>
      <w:pPr>
        <w:ind w:right="80" w:firstLine="8"/>
        <w:spacing w:after="0" w:line="267" w:lineRule="auto"/>
        <w:tabs>
          <w:tab w:leader="none" w:pos="3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3" w:name="page34"/>
    <w:bookmarkEnd w:id="33"/>
    <w:p>
      <w:pPr>
        <w:ind w:firstLine="648"/>
        <w:spacing w:after="0" w:line="283" w:lineRule="auto"/>
        <w:rPr>
          <w:sz w:val="20"/>
          <w:szCs w:val="20"/>
          <w:color w:val="auto"/>
        </w:rPr>
      </w:pPr>
      <w:r>
        <w:rPr>
          <w:rFonts w:ascii="Arial" w:cs="Arial" w:eastAsia="Arial" w:hAnsi="Arial"/>
          <w:sz w:val="16"/>
          <w:szCs w:val="16"/>
          <w:b w:val="1"/>
          <w:bCs w:val="1"/>
          <w:color w:val="auto"/>
        </w:rPr>
        <w:t xml:space="preserve">Section 2.14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of Shares that are Restricted Securities in order to enable the holder of such Shares to hold its ownership interests in such Restricted Securities in the form of ADSs issued under the terms hereof (such Shares, “</w:t>
      </w:r>
      <w:r>
        <w:rPr>
          <w:rFonts w:ascii="Arial" w:cs="Arial" w:eastAsia="Arial" w:hAnsi="Arial"/>
          <w:sz w:val="16"/>
          <w:szCs w:val="16"/>
          <w:u w:val="single" w:color="auto"/>
          <w:color w:val="auto"/>
        </w:rPr>
        <w:t>Restricted Shares</w:t>
      </w:r>
      <w:r>
        <w:rPr>
          <w:rFonts w:ascii="Arial" w:cs="Arial" w:eastAsia="Arial" w:hAnsi="Arial"/>
          <w:sz w:val="16"/>
          <w:szCs w:val="16"/>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Arial" w:cs="Arial" w:eastAsia="Arial" w:hAnsi="Arial"/>
          <w:sz w:val="16"/>
          <w:szCs w:val="16"/>
          <w:u w:val="single" w:color="auto"/>
          <w:color w:val="auto"/>
        </w:rPr>
        <w:t>Restricted ADSs</w:t>
      </w:r>
      <w:r>
        <w:rPr>
          <w:rFonts w:ascii="Arial" w:cs="Arial" w:eastAsia="Arial" w:hAnsi="Arial"/>
          <w:sz w:val="16"/>
          <w:szCs w:val="16"/>
          <w:color w:val="auto"/>
        </w:rPr>
        <w:t>,” and the ADRs evidencing such Restricted ADSs, the “</w:t>
      </w:r>
      <w:r>
        <w:rPr>
          <w:rFonts w:ascii="Arial" w:cs="Arial" w:eastAsia="Arial" w:hAnsi="Arial"/>
          <w:sz w:val="16"/>
          <w:szCs w:val="16"/>
          <w:u w:val="single" w:color="auto"/>
          <w:color w:val="auto"/>
        </w:rPr>
        <w:t>Restricted ADRs</w:t>
      </w:r>
      <w:r>
        <w:rPr>
          <w:rFonts w:ascii="Arial" w:cs="Arial" w:eastAsia="Arial" w:hAnsi="Arial"/>
          <w:sz w:val="16"/>
          <w:szCs w:val="16"/>
          <w:color w:val="auto"/>
        </w:rPr>
        <w:t>”). Notwithstanding anything contained in this Section 2.14, the Depositary and the Company may, to the extent not prohibited by law, agree to issue the Restricted ADSs in uncertificated form (“</w:t>
      </w:r>
      <w:r>
        <w:rPr>
          <w:rFonts w:ascii="Arial" w:cs="Arial" w:eastAsia="Arial" w:hAnsi="Arial"/>
          <w:sz w:val="16"/>
          <w:szCs w:val="16"/>
          <w:u w:val="single" w:color="auto"/>
          <w:color w:val="auto"/>
        </w:rPr>
        <w:t>Uncertificated Restricted ADSs</w:t>
      </w:r>
      <w:r>
        <w:rPr>
          <w:rFonts w:ascii="Arial" w:cs="Arial" w:eastAsia="Arial" w:hAnsi="Arial"/>
          <w:sz w:val="16"/>
          <w:szCs w:val="16"/>
          <w:color w:val="auto"/>
        </w:rPr>
        <w:t>”) upon such terms and conditions as the Company and the Depositary may deem necessary and appropriate</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shall assist the Depositary in the establishment of such procedures and agrees that it shall take all steps necessary and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Arial" w:cs="Arial" w:eastAsia="Arial" w:hAnsi="Arial"/>
          <w:sz w:val="16"/>
          <w:szCs w:val="16"/>
          <w:b w:val="1"/>
          <w:bCs w:val="1"/>
          <w:color w:val="auto"/>
        </w:rPr>
        <w:t>)</w:t>
      </w:r>
      <w:r>
        <w:rPr>
          <w:rFonts w:ascii="Arial" w:cs="Arial" w:eastAsia="Arial" w:hAnsi="Arial"/>
          <w:sz w:val="16"/>
          <w:szCs w:val="16"/>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4" w:name="page35"/>
    <w:bookmarkEnd w:id="34"/>
    <w:p>
      <w:pPr>
        <w:ind w:firstLine="648"/>
        <w:spacing w:after="0" w:line="285" w:lineRule="auto"/>
        <w:rPr>
          <w:sz w:val="20"/>
          <w:szCs w:val="20"/>
          <w:color w:val="auto"/>
        </w:rPr>
      </w:pPr>
      <w:r>
        <w:rPr>
          <w:rFonts w:ascii="Arial" w:cs="Arial" w:eastAsia="Arial" w:hAnsi="Arial"/>
          <w:sz w:val="16"/>
          <w:szCs w:val="16"/>
          <w:color w:val="auto"/>
        </w:rPr>
        <w:t xml:space="preserve">If the Restricted ADRs, the Restricted ADSs and the Restricted Shares cease to be Restricted Securities, the Depositary, upon receipt of (x)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w:t>
      </w:r>
    </w:p>
    <w:p>
      <w:pPr>
        <w:spacing w:after="0" w:line="2" w:lineRule="exact"/>
        <w:rPr>
          <w:sz w:val="20"/>
          <w:szCs w:val="20"/>
          <w:color w:val="auto"/>
        </w:rPr>
      </w:pPr>
    </w:p>
    <w:p>
      <w:pPr>
        <w:ind w:right="20" w:firstLine="8"/>
        <w:spacing w:after="0" w:line="271" w:lineRule="auto"/>
        <w:tabs>
          <w:tab w:leader="none" w:pos="26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OBLIGATIONS OF 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BENEFICIAL OWNERS OF ADSs</w:t>
      </w:r>
    </w:p>
    <w:p>
      <w:pPr>
        <w:spacing w:after="0" w:line="20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and at the reasonable request of the Company, shall, to the extent practicable,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 w:name="page36"/>
    <w:bookmarkEnd w:id="35"/>
    <w:p>
      <w:pPr>
        <w:ind w:firstLine="648"/>
        <w:spacing w:after="0" w:line="268"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36" w:name="page37"/>
    <w:bookmarkEnd w:id="36"/>
    <w:p>
      <w:pPr>
        <w:ind w:right="60" w:firstLine="648"/>
        <w:spacing w:after="0" w:line="289"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Compliance with Information Requests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Deposit Agreement or any ADR(s),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Arial" w:cs="Arial" w:eastAsia="Arial" w:hAnsi="Arial"/>
          <w:sz w:val="18"/>
          <w:szCs w:val="18"/>
          <w:i w:val="1"/>
          <w:iCs w:val="1"/>
          <w:color w:val="auto"/>
        </w:rPr>
        <w:t>inter alia</w:t>
      </w:r>
      <w:r>
        <w:rPr>
          <w:rFonts w:ascii="Arial" w:cs="Arial" w:eastAsia="Arial" w:hAnsi="Arial"/>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9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contained in this Deposit Agreement or of any ADR(s)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contrary, 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7" w:name="page38"/>
    <w:bookmarkEnd w:id="37"/>
    <w:p>
      <w:pPr>
        <w:ind w:right="40" w:firstLine="648"/>
        <w:spacing w:after="0" w:line="253" w:lineRule="auto"/>
        <w:rPr>
          <w:sz w:val="20"/>
          <w:szCs w:val="20"/>
          <w:color w:val="auto"/>
        </w:rPr>
      </w:pPr>
      <w:r>
        <w:rPr>
          <w:rFonts w:ascii="Arial" w:cs="Arial" w:eastAsia="Arial" w:hAnsi="Arial"/>
          <w:sz w:val="18"/>
          <w:szCs w:val="18"/>
          <w:color w:val="auto"/>
        </w:rPr>
        <w:t>Notwithstanding any provision of this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9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at the Company’s expense,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w:t>
      </w:r>
      <w:r>
        <w:rPr>
          <w:rFonts w:ascii="Arial" w:cs="Arial" w:eastAsia="Arial" w:hAnsi="Arial"/>
          <w:sz w:val="17"/>
          <w:szCs w:val="17"/>
          <w:b w:val="1"/>
          <w:bCs w:val="1"/>
          <w:color w:val="auto"/>
        </w:rPr>
        <w:t xml:space="preserve"> </w:t>
      </w:r>
      <w:r>
        <w:rPr>
          <w:rFonts w:ascii="Arial" w:cs="Arial" w:eastAsia="Arial" w:hAnsi="Arial"/>
          <w:sz w:val="17"/>
          <w:szCs w:val="17"/>
          <w:color w:val="auto"/>
        </w:rPr>
        <w:t>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DEPOSITED SECURITIES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 cash distribution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respect of any Deposited Securities,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in respect of any Deposited Property (whether from the Company or otherwise), or (y) proceeds from the sale of any Deposited Property held in respect of the ADSs under the terms hereof, the Depositary will (i) if at the time thereof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distribution of, Shares, the Company shall give notice thereof to the Depositary at least twenty(20)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9" w:name="page40"/>
    <w:bookmarkEnd w:id="39"/>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0" w:name="page41"/>
    <w:bookmarkEnd w:id="40"/>
    <w:p>
      <w:pPr>
        <w:ind w:left="600"/>
        <w:spacing w:after="0"/>
        <w:tabs>
          <w:tab w:leader="none" w:pos="190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u w:val="single" w:color="auto"/>
          <w:color w:val="auto"/>
        </w:rPr>
        <w:t>Distribution of Rights to Purchase Additional ADSs</w:t>
      </w:r>
      <w:r>
        <w:rPr>
          <w:rFonts w:ascii="Arial" w:cs="Arial" w:eastAsia="Arial" w:hAnsi="Arial"/>
          <w:sz w:val="16"/>
          <w:szCs w:val="16"/>
          <w:b w:val="1"/>
          <w:bCs w:val="1"/>
          <w:color w:val="auto"/>
        </w:rPr>
        <w:t>.</w:t>
      </w:r>
    </w:p>
    <w:p>
      <w:pPr>
        <w:spacing w:after="0" w:line="225" w:lineRule="exact"/>
        <w:rPr>
          <w:sz w:val="20"/>
          <w:szCs w:val="20"/>
          <w:color w:val="auto"/>
        </w:rPr>
      </w:pPr>
    </w:p>
    <w:p>
      <w:pPr>
        <w:ind w:left="-60" w:firstLine="656"/>
        <w:spacing w:after="0" w:line="268" w:lineRule="auto"/>
        <w:tabs>
          <w:tab w:leader="none" w:pos="1472"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Distribution to ADS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Company intends to distribute to the holders of the Deposited Securities rights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7"/>
          <w:szCs w:val="17"/>
          <w:i w:val="1"/>
          <w:iCs w:val="1"/>
          <w:color w:val="auto"/>
        </w:rPr>
        <w:t>inter alia</w:t>
      </w:r>
      <w:r>
        <w:rPr>
          <w:rFonts w:ascii="Arial" w:cs="Arial" w:eastAsia="Arial" w:hAnsi="Arial"/>
          <w:sz w:val="17"/>
          <w:szCs w:val="17"/>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769" w:right="339" w:bottom="1440" w:gutter="0" w:footer="0" w:header="0"/>
        </w:sectPr>
      </w:pPr>
    </w:p>
    <w:bookmarkStart w:id="41" w:name="page42"/>
    <w:bookmarkEnd w:id="41"/>
    <w:p>
      <w:pPr>
        <w:ind w:right="100" w:firstLine="656"/>
        <w:spacing w:after="0" w:line="273" w:lineRule="auto"/>
        <w:tabs>
          <w:tab w:leader="none" w:pos="1497"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Sale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(i) the Company does not timely request the Depositary to make the rights available to Holders or requests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71" w:lineRule="exact"/>
        <w:rPr>
          <w:rFonts w:ascii="Arial" w:cs="Arial" w:eastAsia="Arial" w:hAnsi="Arial"/>
          <w:sz w:val="17"/>
          <w:szCs w:val="17"/>
          <w:b w:val="1"/>
          <w:bCs w:val="1"/>
          <w:color w:val="auto"/>
        </w:rPr>
      </w:pPr>
    </w:p>
    <w:p>
      <w:pPr>
        <w:ind w:right="180" w:firstLine="656"/>
        <w:spacing w:after="0" w:line="312" w:lineRule="auto"/>
        <w:tabs>
          <w:tab w:leader="none" w:pos="1522"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Lapse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Depositary is unable to make any rights available to Holders upon the terms described in Section 4.4(a) or to</w:t>
      </w:r>
      <w:r>
        <w:rPr>
          <w:rFonts w:ascii="Arial" w:cs="Arial" w:eastAsia="Arial" w:hAnsi="Arial"/>
          <w:sz w:val="17"/>
          <w:szCs w:val="17"/>
          <w:b w:val="1"/>
          <w:bCs w:val="1"/>
          <w:color w:val="auto"/>
        </w:rPr>
        <w:t xml:space="preserve"> </w:t>
      </w:r>
      <w:r>
        <w:rPr>
          <w:rFonts w:ascii="Arial" w:cs="Arial" w:eastAsia="Arial" w:hAnsi="Arial"/>
          <w:sz w:val="17"/>
          <w:szCs w:val="17"/>
          <w:color w:val="auto"/>
        </w:rPr>
        <w:t>arrange for the sale of the rights upon the terms described in Section 4.4(b), the Depositary shall allow such rights to lapse.</w:t>
      </w:r>
    </w:p>
    <w:p>
      <w:pPr>
        <w:spacing w:after="0" w:line="144"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6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7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jc w:val="both"/>
        <w:ind w:right="320" w:firstLine="648"/>
        <w:spacing w:after="0" w:line="286" w:lineRule="auto"/>
        <w:rPr>
          <w:sz w:val="20"/>
          <w:szCs w:val="20"/>
          <w:color w:val="auto"/>
        </w:rPr>
      </w:pPr>
      <w:r>
        <w:rPr>
          <w:rFonts w:ascii="Arial" w:cs="Arial" w:eastAsia="Arial" w:hAnsi="Arial"/>
          <w:sz w:val="17"/>
          <w:szCs w:val="17"/>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6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Distributions Other Than Cash, Shares or Rights to Purchase Shares</w:t>
      </w:r>
      <w:r>
        <w:rPr>
          <w:rFonts w:ascii="Arial" w:cs="Arial" w:eastAsia="Arial" w:hAnsi="Arial"/>
          <w:sz w:val="16"/>
          <w:szCs w:val="16"/>
          <w:b w:val="1"/>
          <w:bCs w:val="1"/>
          <w:color w:val="auto"/>
        </w:rPr>
        <w:t>.</w:t>
      </w:r>
    </w:p>
    <w:p>
      <w:pPr>
        <w:spacing w:after="0" w:line="229" w:lineRule="exact"/>
        <w:rPr>
          <w:sz w:val="20"/>
          <w:szCs w:val="20"/>
          <w:color w:val="auto"/>
        </w:rPr>
      </w:pPr>
    </w:p>
    <w:p>
      <w:pPr>
        <w:ind w:firstLine="656"/>
        <w:spacing w:after="0" w:line="254" w:lineRule="auto"/>
        <w:tabs>
          <w:tab w:leader="none" w:pos="1532"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94" w:lineRule="exact"/>
        <w:rPr>
          <w:rFonts w:ascii="Arial" w:cs="Arial" w:eastAsia="Arial" w:hAnsi="Arial"/>
          <w:sz w:val="18"/>
          <w:szCs w:val="18"/>
          <w:b w:val="1"/>
          <w:bCs w:val="1"/>
          <w:color w:val="auto"/>
        </w:rPr>
      </w:pPr>
    </w:p>
    <w:p>
      <w:pPr>
        <w:ind w:right="60" w:firstLine="656"/>
        <w:spacing w:after="0" w:line="272" w:lineRule="auto"/>
        <w:tabs>
          <w:tab w:leader="none" w:pos="1497" w:val="left"/>
        </w:tabs>
        <w:numPr>
          <w:ilvl w:val="1"/>
          <w:numId w:val="21"/>
        </w:numPr>
        <w:rPr>
          <w:rFonts w:ascii="Arial" w:cs="Arial" w:eastAsia="Arial" w:hAnsi="Arial"/>
          <w:sz w:val="17"/>
          <w:szCs w:val="17"/>
          <w:b w:val="1"/>
          <w:bCs w:val="1"/>
          <w:color w:val="auto"/>
        </w:rPr>
      </w:pPr>
      <w:r>
        <w:rPr>
          <w:rFonts w:ascii="Arial" w:cs="Arial" w:eastAsia="Arial" w:hAnsi="Arial"/>
          <w:sz w:val="17"/>
          <w:szCs w:val="17"/>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77" w:lineRule="exact"/>
        <w:rPr>
          <w:rFonts w:ascii="Arial" w:cs="Arial" w:eastAsia="Arial" w:hAnsi="Arial"/>
          <w:sz w:val="17"/>
          <w:szCs w:val="17"/>
          <w:b w:val="1"/>
          <w:bCs w:val="1"/>
          <w:color w:val="auto"/>
        </w:rPr>
      </w:pPr>
    </w:p>
    <w:p>
      <w:pPr>
        <w:ind w:right="40" w:firstLine="656"/>
        <w:spacing w:after="0" w:line="286" w:lineRule="auto"/>
        <w:tabs>
          <w:tab w:leader="none" w:pos="1522" w:val="left"/>
        </w:tabs>
        <w:numPr>
          <w:ilvl w:val="1"/>
          <w:numId w:val="21"/>
        </w:numPr>
        <w:rPr>
          <w:rFonts w:ascii="Arial" w:cs="Arial" w:eastAsia="Arial" w:hAnsi="Arial"/>
          <w:sz w:val="16"/>
          <w:szCs w:val="16"/>
          <w:b w:val="1"/>
          <w:bCs w:val="1"/>
          <w:color w:val="auto"/>
        </w:rPr>
      </w:pPr>
      <w:r>
        <w:rPr>
          <w:rFonts w:ascii="Arial" w:cs="Arial" w:eastAsia="Arial" w:hAnsi="Arial"/>
          <w:sz w:val="16"/>
          <w:szCs w:val="16"/>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1" w:lineRule="exact"/>
        <w:rPr>
          <w:rFonts w:ascii="Arial" w:cs="Arial" w:eastAsia="Arial" w:hAnsi="Arial"/>
          <w:sz w:val="16"/>
          <w:szCs w:val="16"/>
          <w:b w:val="1"/>
          <w:bCs w:val="1"/>
          <w:color w:val="auto"/>
        </w:rPr>
      </w:pPr>
    </w:p>
    <w:p>
      <w:pPr>
        <w:ind w:right="360" w:firstLine="8"/>
        <w:spacing w:after="0" w:line="302" w:lineRule="auto"/>
        <w:tabs>
          <w:tab w:leader="none" w:pos="265"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3" w:name="page44"/>
    <w:bookmarkEnd w:id="43"/>
    <w:p>
      <w:pPr>
        <w:jc w:val="both"/>
        <w:ind w:firstLine="656"/>
        <w:spacing w:after="0" w:line="263" w:lineRule="auto"/>
        <w:tabs>
          <w:tab w:leader="none" w:pos="1497"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80" w:lineRule="exact"/>
        <w:rPr>
          <w:sz w:val="20"/>
          <w:szCs w:val="20"/>
          <w:color w:val="auto"/>
        </w:rPr>
      </w:pPr>
    </w:p>
    <w:p>
      <w:pPr>
        <w:ind w:right="180" w:firstLine="648"/>
        <w:spacing w:after="0" w:line="298"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Distributions with Respect to Deposited Securities in Bearer Form</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of this Article IV, distributions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5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after consultation between the Depositary and the Company, to the extent practicable,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after consultation between the Depositary and the Company, to the extent practicable.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44" w:name="page45"/>
    <w:bookmarkEnd w:id="44"/>
    <w:p>
      <w:pPr>
        <w:ind w:right="20" w:firstLine="648"/>
        <w:spacing w:after="0" w:line="269" w:lineRule="auto"/>
        <w:rPr>
          <w:sz w:val="20"/>
          <w:szCs w:val="20"/>
          <w:color w:val="auto"/>
        </w:rPr>
      </w:pPr>
      <w:r>
        <w:rPr>
          <w:rFonts w:ascii="Arial" w:cs="Arial" w:eastAsia="Arial" w:hAnsi="Arial"/>
          <w:sz w:val="17"/>
          <w:szCs w:val="17"/>
          <w:b w:val="1"/>
          <w:bCs w:val="1"/>
          <w:color w:val="auto"/>
        </w:rPr>
        <w:t xml:space="preserve">Section 4.8 </w:t>
      </w:r>
      <w:r>
        <w:rPr>
          <w:rFonts w:ascii="Arial" w:cs="Arial" w:eastAsia="Arial" w:hAnsi="Arial"/>
          <w:sz w:val="17"/>
          <w:szCs w:val="17"/>
          <w:b w:val="1"/>
          <w:bCs w:val="1"/>
          <w:u w:val="single" w:color="auto"/>
          <w:color w:val="auto"/>
        </w:rPr>
        <w:t>Conversion of Foreign Currency</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or the Custodian shall receive Foreign Currency, by way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4"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6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Section 4.9 </w:t>
      </w: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the Depositary shall receive notice of the fixing of a record date by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5" w:name="page46"/>
    <w:bookmarkEnd w:id="45"/>
    <w:p>
      <w:pPr>
        <w:ind w:right="40" w:firstLine="648"/>
        <w:spacing w:after="0" w:line="270" w:lineRule="auto"/>
        <w:rPr>
          <w:sz w:val="20"/>
          <w:szCs w:val="20"/>
          <w:color w:val="auto"/>
        </w:rPr>
      </w:pPr>
      <w:r>
        <w:rPr>
          <w:rFonts w:ascii="Arial" w:cs="Arial" w:eastAsia="Arial" w:hAnsi="Arial"/>
          <w:sz w:val="17"/>
          <w:szCs w:val="17"/>
          <w:b w:val="1"/>
          <w:bCs w:val="1"/>
          <w:color w:val="auto"/>
        </w:rPr>
        <w:t xml:space="preserve">Section 4.10 </w:t>
      </w: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6" w:name="page47"/>
    <w:bookmarkEnd w:id="46"/>
    <w:p>
      <w:pPr>
        <w:ind w:right="300" w:firstLine="648"/>
        <w:spacing w:after="0" w:line="277"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poll.</w:t>
      </w:r>
    </w:p>
    <w:p>
      <w:pPr>
        <w:spacing w:after="0" w:line="170" w:lineRule="exact"/>
        <w:rPr>
          <w:sz w:val="20"/>
          <w:szCs w:val="20"/>
          <w:color w:val="auto"/>
        </w:rPr>
      </w:pPr>
    </w:p>
    <w:p>
      <w:pPr>
        <w:ind w:right="100" w:firstLine="648"/>
        <w:spacing w:after="0" w:line="275"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176"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6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7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reclassification of Deposited Securities, or upon any recapitalization, reorganization, merger, scheme of arrangement,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7" w:name="page48"/>
    <w:bookmarkEnd w:id="47"/>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4.12</w:t>
      </w:r>
      <w:r>
        <w:rPr>
          <w:sz w:val="20"/>
          <w:szCs w:val="20"/>
          <w:color w:val="auto"/>
        </w:rPr>
        <w:tab/>
      </w:r>
      <w:r>
        <w:rPr>
          <w:rFonts w:ascii="Arial" w:cs="Arial" w:eastAsia="Arial" w:hAnsi="Arial"/>
          <w:sz w:val="16"/>
          <w:szCs w:val="16"/>
          <w:b w:val="1"/>
          <w:bCs w:val="1"/>
          <w:u w:val="single" w:color="auto"/>
          <w:color w:val="auto"/>
        </w:rPr>
        <w:t>Available Information</w:t>
      </w:r>
      <w:r>
        <w:rPr>
          <w:rFonts w:ascii="Arial" w:cs="Arial" w:eastAsia="Arial" w:hAnsi="Arial"/>
          <w:sz w:val="16"/>
          <w:szCs w:val="16"/>
          <w:b w:val="1"/>
          <w:bCs w:val="1"/>
          <w:color w:val="auto"/>
        </w:rPr>
        <w:t>.</w:t>
      </w:r>
    </w:p>
    <w:p>
      <w:pPr>
        <w:spacing w:after="0" w:line="229"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Company is subject to the periodic reporting requirements of 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45" w:lineRule="exact"/>
        <w:rPr>
          <w:sz w:val="20"/>
          <w:szCs w:val="20"/>
          <w:color w:val="auto"/>
        </w:rPr>
      </w:pPr>
    </w:p>
    <w:p>
      <w:pPr>
        <w:ind w:firstLine="648"/>
        <w:spacing w:after="0" w:line="303" w:lineRule="auto"/>
        <w:rPr>
          <w:sz w:val="20"/>
          <w:szCs w:val="20"/>
          <w:color w:val="auto"/>
        </w:rPr>
      </w:pPr>
      <w:r>
        <w:rPr>
          <w:rFonts w:ascii="Arial" w:cs="Arial" w:eastAsia="Arial" w:hAnsi="Arial"/>
          <w:sz w:val="16"/>
          <w:szCs w:val="16"/>
          <w:b w:val="1"/>
          <w:bCs w:val="1"/>
          <w:color w:val="auto"/>
        </w:rPr>
        <w:t xml:space="preserve">Section 4.13 </w:t>
      </w:r>
      <w:r>
        <w:rPr>
          <w:rFonts w:ascii="Arial" w:cs="Arial" w:eastAsia="Arial" w:hAnsi="Arial"/>
          <w:sz w:val="16"/>
          <w:szCs w:val="16"/>
          <w:b w:val="1"/>
          <w:bCs w:val="1"/>
          <w:u w:val="single" w:color="auto"/>
          <w:color w:val="auto"/>
        </w:rPr>
        <w:t>Reports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available for inspection by Holders at its Principal Office any reports and 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8" w:name="page49"/>
    <w:bookmarkEnd w:id="48"/>
    <w:p>
      <w:pPr>
        <w:ind w:right="240" w:firstLine="648"/>
        <w:spacing w:after="0" w:line="282"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names, addresses and holdings of ADSs of all Holders.</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Taxation</w:t>
      </w:r>
      <w:r>
        <w:rPr>
          <w:rFonts w:ascii="Arial" w:cs="Arial" w:eastAsia="Arial" w:hAnsi="Arial"/>
          <w:sz w:val="17"/>
          <w:szCs w:val="17"/>
          <w:color w:val="auto"/>
        </w:rPr>
        <w:t>. The Depositary will, and will instruct the Custodian to, forward to the Company or its agents such information from its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86"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7"/>
          <w:szCs w:val="17"/>
          <w:i w:val="1"/>
          <w:iCs w:val="1"/>
          <w:color w:val="auto"/>
        </w:rPr>
        <w:t>e.g.</w:t>
      </w:r>
      <w:r>
        <w:rPr>
          <w:rFonts w:ascii="Arial" w:cs="Arial" w:eastAsia="Arial" w:hAnsi="Arial"/>
          <w:sz w:val="17"/>
          <w:szCs w:val="17"/>
          <w:color w:val="auto"/>
        </w:rPr>
        <w:t>, stamp duty tax, capital gains or other similar tax), the Company shall use commercially reasonable efforts to (or shall cause such agent to) remit within a reasonable time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9" w:name="page50"/>
    <w:bookmarkEnd w:id="49"/>
    <w:p>
      <w:pPr>
        <w:ind w:right="60" w:firstLine="648"/>
        <w:spacing w:after="0" w:line="255" w:lineRule="auto"/>
        <w:rPr>
          <w:sz w:val="20"/>
          <w:szCs w:val="20"/>
          <w:color w:val="auto"/>
        </w:rPr>
      </w:pPr>
      <w:r>
        <w:rPr>
          <w:rFonts w:ascii="Arial" w:cs="Arial" w:eastAsia="Arial" w:hAnsi="Arial"/>
          <w:sz w:val="18"/>
          <w:szCs w:val="18"/>
          <w:color w:val="auto"/>
        </w:rPr>
        <w:t>The Depositary is under no obligation to provide the Holders and Beneficial Owners with any information about the tax status of the Company except to the extent that the Company provides information to the Depositary for distribution to the Holders and Beneficial Owners, and the Depositary agrees to distribute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Maintenance of Office and Transfer Books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termination of the Deposit Agreement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7"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84"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If any ADSs are listed on one or more stock exchanges or automated quotation systems in the United States, the Depositary shall act as Registrar or with written notice given as promptly as practicable to the Company,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with written notice given as promptly as practicable to the Company.</w:t>
      </w: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0" w:name="page51"/>
    <w:bookmarkEnd w:id="50"/>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396" w:lineRule="exact"/>
        <w:rPr>
          <w:sz w:val="20"/>
          <w:szCs w:val="20"/>
          <w:color w:val="auto"/>
        </w:rPr>
      </w:pPr>
    </w:p>
    <w:p>
      <w:pPr>
        <w:jc w:val="both"/>
        <w:ind w:right="220" w:firstLine="648"/>
        <w:spacing w:after="0" w:line="266"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8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1" w:name="page52"/>
    <w:bookmarkEnd w:id="51"/>
    <w:p>
      <w:pPr>
        <w:ind w:right="100" w:firstLine="648"/>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1"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 xml:space="preserve">Section 5.4 </w:t>
      </w: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w:t>
      </w:r>
      <w:r>
        <w:rPr>
          <w:rFonts w:ascii="Arial" w:cs="Arial" w:eastAsia="Arial" w:hAnsi="Arial"/>
          <w:sz w:val="17"/>
          <w:szCs w:val="17"/>
          <w:b w:val="1"/>
          <w:bCs w:val="1"/>
          <w:color w:val="auto"/>
        </w:rPr>
        <w:t xml:space="preserve"> </w:t>
      </w:r>
      <w:r>
        <w:rPr>
          <w:rFonts w:ascii="Arial" w:cs="Arial" w:eastAsia="Arial" w:hAnsi="Arial"/>
          <w:sz w:val="17"/>
          <w:szCs w:val="17"/>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w:t>
      </w:r>
    </w:p>
    <w:p>
      <w:pPr>
        <w:spacing w:after="0" w:line="46" w:lineRule="exact"/>
        <w:rPr>
          <w:sz w:val="20"/>
          <w:szCs w:val="20"/>
          <w:color w:val="auto"/>
        </w:rPr>
      </w:pPr>
    </w:p>
    <w:p>
      <w:pPr>
        <w:ind w:left="220" w:hanging="212"/>
        <w:spacing w:after="0"/>
        <w:tabs>
          <w:tab w:leader="none" w:pos="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120th day after delivery thereof to the Depositary (whereupon the Depositary shall be entitled to take the actions contemplated in Section 6.2), or</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the appointment by the Company of a successor depositary and its acceptance of such appointment as hereinafter provided.</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2" w:name="page53"/>
    <w:bookmarkEnd w:id="52"/>
    <w:p>
      <w:pPr>
        <w:ind w:firstLine="648"/>
        <w:spacing w:after="0" w:line="269"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(London) as Custodian for the purpose of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Custodian or its successors in acting hereunder shall be authorized to act as custodian in England and Wales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8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53" w:name="page54"/>
    <w:bookmarkEnd w:id="53"/>
    <w:p>
      <w:pPr>
        <w:ind w:right="160" w:firstLine="648"/>
        <w:spacing w:after="0" w:line="301"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9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will also transmit to the Depositary (a) an English language version of the other notices, reports and communications which are made generally available by the Company to holders of its Shares or other Deposited Securities and (b) the English-language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6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80"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scheme of arrangement or consolidation or transfer of assets, (viii) any assumption, reclassification, recapitalization, reorganization, merger, scheme of arrangement,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4" w:name="page55"/>
    <w:bookmarkEnd w:id="54"/>
    <w:p>
      <w:pPr>
        <w:ind w:right="120" w:firstLine="648"/>
        <w:spacing w:after="0" w:line="277" w:lineRule="auto"/>
        <w:rPr>
          <w:sz w:val="20"/>
          <w:szCs w:val="20"/>
          <w:color w:val="auto"/>
        </w:rPr>
      </w:pPr>
      <w:r>
        <w:rPr>
          <w:rFonts w:ascii="Arial" w:cs="Arial" w:eastAsia="Arial" w:hAnsi="Arial"/>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66"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to the extent that it is not unlawful for the Company to indemnify such person at such time under the applicable laws of England and Wales,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55" w:name="page56"/>
    <w:bookmarkEnd w:id="55"/>
    <w:p>
      <w:pPr>
        <w:ind w:left="660"/>
        <w:spacing w:after="0"/>
        <w:rPr>
          <w:sz w:val="20"/>
          <w:szCs w:val="20"/>
          <w:color w:val="auto"/>
        </w:rPr>
      </w:pPr>
      <w:r>
        <w:rPr>
          <w:rFonts w:ascii="Arial" w:cs="Arial" w:eastAsia="Arial" w:hAnsi="Arial"/>
          <w:sz w:val="16"/>
          <w:szCs w:val="16"/>
          <w:color w:val="auto"/>
        </w:rPr>
        <w:t>The obligations set forth in this Section shall survive the termination of the Deposit Agreement and the succession or substitution of any party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7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b w:val="1"/>
          <w:bCs w:val="1"/>
          <w:u w:val="single" w:color="auto"/>
          <w:color w:val="auto"/>
        </w:rPr>
        <w:t>ADS Fees and Charges</w:t>
      </w:r>
      <w:r>
        <w:rPr>
          <w:rFonts w:ascii="Arial" w:cs="Arial" w:eastAsia="Arial" w:hAnsi="Arial"/>
          <w:sz w:val="17"/>
          <w:szCs w:val="17"/>
          <w:color w:val="auto"/>
        </w:rPr>
        <w:t>. The Company, the Holders, the Beneficial Owners, persons depositing Shares or withdrawing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Deposited Securities in connection with the issuance and cancellation of ADSs, and persons receiving ADSs upon issuance or whose ADSs are being cancelled shall be required to pay to the Depositary, or its designee, the Depositary’s fees and related charges identified as payable by them respectively in the Fee Schedule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276"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773" w:right="459" w:bottom="1440" w:gutter="0" w:footer="0" w:header="0"/>
        </w:sectPr>
      </w:pPr>
    </w:p>
    <w:bookmarkStart w:id="56" w:name="page57"/>
    <w:bookmarkEnd w:id="56"/>
    <w:p>
      <w:pPr>
        <w:ind w:firstLine="648"/>
        <w:spacing w:after="0" w:line="286" w:lineRule="auto"/>
        <w:rPr>
          <w:sz w:val="20"/>
          <w:szCs w:val="20"/>
          <w:color w:val="auto"/>
        </w:rPr>
      </w:pPr>
      <w:r>
        <w:rPr>
          <w:rFonts w:ascii="Arial" w:cs="Arial" w:eastAsia="Arial" w:hAnsi="Arial"/>
          <w:sz w:val="16"/>
          <w:szCs w:val="16"/>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obligations of Holders and Beneficial Owners to pay ADS fees and charges shall survive the termination of the Deposit Agreement. As to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Depositary, upon the resignation or removal of such Depositary as described in Section 5.4, the right to collect ADS fees and charges shall extend for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ADS fees and charges incurred prior to the effectiveness of such resignation or removal.</w:t>
      </w:r>
    </w:p>
    <w:p>
      <w:pPr>
        <w:spacing w:after="0" w:line="207"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7" w:name="page58"/>
    <w:bookmarkEnd w:id="57"/>
    <w:p>
      <w:pPr>
        <w:jc w:val="center"/>
        <w:ind w:right="-3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394"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b w:val="1"/>
          <w:bCs w:val="1"/>
          <w:color w:val="auto"/>
        </w:rPr>
        <w:t xml:space="preserve">Section 6.2 </w:t>
      </w: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2" w:lineRule="exact"/>
        <w:rPr>
          <w:sz w:val="20"/>
          <w:szCs w:val="20"/>
          <w:color w:val="auto"/>
        </w:rPr>
      </w:pPr>
    </w:p>
    <w:p>
      <w:pPr>
        <w:ind w:right="40" w:firstLine="8"/>
        <w:spacing w:after="0" w:line="252"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8" w:name="page59"/>
    <w:bookmarkEnd w:id="58"/>
    <w:p>
      <w:pPr>
        <w:ind w:right="20" w:firstLine="648"/>
        <w:spacing w:after="0" w:line="290" w:lineRule="auto"/>
        <w:rPr>
          <w:sz w:val="20"/>
          <w:szCs w:val="20"/>
          <w:color w:val="auto"/>
        </w:rPr>
      </w:pPr>
      <w:r>
        <w:rPr>
          <w:rFonts w:ascii="Arial" w:cs="Arial" w:eastAsia="Arial" w:hAnsi="Arial"/>
          <w:sz w:val="16"/>
          <w:szCs w:val="16"/>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6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9" w:name="page60"/>
    <w:bookmarkEnd w:id="59"/>
    <w:p>
      <w:pPr>
        <w:ind w:right="40"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No Third-Party Beneficiaries/Acknowledgments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26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0" w:name="page61"/>
    <w:bookmarkEnd w:id="60"/>
    <w:p>
      <w:pPr>
        <w:ind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w:t>
      </w:r>
      <w:r>
        <w:rPr>
          <w:rFonts w:ascii="Arial" w:cs="Arial" w:eastAsia="Arial" w:hAnsi="Arial"/>
          <w:sz w:val="18"/>
          <w:szCs w:val="18"/>
          <w:b w:val="1"/>
          <w:bCs w:val="1"/>
          <w:color w:val="auto"/>
        </w:rPr>
        <w:t xml:space="preserve"> </w:t>
      </w:r>
      <w:r>
        <w:rPr>
          <w:rFonts w:ascii="Arial" w:cs="Arial" w:eastAsia="Arial" w:hAnsi="Arial"/>
          <w:sz w:val="18"/>
          <w:szCs w:val="18"/>
          <w:color w:val="auto"/>
        </w:rPr>
        <w:t>become 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17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w:t>
      </w:r>
      <w:r>
        <w:rPr>
          <w:rFonts w:ascii="Arial" w:cs="Arial" w:eastAsia="Arial" w:hAnsi="Arial"/>
          <w:sz w:val="18"/>
          <w:szCs w:val="18"/>
          <w:b w:val="1"/>
          <w:bCs w:val="1"/>
          <w:color w:val="auto"/>
        </w:rPr>
        <w:t xml:space="preserve"> </w:t>
      </w:r>
      <w:r>
        <w:rPr>
          <w:rFonts w:ascii="Arial" w:cs="Arial" w:eastAsia="Arial" w:hAnsi="Arial"/>
          <w:sz w:val="18"/>
          <w:szCs w:val="18"/>
          <w:color w:val="auto"/>
        </w:rPr>
        <w:t>by mail, air courier or cable, telex or facsimile transmission, confirmed by letter personally delivered or sent by mail or air courier, addressed to Assar Gabrielssons Väg 9 405 31 Göteborg, Sweden, Attention: Anna Rudensjö, or to any other address which the Company may specify in writing to the Depositary.</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or to any other address which the Depositary may specify in writing to the Company.</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181"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1" w:name="page62"/>
    <w:bookmarkEnd w:id="61"/>
    <w:p>
      <w:pPr>
        <w:ind w:right="20"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ind w:right="140" w:firstLine="648"/>
        <w:spacing w:after="0" w:line="274" w:lineRule="auto"/>
        <w:rPr>
          <w:sz w:val="20"/>
          <w:szCs w:val="20"/>
          <w:color w:val="auto"/>
        </w:rPr>
      </w:pPr>
      <w:r>
        <w:rPr>
          <w:rFonts w:ascii="Arial" w:cs="Arial" w:eastAsia="Arial" w:hAnsi="Arial"/>
          <w:sz w:val="17"/>
          <w:szCs w:val="17"/>
          <w:b w:val="1"/>
          <w:bCs w:val="1"/>
          <w:color w:val="auto"/>
        </w:rPr>
        <w:t xml:space="preserve">Section 7.6 </w:t>
      </w:r>
      <w:r>
        <w:rPr>
          <w:rFonts w:ascii="Arial" w:cs="Arial" w:eastAsia="Arial" w:hAnsi="Arial"/>
          <w:sz w:val="17"/>
          <w:szCs w:val="17"/>
          <w:b w:val="1"/>
          <w:bCs w:val="1"/>
          <w:u w:val="single" w:color="auto"/>
          <w:color w:val="auto"/>
        </w:rPr>
        <w:t>Governing Law and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 Agreement, the ADRs and the ADSs shall be interpreted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7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Polestar Automotive USA Inc. (the “</w:t>
      </w:r>
      <w:r>
        <w:rPr>
          <w:rFonts w:ascii="Arial" w:cs="Arial" w:eastAsia="Arial" w:hAnsi="Arial"/>
          <w:sz w:val="16"/>
          <w:szCs w:val="16"/>
          <w:u w:val="single" w:color="auto"/>
          <w:color w:val="auto"/>
        </w:rPr>
        <w:t>Agent</w:t>
      </w:r>
      <w:r>
        <w:rPr>
          <w:rFonts w:ascii="Arial" w:cs="Arial" w:eastAsia="Arial" w:hAnsi="Arial"/>
          <w:sz w:val="16"/>
          <w:szCs w:val="16"/>
          <w:color w:val="auto"/>
        </w:rPr>
        <w:t>”) now at 777 MacArthur Blvd Mahwah, NJ 07430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Notwithstanding the foregoing, the Depositary and the Company unconditionally agree that in the event of any suit, action or proceeding against</w:t>
      </w:r>
    </w:p>
    <w:p>
      <w:pPr>
        <w:spacing w:after="0" w:line="46" w:lineRule="exact"/>
        <w:rPr>
          <w:sz w:val="20"/>
          <w:szCs w:val="20"/>
          <w:color w:val="auto"/>
        </w:rPr>
      </w:pPr>
    </w:p>
    <w:p>
      <w:pPr>
        <w:ind w:right="60" w:firstLine="8"/>
        <w:spacing w:after="0" w:line="290" w:lineRule="auto"/>
        <w:tabs>
          <w:tab w:leader="none" w:pos="245"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2" w:name="page63"/>
    <w:bookmarkEnd w:id="62"/>
    <w:p>
      <w:pPr>
        <w:ind w:right="260"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6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the Deposit Agreement may not be assigned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w:t>
      </w:r>
    </w:p>
    <w:p>
      <w:pPr>
        <w:spacing w:after="0" w:line="16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7.8</w:t>
      </w:r>
      <w:r>
        <w:rPr>
          <w:sz w:val="20"/>
          <w:szCs w:val="20"/>
          <w:color w:val="auto"/>
        </w:rPr>
        <w:tab/>
      </w:r>
      <w:r>
        <w:rPr>
          <w:rFonts w:ascii="Arial" w:cs="Arial" w:eastAsia="Arial" w:hAnsi="Arial"/>
          <w:sz w:val="16"/>
          <w:szCs w:val="16"/>
          <w:b w:val="1"/>
          <w:bCs w:val="1"/>
          <w:u w:val="single" w:color="auto"/>
          <w:color w:val="auto"/>
        </w:rPr>
        <w:t>Compliance with, and No Disclaimer under, U.S. Securities Laws</w:t>
      </w:r>
      <w:r>
        <w:rPr>
          <w:rFonts w:ascii="Arial" w:cs="Arial" w:eastAsia="Arial" w:hAnsi="Arial"/>
          <w:sz w:val="16"/>
          <w:szCs w:val="16"/>
          <w:b w:val="1"/>
          <w:bCs w:val="1"/>
          <w:color w:val="auto"/>
        </w:rPr>
        <w:t>.</w:t>
      </w:r>
    </w:p>
    <w:p>
      <w:pPr>
        <w:spacing w:after="0" w:line="229" w:lineRule="exact"/>
        <w:rPr>
          <w:sz w:val="20"/>
          <w:szCs w:val="20"/>
          <w:color w:val="auto"/>
        </w:rPr>
      </w:pPr>
    </w:p>
    <w:p>
      <w:pPr>
        <w:jc w:val="both"/>
        <w:ind w:right="340" w:firstLine="656"/>
        <w:spacing w:after="0" w:line="263" w:lineRule="auto"/>
        <w:tabs>
          <w:tab w:leader="none" w:pos="1487"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83" w:lineRule="exact"/>
        <w:rPr>
          <w:rFonts w:ascii="Arial" w:cs="Arial" w:eastAsia="Arial" w:hAnsi="Arial"/>
          <w:sz w:val="18"/>
          <w:szCs w:val="18"/>
          <w:b w:val="1"/>
          <w:bCs w:val="1"/>
          <w:color w:val="auto"/>
        </w:rPr>
      </w:pPr>
    </w:p>
    <w:p>
      <w:pPr>
        <w:ind w:right="40" w:firstLine="656"/>
        <w:spacing w:after="0" w:line="263" w:lineRule="auto"/>
        <w:tabs>
          <w:tab w:leader="none" w:pos="1497"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7.9 </w:t>
      </w:r>
      <w:r>
        <w:rPr>
          <w:rFonts w:ascii="Arial" w:cs="Arial" w:eastAsia="Arial" w:hAnsi="Arial"/>
          <w:sz w:val="18"/>
          <w:szCs w:val="18"/>
          <w:b w:val="1"/>
          <w:bCs w:val="1"/>
          <w:u w:val="single" w:color="auto"/>
          <w:color w:val="auto"/>
        </w:rPr>
        <w:t>English Law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Any summary of English laws and regulations and of the terms of the Company’s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187"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5"/>
          <w:szCs w:val="15"/>
          <w:b w:val="1"/>
          <w:bCs w:val="1"/>
          <w:u w:val="single" w:color="auto"/>
          <w:color w:val="auto"/>
        </w:rPr>
        <w:t>Titles and References</w:t>
      </w:r>
      <w:r>
        <w:rPr>
          <w:rFonts w:ascii="Arial" w:cs="Arial" w:eastAsia="Arial" w:hAnsi="Arial"/>
          <w:sz w:val="15"/>
          <w:szCs w:val="15"/>
          <w:b w:val="1"/>
          <w:bCs w:val="1"/>
          <w:color w:val="auto"/>
        </w:rPr>
        <w:t>.</w:t>
      </w:r>
    </w:p>
    <w:p>
      <w:pPr>
        <w:spacing w:after="0" w:line="225" w:lineRule="exact"/>
        <w:rPr>
          <w:sz w:val="20"/>
          <w:szCs w:val="20"/>
          <w:color w:val="auto"/>
        </w:rPr>
      </w:pPr>
    </w:p>
    <w:p>
      <w:pPr>
        <w:ind w:right="20" w:firstLine="656"/>
        <w:spacing w:after="0" w:line="289" w:lineRule="auto"/>
        <w:tabs>
          <w:tab w:leader="none" w:pos="1487"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in the Deposit Agreement to exhibits, articles, sections, subsections, and other subdivisions refer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4" w:name="page65"/>
    <w:bookmarkEnd w:id="64"/>
    <w:p>
      <w:pPr>
        <w:ind w:left="-60" w:firstLine="656"/>
        <w:spacing w:after="0" w:line="254" w:lineRule="auto"/>
        <w:tabs>
          <w:tab w:leader="none" w:pos="1437"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ADRs</w:t>
      </w:r>
      <w:r>
        <w:rPr>
          <w:rFonts w:ascii="Arial" w:cs="Arial" w:eastAsia="Arial" w:hAnsi="Arial"/>
          <w:sz w:val="18"/>
          <w:szCs w:val="18"/>
          <w:b w:val="1"/>
          <w:bCs w:val="1"/>
          <w:color w:val="auto"/>
        </w:rPr>
        <w:t xml:space="preserve">. </w:t>
      </w:r>
      <w:r>
        <w:rPr>
          <w:rFonts w:ascii="Arial" w:cs="Arial" w:eastAsia="Arial" w:hAnsi="Arial"/>
          <w:sz w:val="18"/>
          <w:szCs w:val="18"/>
          <w:color w:val="auto"/>
        </w:rPr>
        <w:t>All references in any ADR(s) to paragraphs, exhibits, articles, sections, subsections, and other subdivisions refer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769" w:right="339" w:bottom="1440" w:gutter="0" w:footer="0" w:header="0"/>
        </w:sectPr>
      </w:pPr>
    </w:p>
    <w:bookmarkStart w:id="65" w:name="page66"/>
    <w:bookmarkEnd w:id="65"/>
    <w:p>
      <w:pPr>
        <w:jc w:val="both"/>
        <w:ind w:firstLine="648"/>
        <w:spacing w:after="0" w:line="263" w:lineRule="auto"/>
        <w:rPr>
          <w:sz w:val="20"/>
          <w:szCs w:val="20"/>
          <w:color w:val="auto"/>
        </w:rPr>
      </w:pPr>
      <w:r>
        <w:rPr>
          <w:rFonts w:ascii="Arial" w:cs="Arial" w:eastAsia="Arial" w:hAnsi="Arial"/>
          <w:sz w:val="18"/>
          <w:szCs w:val="18"/>
          <w:color w:val="auto"/>
        </w:rPr>
        <w:t>IN WITNESS WHEREOF, POLESTAR AUTOMOTIVE HOLDING UK LIMITED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POLESTAR AUTOMOTIVE HOLDING UK LIMITED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312"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773" w:right="79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ADR]</w:t>
      </w:r>
    </w:p>
    <w:p>
      <w:pPr>
        <w:sectPr>
          <w:pgSz w:w="11900" w:h="16838" w:orient="portrait"/>
          <w:cols w:equalWidth="0" w:num="1">
            <w:col w:w="11240"/>
          </w:cols>
          <w:pgMar w:left="320" w:top="769"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CUSIP NUMBER: _______</w:t>
      </w:r>
    </w:p>
    <w:p>
      <w:pPr>
        <w:spacing w:after="0" w:line="46" w:lineRule="exact"/>
        <w:rPr>
          <w:sz w:val="20"/>
          <w:szCs w:val="20"/>
          <w:color w:val="auto"/>
        </w:rPr>
      </w:pPr>
    </w:p>
    <w:p>
      <w:pPr>
        <w:sectPr>
          <w:pgSz w:w="11900" w:h="16838" w:orient="portrait"/>
          <w:cols w:equalWidth="0" w:num="2">
            <w:col w:w="6040" w:space="720"/>
            <w:col w:w="4480"/>
          </w:cols>
          <w:pgMar w:left="320" w:top="769"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American Depositary Shares (each American Depositary</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Share representing the right to receive one (1) fully paid Class</w:t>
      </w:r>
    </w:p>
    <w:p>
      <w:pPr>
        <w:spacing w:after="0" w:line="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ordinary share)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RECEIPT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DEPOSITARY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representing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DEPOSITED CLASS A ORDINARY SHARES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Polestar Automotive Holding UK [Limited][PLC]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(Incorporated under the laws of England and Wales)</w:t>
      </w:r>
    </w:p>
    <w:p>
      <w:pPr>
        <w:spacing w:after="0" w:line="225" w:lineRule="exact"/>
        <w:rPr>
          <w:sz w:val="20"/>
          <w:szCs w:val="20"/>
          <w:color w:val="auto"/>
        </w:rPr>
      </w:pPr>
    </w:p>
    <w:p>
      <w:pPr>
        <w:ind w:right="56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ind w:right="20"/>
        <w:spacing w:after="0" w:line="292" w:lineRule="auto"/>
        <w:rPr>
          <w:sz w:val="20"/>
          <w:szCs w:val="20"/>
          <w:color w:val="auto"/>
        </w:rPr>
      </w:pPr>
      <w:r>
        <w:rPr>
          <w:rFonts w:ascii="Arial" w:cs="Arial" w:eastAsia="Arial" w:hAnsi="Arial"/>
          <w:sz w:val="16"/>
          <w:szCs w:val="16"/>
          <w:color w:val="auto"/>
        </w:rPr>
        <w:t>deposited Class A ordinary shares, including evidence of rights to receive such Class A ordinary shares (the “Shares”), of Polestar Automotive Holding UK [Limited][PLC], a [public] limited company incorporated under the laws of England and Wales (the “Company”). As of the date of issuance of this ADR, each ADS represents the right to receive one (1) Share deposited under the Deposit Agreement (as hereinafter defined) with the Custodian, which at the date of issuance of this ADR is Citibank, N.A. (London) (the “Custodian”). The ADS(s)-to-Share(s) ratio is subject to amendment as provided in Articles IV and VI of the Deposit Agreement. The Depositary’s Principal Office is located at 388 Greenwich Street, New York, New York 10013, U.S.A.</w:t>
      </w: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67" w:name="page68"/>
    <w:bookmarkEnd w:id="67"/>
    <w:p>
      <w:pPr>
        <w:ind w:firstLine="656"/>
        <w:spacing w:after="0" w:line="286" w:lineRule="auto"/>
        <w:tabs>
          <w:tab w:leader="none" w:pos="1532"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The 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American Depositary Receipt is one of an issue of American Depositary Receipts (“ADRs”), all issued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to be issued upon the terms and conditions set forth in the Deposit Agreement, dated as of </w:t>
      </w:r>
      <w:r>
        <w:rPr>
          <w:rFonts w:ascii="Arial" w:cs="Arial" w:eastAsia="Arial" w:hAnsi="Arial"/>
          <w:sz w:val="16"/>
          <w:szCs w:val="16"/>
          <w:b w:val="1"/>
          <w:bCs w:val="1"/>
          <w:color w:val="auto"/>
        </w:rPr>
        <w:t>[date]</w:t>
      </w:r>
      <w:r>
        <w:rPr>
          <w:rFonts w:ascii="Arial" w:cs="Arial" w:eastAsia="Arial" w:hAnsi="Arial"/>
          <w:sz w:val="16"/>
          <w:szCs w:val="16"/>
          <w:color w:val="auto"/>
        </w:rPr>
        <w:t>, 2022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w:t>
      </w:r>
      <w:r>
        <w:rPr>
          <w:rFonts w:ascii="Arial" w:cs="Arial" w:eastAsia="Arial" w:hAnsi="Arial"/>
          <w:sz w:val="16"/>
          <w:szCs w:val="16"/>
          <w:i w:val="1"/>
          <w:iCs w:val="1"/>
          <w:color w:val="auto"/>
        </w:rPr>
        <w:t>e.g.,</w:t>
      </w:r>
      <w:r>
        <w:rPr>
          <w:rFonts w:ascii="Arial" w:cs="Arial" w:eastAsia="Arial" w:hAnsi="Arial"/>
          <w:sz w:val="16"/>
          <w:szCs w:val="16"/>
          <w:color w:val="auto"/>
        </w:rPr>
        <w:t xml:space="preserve"> in a brokerage account vs. as registered holder) may affect the rights and obligations of, the manner in which, and the extent to which, services are made available to, Beneficial Owners pursuant to the terms of the Deposit Agreement.</w:t>
      </w:r>
    </w:p>
    <w:p>
      <w:pPr>
        <w:spacing w:after="0" w:line="17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83" w:lineRule="exact"/>
        <w:rPr>
          <w:sz w:val="20"/>
          <w:szCs w:val="20"/>
          <w:color w:val="auto"/>
        </w:rPr>
      </w:pPr>
    </w:p>
    <w:p>
      <w:pPr>
        <w:ind w:firstLine="656"/>
        <w:spacing w:after="0" w:line="287" w:lineRule="auto"/>
        <w:tabs>
          <w:tab w:leader="none" w:pos="1532"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this ADR (and of the ADSs evidenced hereby)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8" w:name="page69"/>
    <w:bookmarkEnd w:id="68"/>
    <w:p>
      <w:pPr>
        <w:ind w:firstLine="648"/>
        <w:spacing w:after="0" w:line="271" w:lineRule="auto"/>
        <w:rPr>
          <w:sz w:val="20"/>
          <w:szCs w:val="20"/>
          <w:color w:val="auto"/>
        </w:rPr>
      </w:pPr>
      <w:r>
        <w:rPr>
          <w:rFonts w:ascii="Arial" w:cs="Arial" w:eastAsia="Arial" w:hAnsi="Arial"/>
          <w:sz w:val="17"/>
          <w:szCs w:val="17"/>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7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69" w:name="page70"/>
    <w:bookmarkEnd w:id="69"/>
    <w:p>
      <w:pPr>
        <w:ind w:firstLine="656"/>
        <w:spacing w:after="0" w:line="289" w:lineRule="auto"/>
        <w:tabs>
          <w:tab w:leader="none" w:pos="1532"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this ADR (and of the ADSs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on 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this ADR, of the Deposit Agreement and of applicable law, in each case as in effect at the time thereof.</w:t>
      </w:r>
    </w:p>
    <w:p>
      <w:pPr>
        <w:spacing w:after="0" w:line="16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2" w:lineRule="exact"/>
        <w:rPr>
          <w:sz w:val="20"/>
          <w:szCs w:val="20"/>
          <w:color w:val="auto"/>
        </w:rPr>
      </w:pPr>
    </w:p>
    <w:p>
      <w:pPr>
        <w:ind w:right="280" w:firstLine="8"/>
        <w:spacing w:after="0" w:line="255"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all applicable fees and charges of, and expenses incurred by, the Depositary and all applicable taxes and governmental charges (as are set forth in Section 5.9 of,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Deposit Agreement) have been paid, </w:t>
      </w:r>
      <w:r>
        <w:rPr>
          <w:rFonts w:ascii="Arial" w:cs="Arial" w:eastAsia="Arial" w:hAnsi="Arial"/>
          <w:sz w:val="18"/>
          <w:szCs w:val="18"/>
          <w:i w:val="1"/>
          <w:iCs w:val="1"/>
          <w:color w:val="auto"/>
        </w:rPr>
        <w:t>subject, however, in each case</w:t>
      </w:r>
      <w:r>
        <w:rPr>
          <w:rFonts w:ascii="Arial" w:cs="Arial" w:eastAsia="Arial" w:hAnsi="Arial"/>
          <w:sz w:val="18"/>
          <w:szCs w:val="18"/>
          <w:color w:val="auto"/>
        </w:rPr>
        <w:t>, to the terms and conditions of this ADR, of the Deposit Agreement and of applicable law, in each case as in effect at the time thereof.</w:t>
      </w:r>
    </w:p>
    <w:p>
      <w:pPr>
        <w:spacing w:after="0" w:line="185" w:lineRule="exact"/>
        <w:rPr>
          <w:rFonts w:ascii="Arial" w:cs="Arial" w:eastAsia="Arial" w:hAnsi="Arial"/>
          <w:sz w:val="18"/>
          <w:szCs w:val="18"/>
          <w:color w:val="auto"/>
        </w:rPr>
      </w:pPr>
    </w:p>
    <w:p>
      <w:pPr>
        <w:ind w:right="20" w:firstLine="656"/>
        <w:spacing w:after="0" w:line="289" w:lineRule="auto"/>
        <w:tabs>
          <w:tab w:leader="none" w:pos="1532" w:val="left"/>
        </w:tabs>
        <w:numPr>
          <w:ilvl w:val="1"/>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Pre-Conditions to Registration, Transfer, Etc</w:t>
      </w:r>
      <w:r>
        <w:rPr>
          <w:rFonts w:ascii="Arial" w:cs="Arial" w:eastAsia="Arial" w:hAnsi="Arial"/>
          <w:sz w:val="16"/>
          <w:szCs w:val="16"/>
          <w:b w:val="1"/>
          <w:bCs w:val="1"/>
          <w:color w:val="auto"/>
        </w:rPr>
        <w:t xml:space="preserve">. </w:t>
      </w:r>
      <w:r>
        <w:rPr>
          <w:rFonts w:ascii="Arial" w:cs="Arial" w:eastAsia="Arial" w:hAnsi="Arial"/>
          <w:sz w:val="16"/>
          <w:szCs w:val="16"/>
          <w:color w:val="auto"/>
        </w:rPr>
        <w:t>As a condition precedent to the execution and Delivery, the registration of issuance,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0" w:name="page71"/>
    <w:bookmarkEnd w:id="70"/>
    <w:p>
      <w:pPr>
        <w:ind w:right="20" w:firstLine="648"/>
        <w:spacing w:after="0" w:line="268" w:lineRule="auto"/>
        <w:rPr>
          <w:sz w:val="20"/>
          <w:szCs w:val="20"/>
          <w:color w:val="auto"/>
        </w:rPr>
      </w:pPr>
      <w:r>
        <w:rPr>
          <w:rFonts w:ascii="Arial" w:cs="Arial" w:eastAsia="Arial" w:hAnsi="Arial"/>
          <w:sz w:val="17"/>
          <w:szCs w:val="17"/>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2" w:lineRule="exact"/>
        <w:rPr>
          <w:sz w:val="20"/>
          <w:szCs w:val="20"/>
          <w:color w:val="auto"/>
        </w:rPr>
      </w:pPr>
    </w:p>
    <w:p>
      <w:pPr>
        <w:ind w:firstLine="656"/>
        <w:spacing w:after="0" w:line="271" w:lineRule="auto"/>
        <w:tabs>
          <w:tab w:leader="none" w:pos="1532"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Compliance With Information Requests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 Deposit Agreement or this ADR, each Holder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Beneficial Owner of the ADSs represented hereby agrees to comply with requests from the Company pursuant to applicable law, the rules and requirements of any stock exchange, and any other stock exchange on which the Shares or ADSs are, or will be, registered, traded or listed, or the Articles of Association of the Company, which are made to provide information, </w:t>
      </w:r>
      <w:r>
        <w:rPr>
          <w:rFonts w:ascii="Arial" w:cs="Arial" w:eastAsia="Arial" w:hAnsi="Arial"/>
          <w:sz w:val="17"/>
          <w:szCs w:val="17"/>
          <w:i w:val="1"/>
          <w:iCs w:val="1"/>
          <w:color w:val="auto"/>
        </w:rPr>
        <w:t>inter alia</w:t>
      </w:r>
      <w:r>
        <w:rPr>
          <w:rFonts w:ascii="Arial" w:cs="Arial" w:eastAsia="Arial" w:hAnsi="Arial"/>
          <w:sz w:val="17"/>
          <w:szCs w:val="17"/>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73" w:lineRule="exact"/>
        <w:rPr>
          <w:rFonts w:ascii="Arial" w:cs="Arial" w:eastAsia="Arial" w:hAnsi="Arial"/>
          <w:sz w:val="17"/>
          <w:szCs w:val="17"/>
          <w:b w:val="1"/>
          <w:bCs w:val="1"/>
          <w:color w:val="auto"/>
        </w:rPr>
      </w:pPr>
    </w:p>
    <w:p>
      <w:pPr>
        <w:ind w:firstLine="656"/>
        <w:spacing w:after="0" w:line="289" w:lineRule="auto"/>
        <w:tabs>
          <w:tab w:leader="none" w:pos="1532"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Ownership Restrictions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contained in this ADR or of the Deposit Agreement to the contrary,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1" w:name="page72"/>
    <w:bookmarkEnd w:id="71"/>
    <w:p>
      <w:pPr>
        <w:ind w:right="20" w:firstLine="648"/>
        <w:spacing w:after="0" w:line="253" w:lineRule="auto"/>
        <w:rPr>
          <w:sz w:val="20"/>
          <w:szCs w:val="20"/>
          <w:color w:val="auto"/>
        </w:rPr>
      </w:pPr>
      <w:r>
        <w:rPr>
          <w:rFonts w:ascii="Arial" w:cs="Arial" w:eastAsia="Arial" w:hAnsi="Arial"/>
          <w:sz w:val="18"/>
          <w:szCs w:val="18"/>
          <w:color w:val="auto"/>
        </w:rPr>
        <w:t>Notwithstanding any provision of this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9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at the Company’s expense,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88" w:lineRule="exact"/>
        <w:rPr>
          <w:sz w:val="20"/>
          <w:szCs w:val="20"/>
          <w:color w:val="auto"/>
        </w:rPr>
      </w:pPr>
    </w:p>
    <w:p>
      <w:pPr>
        <w:ind w:firstLine="656"/>
        <w:spacing w:after="0" w:line="273" w:lineRule="auto"/>
        <w:tabs>
          <w:tab w:leader="none" w:pos="1532"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2" w:name="page73"/>
    <w:bookmarkEnd w:id="72"/>
    <w:p>
      <w:pPr>
        <w:ind w:left="-60" w:firstLine="656"/>
        <w:spacing w:after="0" w:line="286" w:lineRule="auto"/>
        <w:tabs>
          <w:tab w:leader="none" w:pos="1472"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67" w:lineRule="exact"/>
        <w:rPr>
          <w:rFonts w:ascii="Arial" w:cs="Arial" w:eastAsia="Arial" w:hAnsi="Arial"/>
          <w:sz w:val="16"/>
          <w:szCs w:val="16"/>
          <w:b w:val="1"/>
          <w:bCs w:val="1"/>
          <w:color w:val="auto"/>
        </w:rPr>
      </w:pPr>
    </w:p>
    <w:p>
      <w:pPr>
        <w:ind w:left="-60" w:right="60" w:firstLine="656"/>
        <w:spacing w:after="0" w:line="289" w:lineRule="auto"/>
        <w:tabs>
          <w:tab w:leader="none" w:pos="1472"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Representations and Warranties on 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Each person depositing Shares under the Deposit Agreement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80" w:top="769" w:right="359" w:bottom="1440" w:gutter="0" w:footer="0" w:header="0"/>
        </w:sectPr>
      </w:pPr>
    </w:p>
    <w:bookmarkStart w:id="73" w:name="page74"/>
    <w:bookmarkEnd w:id="73"/>
    <w:p>
      <w:pPr>
        <w:ind w:left="-8" w:firstLine="656"/>
        <w:spacing w:after="0" w:line="284" w:lineRule="auto"/>
        <w:tabs>
          <w:tab w:leader="none" w:pos="1434" w:val="left"/>
        </w:tabs>
        <w:numPr>
          <w:ilvl w:val="1"/>
          <w:numId w:val="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reasonable request of the Company, shall, to the extent practicable, withhold the execution or delivery or registration of transfer of any ADR or ADS or the distribution or sale of any dividend or distribution of rights or of the proceeds thereof or, to the extent not limited by paragraph</w:t>
      </w:r>
    </w:p>
    <w:p>
      <w:pPr>
        <w:spacing w:after="0" w:line="1" w:lineRule="exact"/>
        <w:rPr>
          <w:rFonts w:ascii="Arial" w:cs="Arial" w:eastAsia="Arial" w:hAnsi="Arial"/>
          <w:sz w:val="16"/>
          <w:szCs w:val="16"/>
          <w:b w:val="1"/>
          <w:bCs w:val="1"/>
          <w:color w:val="auto"/>
        </w:rPr>
      </w:pPr>
    </w:p>
    <w:p>
      <w:pPr>
        <w:ind w:left="-8" w:right="20" w:firstLine="8"/>
        <w:spacing w:after="0" w:line="287" w:lineRule="auto"/>
        <w:tabs>
          <w:tab w:leader="none" w:pos="337"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65" w:lineRule="exact"/>
        <w:rPr>
          <w:rFonts w:ascii="Arial" w:cs="Arial" w:eastAsia="Arial" w:hAnsi="Arial"/>
          <w:sz w:val="16"/>
          <w:szCs w:val="16"/>
          <w:color w:val="auto"/>
        </w:rPr>
      </w:pPr>
    </w:p>
    <w:p>
      <w:pPr>
        <w:ind w:left="1432" w:hanging="784"/>
        <w:spacing w:after="0"/>
        <w:tabs>
          <w:tab w:leader="none" w:pos="1432" w:val="left"/>
        </w:tabs>
        <w:numPr>
          <w:ilvl w:val="1"/>
          <w:numId w:val="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 and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ADS fees are payable under the terms of the Deposit Agreement:</w:t>
      </w:r>
    </w:p>
    <w:p>
      <w:pPr>
        <w:spacing w:after="0" w:line="229" w:lineRule="exact"/>
        <w:rPr>
          <w:rFonts w:ascii="Arial" w:cs="Arial" w:eastAsia="Arial" w:hAnsi="Arial"/>
          <w:sz w:val="18"/>
          <w:szCs w:val="18"/>
          <w:b w:val="1"/>
          <w:bCs w:val="1"/>
          <w:color w:val="auto"/>
        </w:rPr>
      </w:pPr>
    </w:p>
    <w:p>
      <w:pPr>
        <w:ind w:left="1952" w:right="160" w:hanging="656"/>
        <w:spacing w:after="0" w:line="311" w:lineRule="auto"/>
        <w:tabs>
          <w:tab w:leader="none" w:pos="1952" w:val="left"/>
        </w:tabs>
        <w:numPr>
          <w:ilvl w:val="2"/>
          <w:numId w:val="38"/>
        </w:numPr>
        <w:rPr>
          <w:rFonts w:ascii="Arial" w:cs="Arial" w:eastAsia="Arial" w:hAnsi="Arial"/>
          <w:sz w:val="16"/>
          <w:szCs w:val="16"/>
          <w:b w:val="1"/>
          <w:bCs w:val="1"/>
          <w:color w:val="auto"/>
        </w:rPr>
      </w:pPr>
      <w:r>
        <w:rPr>
          <w:rFonts w:ascii="Arial" w:cs="Arial" w:eastAsia="Arial" w:hAnsi="Arial"/>
          <w:sz w:val="16"/>
          <w:szCs w:val="16"/>
          <w:u w:val="single" w:color="auto"/>
          <w:color w:val="auto"/>
        </w:rPr>
        <w:t>ADS Issuance Fee</w:t>
      </w:r>
      <w:r>
        <w:rPr>
          <w:rFonts w:ascii="Arial" w:cs="Arial" w:eastAsia="Arial" w:hAnsi="Arial"/>
          <w:sz w:val="16"/>
          <w:szCs w:val="16"/>
          <w:color w:val="auto"/>
        </w:rPr>
        <w:t>: by any person for whom ADSs are issued (</w:t>
      </w:r>
      <w:r>
        <w:rPr>
          <w:rFonts w:ascii="Arial" w:cs="Arial" w:eastAsia="Arial" w:hAnsi="Arial"/>
          <w:sz w:val="16"/>
          <w:szCs w:val="16"/>
          <w:i w:val="1"/>
          <w:iCs w:val="1"/>
          <w:color w:val="auto"/>
        </w:rPr>
        <w:t>e.g.</w:t>
      </w:r>
      <w:r>
        <w:rPr>
          <w:rFonts w:ascii="Arial" w:cs="Arial" w:eastAsia="Arial" w:hAnsi="Arial"/>
          <w:sz w:val="16"/>
          <w:szCs w:val="16"/>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48" w:lineRule="exact"/>
        <w:rPr>
          <w:rFonts w:ascii="Arial" w:cs="Arial" w:eastAsia="Arial" w:hAnsi="Arial"/>
          <w:sz w:val="16"/>
          <w:szCs w:val="16"/>
          <w:b w:val="1"/>
          <w:bCs w:val="1"/>
          <w:color w:val="auto"/>
        </w:rPr>
      </w:pPr>
    </w:p>
    <w:p>
      <w:pPr>
        <w:ind w:left="1952" w:right="140" w:hanging="656"/>
        <w:spacing w:after="0" w:line="263" w:lineRule="auto"/>
        <w:tabs>
          <w:tab w:leader="none" w:pos="1952" w:val="left"/>
        </w:tabs>
        <w:numPr>
          <w:ilvl w:val="2"/>
          <w:numId w:val="38"/>
        </w:numPr>
        <w:rPr>
          <w:rFonts w:ascii="Arial" w:cs="Arial" w:eastAsia="Arial" w:hAnsi="Arial"/>
          <w:sz w:val="18"/>
          <w:szCs w:val="18"/>
          <w:b w:val="1"/>
          <w:bCs w:val="1"/>
          <w:color w:val="auto"/>
        </w:rPr>
      </w:pPr>
      <w:r>
        <w:rPr>
          <w:rFonts w:ascii="Arial" w:cs="Arial" w:eastAsia="Arial" w:hAnsi="Arial"/>
          <w:sz w:val="18"/>
          <w:szCs w:val="18"/>
          <w:u w:val="single" w:color="auto"/>
          <w:color w:val="auto"/>
        </w:rPr>
        <w:t>ADS Cancellation Fee</w:t>
      </w:r>
      <w:r>
        <w:rPr>
          <w:rFonts w:ascii="Arial" w:cs="Arial" w:eastAsia="Arial" w:hAnsi="Arial"/>
          <w:sz w:val="18"/>
          <w:szCs w:val="18"/>
          <w:color w:val="auto"/>
        </w:rPr>
        <w:t>: by any person for whom ADSs are being cancelled (</w:t>
      </w:r>
      <w:r>
        <w:rPr>
          <w:rFonts w:ascii="Arial" w:cs="Arial" w:eastAsia="Arial" w:hAnsi="Arial"/>
          <w:sz w:val="18"/>
          <w:szCs w:val="18"/>
          <w:i w:val="1"/>
          <w:iCs w:val="1"/>
          <w:color w:val="auto"/>
        </w:rPr>
        <w:t>e.g.</w:t>
      </w:r>
      <w:r>
        <w:rPr>
          <w:rFonts w:ascii="Arial" w:cs="Arial" w:eastAsia="Arial" w:hAnsi="Arial"/>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284"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769" w:right="379" w:bottom="1440" w:gutter="0" w:footer="0" w:header="0"/>
        </w:sectPr>
      </w:pPr>
    </w:p>
    <w:bookmarkStart w:id="74" w:name="page75"/>
    <w:bookmarkEnd w:id="74"/>
    <w:p>
      <w:pPr>
        <w:ind w:left="1960" w:right="60" w:hanging="656"/>
        <w:spacing w:after="0" w:line="308" w:lineRule="auto"/>
        <w:tabs>
          <w:tab w:leader="none" w:pos="1960" w:val="left"/>
        </w:tabs>
        <w:numPr>
          <w:ilvl w:val="0"/>
          <w:numId w:val="39"/>
        </w:numPr>
        <w:rPr>
          <w:rFonts w:ascii="Arial" w:cs="Arial" w:eastAsia="Arial" w:hAnsi="Arial"/>
          <w:sz w:val="17"/>
          <w:szCs w:val="17"/>
          <w:b w:val="1"/>
          <w:bCs w:val="1"/>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a sale of rights and other entitlements);</w:t>
      </w:r>
    </w:p>
    <w:p>
      <w:pPr>
        <w:spacing w:after="0" w:line="146" w:lineRule="exact"/>
        <w:rPr>
          <w:rFonts w:ascii="Arial" w:cs="Arial" w:eastAsia="Arial" w:hAnsi="Arial"/>
          <w:sz w:val="17"/>
          <w:szCs w:val="17"/>
          <w:b w:val="1"/>
          <w:bCs w:val="1"/>
          <w:color w:val="auto"/>
        </w:rPr>
      </w:pPr>
    </w:p>
    <w:p>
      <w:pPr>
        <w:jc w:val="both"/>
        <w:ind w:left="1960" w:right="160" w:hanging="656"/>
        <w:spacing w:after="0" w:line="263" w:lineRule="auto"/>
        <w:tabs>
          <w:tab w:leader="none" w:pos="1960" w:val="left"/>
        </w:tabs>
        <w:numPr>
          <w:ilvl w:val="0"/>
          <w:numId w:val="39"/>
        </w:numPr>
        <w:rPr>
          <w:rFonts w:ascii="Arial" w:cs="Arial" w:eastAsia="Arial" w:hAnsi="Arial"/>
          <w:sz w:val="18"/>
          <w:szCs w:val="18"/>
          <w:b w:val="1"/>
          <w:bCs w:val="1"/>
          <w:color w:val="auto"/>
        </w:rPr>
      </w:pPr>
      <w:r>
        <w:rPr>
          <w:rFonts w:ascii="Arial" w:cs="Arial" w:eastAsia="Arial" w:hAnsi="Arial"/>
          <w:sz w:val="18"/>
          <w:szCs w:val="18"/>
          <w:u w:val="single" w:color="auto"/>
          <w:color w:val="auto"/>
        </w:rPr>
        <w:t>Stock Distribution /Rights Exercise Fee</w:t>
      </w:r>
      <w:r>
        <w:rPr>
          <w:rFonts w:ascii="Arial" w:cs="Arial" w:eastAsia="Arial" w:hAnsi="Arial"/>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83" w:lineRule="exact"/>
        <w:rPr>
          <w:rFonts w:ascii="Arial" w:cs="Arial" w:eastAsia="Arial" w:hAnsi="Arial"/>
          <w:sz w:val="18"/>
          <w:szCs w:val="18"/>
          <w:b w:val="1"/>
          <w:bCs w:val="1"/>
          <w:color w:val="auto"/>
        </w:rPr>
      </w:pPr>
    </w:p>
    <w:p>
      <w:pPr>
        <w:ind w:left="1960" w:right="160" w:hanging="656"/>
        <w:spacing w:after="0" w:line="308" w:lineRule="auto"/>
        <w:tabs>
          <w:tab w:leader="none" w:pos="1960" w:val="left"/>
        </w:tabs>
        <w:numPr>
          <w:ilvl w:val="0"/>
          <w:numId w:val="39"/>
        </w:numPr>
        <w:rPr>
          <w:rFonts w:ascii="Arial" w:cs="Arial" w:eastAsia="Arial" w:hAnsi="Arial"/>
          <w:sz w:val="17"/>
          <w:szCs w:val="17"/>
          <w:b w:val="1"/>
          <w:bCs w:val="1"/>
          <w:color w:val="auto"/>
        </w:rPr>
      </w:pPr>
      <w:r>
        <w:rPr>
          <w:rFonts w:ascii="Arial" w:cs="Arial" w:eastAsia="Arial" w:hAnsi="Arial"/>
          <w:sz w:val="17"/>
          <w:szCs w:val="17"/>
          <w:u w:val="single" w:color="auto"/>
          <w:color w:val="auto"/>
        </w:rPr>
        <w:t>Other Distribution Fee</w:t>
      </w:r>
      <w:r>
        <w:rPr>
          <w:rFonts w:ascii="Arial" w:cs="Arial" w:eastAsia="Arial" w:hAnsi="Arial"/>
          <w:sz w:val="17"/>
          <w:szCs w:val="17"/>
          <w:color w:val="auto"/>
        </w:rPr>
        <w:t>: by any Holder of ADS(s), a fee not in excess of U.S. $5.00 per 100 ADSs (or fraction thereof) held for the distribution of securities other than ADSs or rights to purchase additional ADSs (</w:t>
      </w:r>
      <w:r>
        <w:rPr>
          <w:rFonts w:ascii="Arial" w:cs="Arial" w:eastAsia="Arial" w:hAnsi="Arial"/>
          <w:sz w:val="17"/>
          <w:szCs w:val="17"/>
          <w:i w:val="1"/>
          <w:iCs w:val="1"/>
          <w:color w:val="auto"/>
        </w:rPr>
        <w:t>e.g.</w:t>
      </w:r>
      <w:r>
        <w:rPr>
          <w:rFonts w:ascii="Arial" w:cs="Arial" w:eastAsia="Arial" w:hAnsi="Arial"/>
          <w:sz w:val="17"/>
          <w:szCs w:val="17"/>
          <w:color w:val="auto"/>
        </w:rPr>
        <w:t>, spin-off shares);</w:t>
      </w:r>
    </w:p>
    <w:p>
      <w:pPr>
        <w:spacing w:after="0" w:line="146" w:lineRule="exact"/>
        <w:rPr>
          <w:rFonts w:ascii="Arial" w:cs="Arial" w:eastAsia="Arial" w:hAnsi="Arial"/>
          <w:sz w:val="17"/>
          <w:szCs w:val="17"/>
          <w:b w:val="1"/>
          <w:bCs w:val="1"/>
          <w:color w:val="auto"/>
        </w:rPr>
      </w:pPr>
    </w:p>
    <w:p>
      <w:pPr>
        <w:ind w:left="1960" w:right="60" w:hanging="656"/>
        <w:spacing w:after="0" w:line="277" w:lineRule="auto"/>
        <w:tabs>
          <w:tab w:leader="none" w:pos="1960" w:val="left"/>
        </w:tabs>
        <w:numPr>
          <w:ilvl w:val="0"/>
          <w:numId w:val="39"/>
        </w:numPr>
        <w:rPr>
          <w:rFonts w:ascii="Arial" w:cs="Arial" w:eastAsia="Arial" w:hAnsi="Arial"/>
          <w:sz w:val="18"/>
          <w:szCs w:val="18"/>
          <w:b w:val="1"/>
          <w:bCs w:val="1"/>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170" w:lineRule="exact"/>
        <w:rPr>
          <w:rFonts w:ascii="Arial" w:cs="Arial" w:eastAsia="Arial" w:hAnsi="Arial"/>
          <w:sz w:val="18"/>
          <w:szCs w:val="18"/>
          <w:b w:val="1"/>
          <w:bCs w:val="1"/>
          <w:color w:val="auto"/>
        </w:rPr>
      </w:pPr>
    </w:p>
    <w:p>
      <w:pPr>
        <w:ind w:left="1960" w:hanging="656"/>
        <w:spacing w:after="0" w:line="286" w:lineRule="auto"/>
        <w:tabs>
          <w:tab w:leader="none" w:pos="1960" w:val="left"/>
        </w:tabs>
        <w:numPr>
          <w:ilvl w:val="0"/>
          <w:numId w:val="39"/>
        </w:numPr>
        <w:rPr>
          <w:rFonts w:ascii="Arial" w:cs="Arial" w:eastAsia="Arial" w:hAnsi="Arial"/>
          <w:sz w:val="17"/>
          <w:szCs w:val="17"/>
          <w:b w:val="1"/>
          <w:bCs w:val="1"/>
          <w:color w:val="auto"/>
        </w:rPr>
      </w:pPr>
      <w:r>
        <w:rPr>
          <w:rFonts w:ascii="Arial" w:cs="Arial" w:eastAsia="Arial" w:hAnsi="Arial"/>
          <w:sz w:val="17"/>
          <w:szCs w:val="17"/>
          <w:u w:val="single" w:color="auto"/>
          <w:color w:val="auto"/>
        </w:rPr>
        <w:t>Registration of ADS Transfer Fee</w:t>
      </w:r>
      <w:r>
        <w:rPr>
          <w:rFonts w:ascii="Arial" w:cs="Arial" w:eastAsia="Arial" w:hAnsi="Arial"/>
          <w:sz w:val="17"/>
          <w:szCs w:val="17"/>
          <w:color w:val="auto"/>
        </w:rPr>
        <w:t>: by any Holder of ADS(s) being transferred or by any person to whom ADSs are transferred, a fee not in excess of U.S. $5.00 per 100 ADSs (or fraction thereof) transferred (</w:t>
      </w:r>
      <w:r>
        <w:rPr>
          <w:rFonts w:ascii="Arial" w:cs="Arial" w:eastAsia="Arial" w:hAnsi="Arial"/>
          <w:sz w:val="17"/>
          <w:szCs w:val="17"/>
          <w:i w:val="1"/>
          <w:iCs w:val="1"/>
          <w:color w:val="auto"/>
        </w:rPr>
        <w:t>e.g.</w:t>
      </w:r>
      <w:r>
        <w:rPr>
          <w:rFonts w:ascii="Arial" w:cs="Arial" w:eastAsia="Arial" w:hAnsi="Arial"/>
          <w:sz w:val="17"/>
          <w:szCs w:val="17"/>
          <w:color w:val="auto"/>
        </w:rPr>
        <w:t>, upon a registration of the transfer of registered ownership of ADSs, upon a transfer of ADSs into DTC and vice versa, or for any other reason); and</w:t>
      </w:r>
    </w:p>
    <w:p>
      <w:pPr>
        <w:spacing w:after="0" w:line="165" w:lineRule="exact"/>
        <w:rPr>
          <w:rFonts w:ascii="Arial" w:cs="Arial" w:eastAsia="Arial" w:hAnsi="Arial"/>
          <w:sz w:val="17"/>
          <w:szCs w:val="17"/>
          <w:b w:val="1"/>
          <w:bCs w:val="1"/>
          <w:color w:val="auto"/>
        </w:rPr>
      </w:pPr>
    </w:p>
    <w:p>
      <w:pPr>
        <w:ind w:left="1960" w:right="40" w:hanging="656"/>
        <w:spacing w:after="0" w:line="259" w:lineRule="auto"/>
        <w:tabs>
          <w:tab w:leader="none" w:pos="1960" w:val="left"/>
        </w:tabs>
        <w:numPr>
          <w:ilvl w:val="0"/>
          <w:numId w:val="39"/>
        </w:numPr>
        <w:rPr>
          <w:rFonts w:ascii="Arial" w:cs="Arial" w:eastAsia="Arial" w:hAnsi="Arial"/>
          <w:sz w:val="18"/>
          <w:szCs w:val="18"/>
          <w:b w:val="1"/>
          <w:bCs w:val="1"/>
          <w:color w:val="auto"/>
        </w:rPr>
      </w:pPr>
      <w:r>
        <w:rPr>
          <w:rFonts w:ascii="Arial" w:cs="Arial" w:eastAsia="Arial" w:hAnsi="Arial"/>
          <w:sz w:val="18"/>
          <w:szCs w:val="18"/>
          <w:u w:val="single" w:color="auto"/>
          <w:color w:val="auto"/>
        </w:rPr>
        <w:t>ADS Conversion Fee</w:t>
      </w:r>
      <w:r>
        <w:rPr>
          <w:rFonts w:ascii="Arial" w:cs="Arial" w:eastAsia="Arial" w:hAnsi="Arial"/>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Arial" w:cs="Arial" w:eastAsia="Arial" w:hAnsi="Arial"/>
          <w:sz w:val="18"/>
          <w:szCs w:val="18"/>
          <w:i w:val="1"/>
          <w:iCs w:val="1"/>
          <w:color w:val="auto"/>
        </w:rPr>
        <w:t>e.g.</w:t>
      </w:r>
      <w:r>
        <w:rPr>
          <w:rFonts w:ascii="Arial" w:cs="Arial" w:eastAsia="Arial" w:hAnsi="Arial"/>
          <w:sz w:val="18"/>
          <w:szCs w:val="18"/>
          <w:color w:val="auto"/>
        </w:rPr>
        <w:t xml:space="preserve">, upon conversion of Partial Entitlement ADSs for Full Entitlement ADSs, or upon conversion of Restricted ADSs into freely transferrable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8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84" w:lineRule="exact"/>
        <w:rPr>
          <w:sz w:val="20"/>
          <w:szCs w:val="20"/>
          <w:color w:val="auto"/>
        </w:rPr>
      </w:pPr>
    </w:p>
    <w:p>
      <w:pPr>
        <w:ind w:left="1960" w:hanging="656"/>
        <w:spacing w:after="0"/>
        <w:tabs>
          <w:tab w:leader="none" w:pos="1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1960" w:right="300" w:hanging="656"/>
        <w:spacing w:after="0" w:line="286" w:lineRule="auto"/>
        <w:tabs>
          <w:tab w:leader="none" w:pos="1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75" w:name="page76"/>
    <w:bookmarkEnd w:id="75"/>
    <w:p>
      <w:pPr>
        <w:ind w:left="1960" w:right="160" w:hanging="656"/>
        <w:spacing w:after="0" w:line="263" w:lineRule="auto"/>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83" w:lineRule="exact"/>
        <w:rPr>
          <w:rFonts w:ascii="Arial" w:cs="Arial" w:eastAsia="Arial" w:hAnsi="Arial"/>
          <w:sz w:val="18"/>
          <w:szCs w:val="18"/>
          <w:color w:val="auto"/>
        </w:rPr>
      </w:pPr>
    </w:p>
    <w:p>
      <w:pPr>
        <w:ind w:left="1960" w:right="260" w:hanging="656"/>
        <w:spacing w:after="0" w:line="286" w:lineRule="auto"/>
        <w:tabs>
          <w:tab w:leader="none" w:pos="1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65" w:lineRule="exact"/>
        <w:rPr>
          <w:rFonts w:ascii="Arial" w:cs="Arial" w:eastAsia="Arial" w:hAnsi="Arial"/>
          <w:sz w:val="17"/>
          <w:szCs w:val="17"/>
          <w:color w:val="auto"/>
        </w:rPr>
      </w:pPr>
    </w:p>
    <w:p>
      <w:pPr>
        <w:ind w:left="1960" w:right="760" w:hanging="656"/>
        <w:spacing w:after="0" w:line="308" w:lineRule="auto"/>
        <w:tabs>
          <w:tab w:leader="none" w:pos="19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reasonable and customary out-of-pocket expenses incurred in such conversion and/or on behalf of the Holders and Beneficial Owners in complying with currency exchange control or other governmental requirements;</w:t>
      </w:r>
    </w:p>
    <w:p>
      <w:pPr>
        <w:spacing w:after="0" w:line="146" w:lineRule="exact"/>
        <w:rPr>
          <w:rFonts w:ascii="Arial" w:cs="Arial" w:eastAsia="Arial" w:hAnsi="Arial"/>
          <w:sz w:val="17"/>
          <w:szCs w:val="17"/>
          <w:color w:val="auto"/>
        </w:rPr>
      </w:pPr>
    </w:p>
    <w:p>
      <w:pPr>
        <w:ind w:left="1960" w:right="320" w:hanging="656"/>
        <w:spacing w:after="0" w:line="277" w:lineRule="auto"/>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fees, charges, costs and expenses incurred by the Depositary, the Custodian, or any nominee in connection with the ADR program; and</w:t>
      </w:r>
    </w:p>
    <w:p>
      <w:pPr>
        <w:spacing w:after="0" w:line="170" w:lineRule="exact"/>
        <w:rPr>
          <w:rFonts w:ascii="Arial" w:cs="Arial" w:eastAsia="Arial" w:hAnsi="Arial"/>
          <w:sz w:val="18"/>
          <w:szCs w:val="18"/>
          <w:color w:val="auto"/>
        </w:rPr>
      </w:pPr>
    </w:p>
    <w:p>
      <w:pPr>
        <w:ind w:left="1960" w:hanging="656"/>
        <w:spacing w:after="0" w:line="277" w:lineRule="auto"/>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ADSs and the ADRs.</w:t>
      </w:r>
    </w:p>
    <w:p>
      <w:pPr>
        <w:spacing w:after="0" w:line="170"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4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6" w:name="page77"/>
    <w:bookmarkEnd w:id="76"/>
    <w:p>
      <w:pPr>
        <w:ind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61" w:lineRule="exact"/>
        <w:rPr>
          <w:sz w:val="20"/>
          <w:szCs w:val="20"/>
          <w:color w:val="auto"/>
        </w:rPr>
      </w:pPr>
    </w:p>
    <w:p>
      <w:pPr>
        <w:ind w:right="40" w:firstLine="656"/>
        <w:spacing w:after="0" w:line="271" w:lineRule="auto"/>
        <w:tabs>
          <w:tab w:leader="none" w:pos="1442"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to ADRs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in the Deposit Agreement and in this ADR, it is a condition of this ADR, and every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73" w:lineRule="exact"/>
        <w:rPr>
          <w:rFonts w:ascii="Arial" w:cs="Arial" w:eastAsia="Arial" w:hAnsi="Arial"/>
          <w:sz w:val="17"/>
          <w:szCs w:val="17"/>
          <w:b w:val="1"/>
          <w:bCs w:val="1"/>
          <w:color w:val="auto"/>
        </w:rPr>
      </w:pPr>
    </w:p>
    <w:p>
      <w:pPr>
        <w:ind w:right="60" w:firstLine="656"/>
        <w:spacing w:after="0" w:line="273" w:lineRule="auto"/>
        <w:tabs>
          <w:tab w:leader="none" w:pos="1442"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Validity of ADR</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Holder(s) of this ADR (and the ADSs represented hereby) shall not be entitled to any benefits under the Deposit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7" w:name="page78"/>
    <w:bookmarkEnd w:id="77"/>
    <w:p>
      <w:pPr>
        <w:ind w:firstLine="656"/>
        <w:spacing w:after="0" w:line="261" w:lineRule="auto"/>
        <w:tabs>
          <w:tab w:leader="none" w:pos="144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 Information; Reports; Inspection of Transfer Books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4"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9"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7.8(a) of the Deposit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240"/>
          </w:cols>
          <w:pgMar w:left="320" w:top="769"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769"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 __________________________________</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620"/>
          </w:cols>
          <w:pgMar w:left="320" w:top="769" w:right="339" w:bottom="1440" w:gutter="0" w:footer="0" w:header="0"/>
          <w:type w:val="continuous"/>
        </w:sectPr>
      </w:pPr>
    </w:p>
    <w:p>
      <w:pPr>
        <w:spacing w:after="0" w:line="11"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The address of the Principal Office of the Depositary is 388 Greenwich Street, New York, New York 10013, U.S.A.</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21" w:lineRule="exact"/>
        <w:rPr>
          <w:sz w:val="20"/>
          <w:szCs w:val="20"/>
          <w:color w:val="auto"/>
        </w:rPr>
      </w:pPr>
    </w:p>
    <w:p>
      <w:pPr>
        <w:ind w:left="-20" w:firstLine="656"/>
        <w:spacing w:after="0" w:line="284" w:lineRule="auto"/>
        <w:tabs>
          <w:tab w:leader="none" w:pos="1422"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 and Distributions in Cash, Shares, etc</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Cash Distributions</w:t>
      </w:r>
      <w:r>
        <w:rPr>
          <w:rFonts w:ascii="Arial" w:cs="Arial" w:eastAsia="Arial" w:hAnsi="Arial"/>
          <w:sz w:val="16"/>
          <w:szCs w:val="16"/>
          <w:color w:val="auto"/>
        </w:rPr>
        <w:t>: Upon the timely receipt by the Depositary of a notice from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that it intends to make a distribution of a cash dividend or other cash distribution, the Depositary shall establish the ADS Record Date upon the terms described in Section 4.9 of the Deposit Agreement. Upon confirmation of the receipt of (x) any cash dividend or other cash distribution in respect of any Deposited Property (whether from the Company or otherwise), or (y) proceeds from the sale of any Deposited Property held in respect of the ADSs under the terms of the Deposit Agreement, the Depositary will (i) if at the time thereof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set forth in the Fee Schedule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769" w:right="359" w:bottom="1440" w:gutter="0" w:footer="0" w:header="0"/>
        </w:sectPr>
      </w:pPr>
    </w:p>
    <w:bookmarkStart w:id="79" w:name="page80"/>
    <w:bookmarkEnd w:id="79"/>
    <w:p>
      <w:pPr>
        <w:ind w:firstLine="656"/>
        <w:spacing w:after="0" w:line="287" w:lineRule="auto"/>
        <w:tabs>
          <w:tab w:leader="none" w:pos="903" w:val="left"/>
        </w:tabs>
        <w:numPr>
          <w:ilvl w:val="1"/>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Share Distributions</w:t>
      </w:r>
      <w:r>
        <w:rPr>
          <w:rFonts w:ascii="Arial" w:cs="Arial" w:eastAsia="Arial" w:hAnsi="Arial"/>
          <w:sz w:val="16"/>
          <w:szCs w:val="16"/>
          <w:color w:val="auto"/>
        </w:rPr>
        <w:t>: Upon the timely receipt by the Depositary of a notice from the Company that it intends to make a distribution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w:t>
      </w:r>
    </w:p>
    <w:p>
      <w:pPr>
        <w:spacing w:after="0" w:line="2" w:lineRule="exact"/>
        <w:rPr>
          <w:rFonts w:ascii="Arial" w:cs="Arial" w:eastAsia="Arial" w:hAnsi="Arial"/>
          <w:sz w:val="16"/>
          <w:szCs w:val="16"/>
          <w:color w:val="auto"/>
        </w:rPr>
      </w:pPr>
    </w:p>
    <w:p>
      <w:pPr>
        <w:ind w:firstLine="8"/>
        <w:spacing w:after="0" w:line="281" w:lineRule="auto"/>
        <w:tabs>
          <w:tab w:leader="none" w:pos="215"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w:t>
      </w:r>
    </w:p>
    <w:p>
      <w:pPr>
        <w:spacing w:after="0" w:line="1" w:lineRule="exact"/>
        <w:rPr>
          <w:rFonts w:ascii="Arial" w:cs="Arial" w:eastAsia="Arial" w:hAnsi="Arial"/>
          <w:sz w:val="16"/>
          <w:szCs w:val="16"/>
          <w:color w:val="auto"/>
        </w:rPr>
      </w:pPr>
    </w:p>
    <w:p>
      <w:pPr>
        <w:ind w:right="40" w:firstLine="8"/>
        <w:spacing w:after="0" w:line="270" w:lineRule="auto"/>
        <w:tabs>
          <w:tab w:leader="none" w:pos="2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78"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0" w:name="page81"/>
    <w:bookmarkEnd w:id="80"/>
    <w:p>
      <w:pPr>
        <w:ind w:left="-8" w:right="240" w:firstLine="656"/>
        <w:spacing w:after="0" w:line="286" w:lineRule="auto"/>
        <w:tabs>
          <w:tab w:leader="none" w:pos="884" w:val="left"/>
        </w:tabs>
        <w:numPr>
          <w:ilvl w:val="1"/>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Elective Distributions in Cash or Shares</w:t>
      </w:r>
      <w:r>
        <w:rPr>
          <w:rFonts w:ascii="Arial" w:cs="Arial" w:eastAsia="Arial" w:hAnsi="Arial"/>
          <w:sz w:val="16"/>
          <w:szCs w:val="16"/>
          <w:color w:val="auto"/>
        </w:rPr>
        <w:t>: Upon the timely receipt of a notice indicating that the Company wishes an elective distribution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w:t>
      </w:r>
    </w:p>
    <w:p>
      <w:pPr>
        <w:spacing w:after="0" w:line="1" w:lineRule="exact"/>
        <w:rPr>
          <w:rFonts w:ascii="Arial" w:cs="Arial" w:eastAsia="Arial" w:hAnsi="Arial"/>
          <w:sz w:val="16"/>
          <w:szCs w:val="16"/>
          <w:color w:val="auto"/>
        </w:rPr>
      </w:pPr>
    </w:p>
    <w:p>
      <w:pPr>
        <w:ind w:left="-8" w:firstLine="8"/>
        <w:spacing w:after="0" w:line="284" w:lineRule="auto"/>
        <w:tabs>
          <w:tab w:leader="none" w:pos="25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(16)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any Holder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72" w:lineRule="exact"/>
        <w:rPr>
          <w:rFonts w:ascii="Arial" w:cs="Arial" w:eastAsia="Arial" w:hAnsi="Arial"/>
          <w:sz w:val="16"/>
          <w:szCs w:val="16"/>
          <w:color w:val="auto"/>
        </w:rPr>
      </w:pPr>
    </w:p>
    <w:p>
      <w:pPr>
        <w:ind w:left="-8" w:right="40" w:firstLine="656"/>
        <w:spacing w:after="0" w:line="284" w:lineRule="auto"/>
        <w:tabs>
          <w:tab w:leader="none" w:pos="895" w:val="left"/>
        </w:tabs>
        <w:numPr>
          <w:ilvl w:val="1"/>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Distribution of Rights to Purchase Additional ADSs</w:t>
      </w:r>
      <w:r>
        <w:rPr>
          <w:rFonts w:ascii="Arial" w:cs="Arial" w:eastAsia="Arial" w:hAnsi="Arial"/>
          <w:sz w:val="16"/>
          <w:szCs w:val="16"/>
          <w:color w:val="auto"/>
        </w:rPr>
        <w:t>: Upon the timely receipt by the Depositary of a notice indicating that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77"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73" w:right="339" w:bottom="1440" w:gutter="0" w:footer="0" w:header="0"/>
        </w:sectPr>
      </w:pPr>
    </w:p>
    <w:bookmarkStart w:id="81" w:name="page82"/>
    <w:bookmarkEnd w:id="81"/>
    <w:p>
      <w:pPr>
        <w:ind w:firstLine="648"/>
        <w:spacing w:after="0" w:line="268" w:lineRule="auto"/>
        <w:rPr>
          <w:sz w:val="20"/>
          <w:szCs w:val="20"/>
          <w:color w:val="auto"/>
        </w:rPr>
      </w:pPr>
      <w:r>
        <w:rPr>
          <w:rFonts w:ascii="Arial" w:cs="Arial" w:eastAsia="Arial" w:hAnsi="Arial"/>
          <w:sz w:val="17"/>
          <w:szCs w:val="17"/>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773" w:right="479" w:bottom="1440" w:gutter="0" w:footer="0" w:header="0"/>
        </w:sectPr>
      </w:pPr>
    </w:p>
    <w:bookmarkStart w:id="82" w:name="page83"/>
    <w:bookmarkEnd w:id="82"/>
    <w:p>
      <w:pPr>
        <w:ind w:right="360" w:firstLine="648"/>
        <w:spacing w:after="0" w:line="311" w:lineRule="auto"/>
        <w:rPr>
          <w:sz w:val="20"/>
          <w:szCs w:val="20"/>
          <w:color w:val="auto"/>
        </w:rPr>
      </w:pPr>
      <w:r>
        <w:rPr>
          <w:rFonts w:ascii="Arial" w:cs="Arial" w:eastAsia="Arial" w:hAnsi="Arial"/>
          <w:sz w:val="16"/>
          <w:szCs w:val="16"/>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149" w:lineRule="exact"/>
        <w:rPr>
          <w:sz w:val="20"/>
          <w:szCs w:val="20"/>
          <w:color w:val="auto"/>
        </w:rPr>
      </w:pPr>
    </w:p>
    <w:p>
      <w:pPr>
        <w:ind w:firstLine="656"/>
        <w:spacing w:after="0" w:line="269" w:lineRule="auto"/>
        <w:tabs>
          <w:tab w:leader="none" w:pos="892"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Distributions other than Cash, Shares or Rights to Purchase Shares</w:t>
      </w:r>
      <w:r>
        <w:rPr>
          <w:rFonts w:ascii="Arial" w:cs="Arial" w:eastAsia="Arial" w:hAnsi="Arial"/>
          <w:sz w:val="17"/>
          <w:szCs w:val="17"/>
          <w:color w:val="auto"/>
        </w:rPr>
        <w:t>: Upon receipt of a notice indicating that the Company wishes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2"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192" w:lineRule="exact"/>
        <w:rPr>
          <w:sz w:val="20"/>
          <w:szCs w:val="20"/>
          <w:color w:val="auto"/>
        </w:rPr>
      </w:pPr>
    </w:p>
    <w:p>
      <w:pPr>
        <w:jc w:val="both"/>
        <w:ind w:right="600" w:firstLine="648"/>
        <w:spacing w:after="0" w:line="263" w:lineRule="auto"/>
        <w:rPr>
          <w:sz w:val="20"/>
          <w:szCs w:val="20"/>
          <w:color w:val="auto"/>
        </w:rPr>
      </w:pPr>
      <w:r>
        <w:rPr>
          <w:rFonts w:ascii="Arial" w:cs="Arial" w:eastAsia="Arial" w:hAnsi="Arial"/>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80" w:lineRule="exact"/>
        <w:rPr>
          <w:sz w:val="20"/>
          <w:szCs w:val="20"/>
          <w:color w:val="auto"/>
        </w:rPr>
      </w:pPr>
    </w:p>
    <w:p>
      <w:pPr>
        <w:ind w:right="20" w:firstLine="656"/>
        <w:spacing w:after="0" w:line="285" w:lineRule="auto"/>
        <w:tabs>
          <w:tab w:leader="none" w:pos="1442"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Redemption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Company intends to exercise any right of redemption in respect of any of the Deposited Securities,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after consultation between the Depositary and the Company, to the extent practicable,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between the Depositary and the Company, to the extent practicable.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3" w:name="page84"/>
    <w:bookmarkEnd w:id="83"/>
    <w:p>
      <w:pPr>
        <w:ind w:left="-100" w:firstLine="656"/>
        <w:spacing w:after="0" w:line="287" w:lineRule="auto"/>
        <w:tabs>
          <w:tab w:leader="none" w:pos="1342"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(a)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 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6985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420" w:top="769" w:right="379" w:bottom="1440" w:gutter="0" w:footer="0" w:header="0"/>
        </w:sectPr>
      </w:pPr>
    </w:p>
    <w:bookmarkStart w:id="84" w:name="page85"/>
    <w:bookmarkEnd w:id="84"/>
    <w:p>
      <w:pPr>
        <w:ind w:firstLine="656"/>
        <w:spacing w:after="0" w:line="270" w:lineRule="auto"/>
        <w:tabs>
          <w:tab w:leader="none" w:pos="1442"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1"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17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poll.</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 Deposited Securities represented by ADSs for which no timely voting instructions are received by the Depositary from the Holder shall not be voted (except as otherwise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5" w:name="page86"/>
    <w:bookmarkEnd w:id="85"/>
    <w:p>
      <w:pPr>
        <w:ind w:firstLine="648"/>
        <w:spacing w:after="0" w:line="263" w:lineRule="auto"/>
        <w:rPr>
          <w:sz w:val="20"/>
          <w:szCs w:val="20"/>
          <w:color w:val="auto"/>
        </w:rPr>
      </w:pPr>
      <w:r>
        <w:rPr>
          <w:rFonts w:ascii="Arial" w:cs="Arial" w:eastAsia="Arial" w:hAnsi="Arial"/>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4"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7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firstLine="656"/>
        <w:spacing w:after="0" w:line="284" w:lineRule="auto"/>
        <w:tabs>
          <w:tab w:leader="none" w:pos="1442" w:val="left"/>
        </w:tabs>
        <w:numPr>
          <w:ilvl w:val="0"/>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scheme of arrangement,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6" w:name="page87"/>
    <w:bookmarkEnd w:id="86"/>
    <w:p>
      <w:pPr>
        <w:ind w:left="-60" w:firstLine="656"/>
        <w:spacing w:after="0" w:line="284" w:lineRule="auto"/>
        <w:tabs>
          <w:tab w:leader="none" w:pos="1382"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obligated to do or perform any act or thing which is inconsistent with the provisions of the Deposit Agreement or incur any liability (to the extent not limited by paragraph (25) and Section 7.8(b)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fire, flood, earthquake, tornado, hurricane, tsunami, explosion, or other natural disaster, nationalization, expropriation, currency restrictions, work stoppage, strikes, civil unrest, acts of war (whether declared or not) or terrorism, revolutions, rebellions,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6985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80" w:top="769" w:right="359" w:bottom="1440" w:gutter="0" w:footer="0" w:header="0"/>
        </w:sectPr>
      </w:pPr>
    </w:p>
    <w:bookmarkStart w:id="87" w:name="page88"/>
    <w:bookmarkEnd w:id="87"/>
    <w:p>
      <w:pPr>
        <w:ind w:firstLine="656"/>
        <w:spacing w:after="0" w:line="292" w:lineRule="auto"/>
        <w:tabs>
          <w:tab w:leader="none" w:pos="1442"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Standard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the Depositary assume no obligation and shall not be subject to any liability under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6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1"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8" w:name="page89"/>
    <w:bookmarkEnd w:id="88"/>
    <w:p>
      <w:pPr>
        <w:ind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right="40" w:firstLine="656"/>
        <w:spacing w:after="0" w:line="285" w:lineRule="auto"/>
        <w:tabs>
          <w:tab w:leader="none" w:pos="144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Resignation and Removal of the Depositary; Appointment of Successor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may at any time resign as</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171" w:lineRule="exact"/>
        <w:rPr>
          <w:rFonts w:ascii="Arial" w:cs="Arial" w:eastAsia="Arial" w:hAnsi="Arial"/>
          <w:sz w:val="16"/>
          <w:szCs w:val="16"/>
          <w:b w:val="1"/>
          <w:bCs w:val="1"/>
          <w:color w:val="auto"/>
        </w:rPr>
      </w:pPr>
    </w:p>
    <w:p>
      <w:pPr>
        <w:ind w:firstLine="656"/>
        <w:spacing w:after="0" w:line="284" w:lineRule="auto"/>
        <w:tabs>
          <w:tab w:leader="none" w:pos="1442"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paragraph 23, and Section 6.1 of the Deposit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9" w:name="page90"/>
    <w:bookmarkEnd w:id="89"/>
    <w:p>
      <w:pPr>
        <w:ind w:left="-8" w:right="120" w:firstLine="656"/>
        <w:spacing w:after="0" w:line="289" w:lineRule="auto"/>
        <w:tabs>
          <w:tab w:leader="none" w:pos="1434" w:val="left"/>
        </w:tabs>
        <w:numPr>
          <w:ilvl w:val="1"/>
          <w:numId w:val="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spacing w:after="0" w:line="1" w:lineRule="exact"/>
        <w:rPr>
          <w:rFonts w:ascii="Arial" w:cs="Arial" w:eastAsia="Arial" w:hAnsi="Arial"/>
          <w:sz w:val="16"/>
          <w:szCs w:val="16"/>
          <w:b w:val="1"/>
          <w:bCs w:val="1"/>
          <w:color w:val="auto"/>
        </w:rPr>
      </w:pPr>
    </w:p>
    <w:p>
      <w:pPr>
        <w:ind w:left="-8" w:firstLine="8"/>
        <w:spacing w:after="0" w:line="283" w:lineRule="auto"/>
        <w:tabs>
          <w:tab w:leader="none" w:pos="257" w:val="left"/>
        </w:tabs>
        <w:numPr>
          <w:ilvl w:val="0"/>
          <w:numId w:val="59"/>
        </w:numPr>
        <w:rPr>
          <w:rFonts w:ascii="Arial" w:cs="Arial" w:eastAsia="Arial" w:hAnsi="Arial"/>
          <w:sz w:val="16"/>
          <w:szCs w:val="16"/>
          <w:color w:val="auto"/>
        </w:rPr>
      </w:pPr>
      <w:r>
        <w:rPr>
          <w:rFonts w:ascii="Arial" w:cs="Arial" w:eastAsia="Arial" w:hAnsi="Arial"/>
          <w:sz w:val="16"/>
          <w:szCs w:val="16"/>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79" w:lineRule="exact"/>
        <w:rPr>
          <w:sz w:val="20"/>
          <w:szCs w:val="20"/>
          <w:color w:val="auto"/>
        </w:rPr>
      </w:pPr>
    </w:p>
    <w:p>
      <w:pPr>
        <w:jc w:val="center"/>
        <w:ind w:right="-71"/>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769" w:right="379" w:bottom="1440" w:gutter="0" w:footer="0" w:header="0"/>
        </w:sectPr>
      </w:pPr>
    </w:p>
    <w:bookmarkStart w:id="90" w:name="page91"/>
    <w:bookmarkEnd w:id="90"/>
    <w:p>
      <w:pPr>
        <w:ind w:right="60"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0" w:lineRule="exact"/>
        <w:rPr>
          <w:sz w:val="20"/>
          <w:szCs w:val="20"/>
          <w:color w:val="auto"/>
        </w:rPr>
      </w:pPr>
    </w:p>
    <w:p>
      <w:pPr>
        <w:ind w:firstLine="656"/>
        <w:spacing w:after="0" w:line="314" w:lineRule="auto"/>
        <w:tabs>
          <w:tab w:leader="none" w:pos="1442"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and No Disclaimer under, U.S. Securities Laws</w:t>
      </w:r>
      <w:r>
        <w:rPr>
          <w:rFonts w:ascii="Arial" w:cs="Arial" w:eastAsia="Arial" w:hAnsi="Arial"/>
          <w:sz w:val="16"/>
          <w:szCs w:val="16"/>
          <w:b w:val="1"/>
          <w:bCs w:val="1"/>
          <w:color w:val="auto"/>
        </w:rPr>
        <w:t xml:space="preserve">. </w:t>
      </w:r>
      <w:r>
        <w:rPr>
          <w:rFonts w:ascii="Arial" w:cs="Arial" w:eastAsia="Arial" w:hAnsi="Arial"/>
          <w:sz w:val="16"/>
          <w:szCs w:val="16"/>
          <w:color w:val="auto"/>
        </w:rPr>
        <w:t>(a) Notwithstanding any provisions in this ADR or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46" w:lineRule="exact"/>
        <w:rPr>
          <w:sz w:val="20"/>
          <w:szCs w:val="20"/>
          <w:color w:val="auto"/>
        </w:rPr>
      </w:pPr>
    </w:p>
    <w:p>
      <w:pPr>
        <w:ind w:right="20" w:firstLine="656"/>
        <w:spacing w:after="0" w:line="263" w:lineRule="auto"/>
        <w:tabs>
          <w:tab w:leader="none" w:pos="1173"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1" w:name="page92"/>
    <w:bookmarkEnd w:id="91"/>
    <w:p>
      <w:pPr>
        <w:ind w:right="20" w:firstLine="656"/>
        <w:spacing w:after="0" w:line="284" w:lineRule="auto"/>
        <w:tabs>
          <w:tab w:leader="none" w:pos="1442" w:val="left"/>
        </w:tabs>
        <w:numPr>
          <w:ilvl w:val="1"/>
          <w:numId w:val="6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Third Party Beneficiaries/Acknowledgements</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 Agreement is for the exclusive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Arial" w:cs="Arial" w:eastAsia="Arial" w:hAnsi="Arial"/>
          <w:sz w:val="16"/>
          <w:szCs w:val="16"/>
          <w:b w:val="1"/>
          <w:bCs w:val="1"/>
          <w:color w:val="auto"/>
        </w:rPr>
      </w:pPr>
    </w:p>
    <w:p>
      <w:pPr>
        <w:ind w:right="80" w:firstLine="8"/>
        <w:spacing w:after="0" w:line="268" w:lineRule="auto"/>
        <w:tabs>
          <w:tab w:leader="none" w:pos="305"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or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79" w:lineRule="exact"/>
        <w:rPr>
          <w:rFonts w:ascii="Arial" w:cs="Arial" w:eastAsia="Arial" w:hAnsi="Arial"/>
          <w:sz w:val="17"/>
          <w:szCs w:val="17"/>
          <w:color w:val="auto"/>
        </w:rPr>
      </w:pPr>
    </w:p>
    <w:p>
      <w:pPr>
        <w:ind w:right="20" w:firstLine="656"/>
        <w:spacing w:after="0" w:line="274" w:lineRule="auto"/>
        <w:tabs>
          <w:tab w:leader="none" w:pos="1442" w:val="left"/>
        </w:tabs>
        <w:numPr>
          <w:ilvl w:val="1"/>
          <w:numId w:val="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 Waiver of Jury Trial</w:t>
      </w:r>
      <w:r>
        <w:rPr>
          <w:rFonts w:ascii="Arial" w:cs="Arial" w:eastAsia="Arial" w:hAnsi="Arial"/>
          <w:sz w:val="17"/>
          <w:szCs w:val="17"/>
          <w:color w:val="auto"/>
        </w:rPr>
        <w:t>. The Deposit Agreement, the ADRs and the ADSs shall be interpreted in accordance with,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7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VALUE RECEIVED, the undersigned Holder hereby sell(s), assign(s) and transfer(s) unto ______________________________ whose taxpayer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identification number is _______________________ and whose address including postal zip code is ________________, the within ADR and all rights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thereunder, hereby irrevocably constituting and appointing ________________________ attorney-in-fact to transfer said ADR on the books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Depositary with full power of substitution in the premises.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Dated:</w:t>
            </w:r>
          </w:p>
        </w:tc>
        <w:tc>
          <w:tcPr>
            <w:tcW w:w="7240" w:type="dxa"/>
            <w:vAlign w:val="bottom"/>
          </w:tcPr>
          <w:p>
            <w:pPr>
              <w:ind w:left="1640"/>
              <w:spacing w:after="0"/>
              <w:rPr>
                <w:sz w:val="20"/>
                <w:szCs w:val="20"/>
                <w:color w:val="auto"/>
              </w:rPr>
            </w:pPr>
            <w:r>
              <w:rPr>
                <w:rFonts w:ascii="Arial" w:cs="Arial" w:eastAsia="Arial" w:hAnsi="Arial"/>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21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7240" w:type="dxa"/>
            <w:vAlign w:val="bottom"/>
          </w:tcPr>
          <w:p>
            <w:pPr>
              <w:ind w:left="21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5"/>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8"/>
              </w:rPr>
              <w:t>with the name as written upon the face of the within instrument in every</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8"/>
              </w:rPr>
              <w:t>particular, without alteration or enlargement or any change whatsoever.</w:t>
            </w:r>
          </w:p>
        </w:tc>
        <w:tc>
          <w:tcPr>
            <w:tcW w:w="0" w:type="dxa"/>
            <w:vAlign w:val="bottom"/>
          </w:tcPr>
          <w:p>
            <w:pPr>
              <w:spacing w:after="0"/>
              <w:rPr>
                <w:sz w:val="1"/>
                <w:szCs w:val="1"/>
                <w:color w:val="auto"/>
              </w:rPr>
            </w:pPr>
          </w:p>
        </w:tc>
      </w:tr>
      <w:tr>
        <w:trPr>
          <w:trHeight w:val="418"/>
        </w:trPr>
        <w:tc>
          <w:tcPr>
            <w:tcW w:w="398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7"/>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1"/>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9"/>
              </w:rPr>
              <w:t>full title in such capacity and proper evidence of authority to act in such</w:t>
            </w:r>
          </w:p>
        </w:tc>
        <w:tc>
          <w:tcPr>
            <w:tcW w:w="0" w:type="dxa"/>
            <w:vAlign w:val="bottom"/>
          </w:tcPr>
          <w:p>
            <w:pPr>
              <w:spacing w:after="0"/>
              <w:rPr>
                <w:sz w:val="1"/>
                <w:szCs w:val="1"/>
                <w:color w:val="auto"/>
              </w:rPr>
            </w:pPr>
          </w:p>
        </w:tc>
      </w:tr>
      <w:tr>
        <w:trPr>
          <w:trHeight w:val="230"/>
        </w:trPr>
        <w:tc>
          <w:tcPr>
            <w:tcW w:w="398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7240" w:type="dxa"/>
            <w:vAlign w:val="bottom"/>
          </w:tcPr>
          <w:p>
            <w:pPr>
              <w:ind w:left="1640"/>
              <w:spacing w:after="0"/>
              <w:rPr>
                <w:sz w:val="20"/>
                <w:szCs w:val="20"/>
                <w:color w:val="auto"/>
              </w:rPr>
            </w:pPr>
            <w:r>
              <w:rPr>
                <w:rFonts w:ascii="Arial" w:cs="Arial" w:eastAsia="Arial" w:hAnsi="Arial"/>
                <w:sz w:val="18"/>
                <w:szCs w:val="18"/>
                <w:color w:val="auto"/>
                <w:w w:val="92"/>
              </w:rPr>
              <w:t>capacity, if not on file with the Depositary, must be forwarded with this ADR.</w:t>
            </w:r>
          </w:p>
        </w:tc>
        <w:tc>
          <w:tcPr>
            <w:tcW w:w="0" w:type="dxa"/>
            <w:vAlign w:val="bottom"/>
          </w:tcPr>
          <w:p>
            <w:pPr>
              <w:spacing w:after="0"/>
              <w:rPr>
                <w:sz w:val="1"/>
                <w:szCs w:val="1"/>
                <w:color w:val="auto"/>
              </w:rPr>
            </w:pPr>
          </w:p>
        </w:tc>
      </w:tr>
      <w:tr>
        <w:trPr>
          <w:trHeight w:val="202"/>
        </w:trPr>
        <w:tc>
          <w:tcPr>
            <w:tcW w:w="3980" w:type="dxa"/>
            <w:vAlign w:val="bottom"/>
            <w:vMerge w:val="continue"/>
          </w:tcPr>
          <w:p>
            <w:pPr>
              <w:spacing w:after="0"/>
              <w:rPr>
                <w:sz w:val="17"/>
                <w:szCs w:val="17"/>
                <w:color w:val="auto"/>
              </w:rPr>
            </w:pPr>
          </w:p>
        </w:tc>
        <w:tc>
          <w:tcPr>
            <w:tcW w:w="7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SIGNATURE GUARANTEED</w:t>
            </w:r>
          </w:p>
        </w:tc>
        <w:tc>
          <w:tcPr>
            <w:tcW w:w="7240" w:type="dxa"/>
            <w:vAlign w:val="bottom"/>
            <w:vMerge w:val="restart"/>
          </w:tcPr>
          <w:p>
            <w:pPr>
              <w:ind w:left="1640"/>
              <w:spacing w:after="0"/>
              <w:rPr>
                <w:sz w:val="20"/>
                <w:szCs w:val="20"/>
                <w:color w:val="auto"/>
              </w:rPr>
            </w:pPr>
            <w:r>
              <w:rPr>
                <w:rFonts w:ascii="Arial" w:cs="Arial" w:eastAsia="Arial" w:hAnsi="Arial"/>
                <w:sz w:val="18"/>
                <w:szCs w:val="18"/>
                <w:color w:val="auto"/>
                <w:w w:val="90"/>
              </w:rPr>
              <w:t>All endorsements or assignments of ADRs must be guaranteed by a member</w:t>
            </w:r>
          </w:p>
        </w:tc>
        <w:tc>
          <w:tcPr>
            <w:tcW w:w="0" w:type="dxa"/>
            <w:vAlign w:val="bottom"/>
          </w:tcPr>
          <w:p>
            <w:pPr>
              <w:spacing w:after="0"/>
              <w:rPr>
                <w:sz w:val="1"/>
                <w:szCs w:val="1"/>
                <w:color w:val="auto"/>
              </w:rPr>
            </w:pPr>
          </w:p>
        </w:tc>
      </w:tr>
      <w:tr>
        <w:trPr>
          <w:trHeight w:val="202"/>
        </w:trPr>
        <w:tc>
          <w:tcPr>
            <w:tcW w:w="398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w w:val="99"/>
              </w:rPr>
              <w:t>of a Medallion Signature Program approved by the Securities Transfer</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7240" w:type="dxa"/>
            <w:vAlign w:val="bottom"/>
          </w:tcPr>
          <w:p>
            <w:pPr>
              <w:ind w:left="1640"/>
              <w:spacing w:after="0"/>
              <w:rPr>
                <w:sz w:val="20"/>
                <w:szCs w:val="20"/>
                <w:color w:val="auto"/>
              </w:rPr>
            </w:pPr>
            <w:r>
              <w:rPr>
                <w:rFonts w:ascii="Arial" w:cs="Arial" w:eastAsia="Arial" w:hAnsi="Arial"/>
                <w:sz w:val="18"/>
                <w:szCs w:val="18"/>
                <w:color w:val="auto"/>
              </w:rPr>
              <w:t>Association, Inc.</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Legends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80"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ADS fees are payable under the terms of the Deposit Agreement:</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Service</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Rate</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By Whom Paid</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(1) Issuance of ADSs (</w:t>
            </w:r>
            <w:r>
              <w:rPr>
                <w:rFonts w:ascii="Arial" w:cs="Arial" w:eastAsia="Arial" w:hAnsi="Arial"/>
                <w:sz w:val="18"/>
                <w:szCs w:val="18"/>
                <w:i w:val="1"/>
                <w:iCs w:val="1"/>
                <w:color w:val="auto"/>
                <w:w w:val="99"/>
              </w:rPr>
              <w:t>e.g.</w:t>
            </w:r>
            <w:r>
              <w:rPr>
                <w:rFonts w:ascii="Arial" w:cs="Arial" w:eastAsia="Arial" w:hAnsi="Arial"/>
                <w:sz w:val="18"/>
                <w:szCs w:val="18"/>
                <w:color w:val="auto"/>
                <w:w w:val="99"/>
              </w:rPr>
              <w:t>, an issuance upon 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ADSs are issued.</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2"/>
              </w:rPr>
              <w:t>deposit of Shares, upon a change in the ADS(s)-to-</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Share(s) ratio, or for any other reason), excluding</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issuances as a result of distributions described in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(2) Cancellation of ADSs (</w:t>
            </w:r>
            <w:r>
              <w:rPr>
                <w:rFonts w:ascii="Arial" w:cs="Arial" w:eastAsia="Arial" w:hAnsi="Arial"/>
                <w:sz w:val="18"/>
                <w:szCs w:val="18"/>
                <w:i w:val="1"/>
                <w:iCs w:val="1"/>
                <w:color w:val="auto"/>
                <w:w w:val="99"/>
              </w:rPr>
              <w:t>e.g.</w:t>
            </w:r>
            <w:r>
              <w:rPr>
                <w:rFonts w:ascii="Arial" w:cs="Arial" w:eastAsia="Arial" w:hAnsi="Arial"/>
                <w:sz w:val="18"/>
                <w:szCs w:val="18"/>
                <w:color w:val="auto"/>
                <w:w w:val="99"/>
              </w:rPr>
              <w:t>, a cancellation of</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ADSs are being cancelled.</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ADSs for Delivery of deposited Shares, upon 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change in the ADS(s)-to-Share(s) ratio, or for any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 Distribution of cash dividends or other cash</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distributions (</w:t>
            </w:r>
            <w:r>
              <w:rPr>
                <w:rFonts w:ascii="Arial" w:cs="Arial" w:eastAsia="Arial" w:hAnsi="Arial"/>
                <w:sz w:val="18"/>
                <w:szCs w:val="18"/>
                <w:i w:val="1"/>
                <w:iCs w:val="1"/>
                <w:color w:val="auto"/>
                <w:w w:val="96"/>
              </w:rPr>
              <w:t>e.g.</w:t>
            </w:r>
            <w:r>
              <w:rPr>
                <w:rFonts w:ascii="Arial" w:cs="Arial" w:eastAsia="Arial" w:hAnsi="Arial"/>
                <w:sz w:val="18"/>
                <w:szCs w:val="18"/>
                <w:color w:val="auto"/>
                <w:w w:val="96"/>
              </w:rPr>
              <w:t>, upon a sale of rights and other</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 Distribution of ADSs pursuant to (i) stock</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dividends or other free stock distributions, or (ii) an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exercise of rights to 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(5) Distribution of securities other than ADSs or</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rights to purchase additional ADSs (</w:t>
            </w:r>
            <w:r>
              <w:rPr>
                <w:rFonts w:ascii="Arial" w:cs="Arial" w:eastAsia="Arial" w:hAnsi="Arial"/>
                <w:sz w:val="18"/>
                <w:szCs w:val="18"/>
                <w:i w:val="1"/>
                <w:iCs w:val="1"/>
                <w:color w:val="auto"/>
                <w:w w:val="97"/>
              </w:rPr>
              <w:t>e.g.</w:t>
            </w:r>
            <w:r>
              <w:rPr>
                <w:rFonts w:ascii="Arial" w:cs="Arial" w:eastAsia="Arial" w:hAnsi="Arial"/>
                <w:sz w:val="18"/>
                <w:szCs w:val="18"/>
                <w:color w:val="auto"/>
                <w:w w:val="97"/>
              </w:rPr>
              <w:t>, spin-off</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tbl>
      <w:tblPr>
        <w:tblLayout w:type="fixed"/>
        <w:tblInd w:w="10" w:type="dxa"/>
        <w:tblCellMar>
          <w:top w:w="0" w:type="dxa"/>
          <w:left w:w="0" w:type="dxa"/>
          <w:bottom w:w="0" w:type="dxa"/>
          <w:right w:w="0" w:type="dxa"/>
        </w:tblCellMar>
      </w:tblPr>
      <w:tr>
        <w:trPr>
          <w:trHeight w:val="242"/>
        </w:trPr>
        <w:tc>
          <w:tcPr>
            <w:tcW w:w="2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w w:val="99"/>
              </w:rPr>
              <w:t>(6)</w:t>
            </w:r>
          </w:p>
        </w:tc>
        <w:tc>
          <w:tcPr>
            <w:tcW w:w="35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ADS Services.</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8"/>
              </w:rPr>
              <w:t>Person holding ADSs on the applicable record</w:t>
            </w:r>
          </w:p>
        </w:tc>
      </w:tr>
      <w:tr>
        <w:trPr>
          <w:trHeight w:val="216"/>
        </w:trPr>
        <w:tc>
          <w:tcPr>
            <w:tcW w:w="280" w:type="dxa"/>
            <w:vAlign w:val="bottom"/>
            <w:tcBorders>
              <w:left w:val="single" w:sz="8" w:color="auto"/>
            </w:tcBorders>
          </w:tcPr>
          <w:p>
            <w:pPr>
              <w:spacing w:after="0"/>
              <w:rPr>
                <w:sz w:val="18"/>
                <w:szCs w:val="18"/>
                <w:color w:val="auto"/>
              </w:rPr>
            </w:pPr>
          </w:p>
        </w:tc>
        <w:tc>
          <w:tcPr>
            <w:tcW w:w="356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 on the applicable record date(s)</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date(s) established by the Depositary.</w:t>
            </w:r>
          </w:p>
        </w:tc>
      </w:tr>
      <w:tr>
        <w:trPr>
          <w:trHeight w:val="230"/>
        </w:trPr>
        <w:tc>
          <w:tcPr>
            <w:tcW w:w="280" w:type="dxa"/>
            <w:vAlign w:val="bottom"/>
            <w:tcBorders>
              <w:left w:val="single" w:sz="8" w:color="auto"/>
            </w:tcBorders>
          </w:tcPr>
          <w:p>
            <w:pPr>
              <w:spacing w:after="0"/>
              <w:rPr>
                <w:sz w:val="20"/>
                <w:szCs w:val="20"/>
                <w:color w:val="auto"/>
              </w:rPr>
            </w:pPr>
          </w:p>
        </w:tc>
        <w:tc>
          <w:tcPr>
            <w:tcW w:w="356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(7)</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Registration of ADS Transfers (</w:t>
            </w:r>
            <w:r>
              <w:rPr>
                <w:rFonts w:ascii="Arial" w:cs="Arial" w:eastAsia="Arial" w:hAnsi="Arial"/>
                <w:sz w:val="18"/>
                <w:szCs w:val="18"/>
                <w:i w:val="1"/>
                <w:iCs w:val="1"/>
                <w:color w:val="auto"/>
              </w:rPr>
              <w:t>e.g.</w:t>
            </w:r>
            <w:r>
              <w:rPr>
                <w:rFonts w:ascii="Arial" w:cs="Arial" w:eastAsia="Arial" w:hAnsi="Arial"/>
                <w:sz w:val="18"/>
                <w:szCs w:val="18"/>
                <w:color w:val="auto"/>
              </w:rPr>
              <w:t>, upon 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or to whom ADSs are</w:t>
            </w:r>
          </w:p>
        </w:tc>
      </w:tr>
      <w:tr>
        <w:trPr>
          <w:trHeight w:val="21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4"/>
              </w:rPr>
              <w:t>registration of the transfer of registered ownership</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transferred.</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transferred.</w:t>
            </w:r>
          </w:p>
        </w:tc>
      </w:tr>
      <w:tr>
        <w:trPr>
          <w:trHeight w:val="21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i w:val="1"/>
                <w:iCs w:val="1"/>
                <w:color w:val="auto"/>
              </w:rPr>
              <w:t>vice versa</w:t>
            </w:r>
            <w:r>
              <w:rPr>
                <w:rFonts w:ascii="Arial" w:cs="Arial" w:eastAsia="Arial" w:hAnsi="Arial"/>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22"/>
        </w:trPr>
        <w:tc>
          <w:tcPr>
            <w:tcW w:w="28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9"/>
              </w:rPr>
              <w:t>(8)</w:t>
            </w:r>
          </w:p>
        </w:tc>
        <w:tc>
          <w:tcPr>
            <w:tcW w:w="35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Conversion of ADSs of one series for ADSs of</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Person for whom ADSs are converted or to whom</w:t>
            </w:r>
          </w:p>
        </w:tc>
      </w:tr>
      <w:tr>
        <w:trPr>
          <w:trHeight w:val="21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another series (</w:t>
            </w:r>
            <w:r>
              <w:rPr>
                <w:rFonts w:ascii="Arial" w:cs="Arial" w:eastAsia="Arial" w:hAnsi="Arial"/>
                <w:sz w:val="18"/>
                <w:szCs w:val="18"/>
                <w:i w:val="1"/>
                <w:iCs w:val="1"/>
                <w:color w:val="auto"/>
              </w:rPr>
              <w:t>e.g.</w:t>
            </w:r>
            <w:r>
              <w:rPr>
                <w:rFonts w:ascii="Arial" w:cs="Arial" w:eastAsia="Arial" w:hAnsi="Arial"/>
                <w:sz w:val="18"/>
                <w:szCs w:val="18"/>
                <w:color w:val="auto"/>
              </w:rPr>
              <w:t>, upon conversion of Partial</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converted.</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 converted ADSs are delivered.</w:t>
            </w:r>
          </w:p>
        </w:tc>
      </w:tr>
      <w:tr>
        <w:trPr>
          <w:trHeight w:val="21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0"/>
        </w:trPr>
        <w:tc>
          <w:tcPr>
            <w:tcW w:w="38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transferable ADSs,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280" w:type="dxa"/>
            <w:vAlign w:val="bottom"/>
            <w:tcBorders>
              <w:left w:val="single" w:sz="8" w:color="auto"/>
              <w:bottom w:val="single" w:sz="8" w:color="auto"/>
            </w:tcBorders>
          </w:tcPr>
          <w:p>
            <w:pPr>
              <w:spacing w:after="0"/>
              <w:rPr>
                <w:sz w:val="2"/>
                <w:szCs w:val="2"/>
                <w:color w:val="auto"/>
              </w:rPr>
            </w:pPr>
          </w:p>
        </w:tc>
        <w:tc>
          <w:tcPr>
            <w:tcW w:w="35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2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84"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660" w:right="300" w:hanging="652"/>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3"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0" w:lineRule="exact"/>
        <w:rPr>
          <w:rFonts w:ascii="Arial" w:cs="Arial" w:eastAsia="Arial" w:hAnsi="Arial"/>
          <w:sz w:val="18"/>
          <w:szCs w:val="18"/>
          <w:color w:val="auto"/>
        </w:rPr>
      </w:pPr>
    </w:p>
    <w:p>
      <w:pPr>
        <w:ind w:left="660" w:right="140" w:hanging="652"/>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95" w:name="page96"/>
    <w:bookmarkEnd w:id="95"/>
    <w:p>
      <w:pPr>
        <w:ind w:left="660" w:right="20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fees, charges, costs and expenses incurred by the Depositary, the Custodian, or any nominee in connection with the ADR program; and</w:t>
      </w:r>
    </w:p>
    <w:p>
      <w:pPr>
        <w:spacing w:after="0" w:line="2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amounts payable to the Depositary by any party to the Deposit Agreement pursuant to any ancillary agreement to the Deposit Agreement in respect of the ADR program, the ADSs and the ADRs.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above fees and charges may at any time and from time to time be changed by agreement between the Company and the Depositary.</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773" w:right="619" w:bottom="1440" w:gutter="0" w:footer="0" w:header="0"/>
        </w:sectPr>
      </w:pPr>
    </w:p>
    <w:bookmarkStart w:id="96" w:name="page97"/>
    <w:bookmarkEnd w:id="96"/>
    <w:p>
      <w:pPr>
        <w:jc w:val="center"/>
        <w:ind w:right="40"/>
        <w:spacing w:after="0"/>
        <w:rPr>
          <w:sz w:val="20"/>
          <w:szCs w:val="20"/>
          <w:color w:val="auto"/>
        </w:rPr>
      </w:pPr>
      <w:r>
        <w:rPr>
          <w:rFonts w:ascii="Arial" w:cs="Arial" w:eastAsia="Arial" w:hAnsi="Arial"/>
          <w:sz w:val="18"/>
          <w:szCs w:val="18"/>
          <w:color w:val="auto"/>
        </w:rPr>
        <w:t>Exhibit (d)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We refer to the Registration Statement on Form F-6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to be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by the legal entity created by the Deposit Agreement (as hereinafter defined) for the purpose of registering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500,000,000 American Depositary Shares (the “</w:t>
      </w:r>
      <w:r>
        <w:rPr>
          <w:rFonts w:ascii="Arial" w:cs="Arial" w:eastAsia="Arial" w:hAnsi="Arial"/>
          <w:sz w:val="17"/>
          <w:szCs w:val="17"/>
          <w:u w:val="single" w:color="auto"/>
          <w:color w:val="auto"/>
        </w:rPr>
        <w:t>ADSs</w:t>
      </w:r>
      <w:r>
        <w:rPr>
          <w:rFonts w:ascii="Arial" w:cs="Arial" w:eastAsia="Arial" w:hAnsi="Arial"/>
          <w:sz w:val="17"/>
          <w:szCs w:val="17"/>
          <w:color w:val="auto"/>
        </w:rPr>
        <w:t>”) to be issued under the Deposit Agreement, by and among Citibank, N.A., as Depositary, Polestar Automotive Holding UK Limited, a company organized under the laws of the England and Wales and the name of which is expected to be changed to “Polestar Automotive Holding UK PLC”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Holders and Beneficial Owners (each as defined in the Deposit Agreement and hereinafter used as so defined) from time to time of ADSs issued thereunder, a draft copy of which is being filed as Exhibit (a) to the Registration Statement (the “</w:t>
      </w:r>
      <w:r>
        <w:rPr>
          <w:rFonts w:ascii="Arial" w:cs="Arial" w:eastAsia="Arial" w:hAnsi="Arial"/>
          <w:sz w:val="17"/>
          <w:szCs w:val="17"/>
          <w:u w:val="single" w:color="auto"/>
          <w:color w:val="auto"/>
        </w:rPr>
        <w:t>Deposit Agreement</w:t>
      </w:r>
      <w:r>
        <w:rPr>
          <w:rFonts w:ascii="Arial" w:cs="Arial" w:eastAsia="Arial" w:hAnsi="Arial"/>
          <w:sz w:val="17"/>
          <w:szCs w:val="17"/>
          <w:color w:val="auto"/>
        </w:rPr>
        <w:t>”). Each ADS will represent the right to receive, subject to the terms and conditions of the Deposit Agreement, the laws of England and Wales and, if applicable, the American Depositary Receipt(s) (the “</w:t>
      </w:r>
      <w:r>
        <w:rPr>
          <w:rFonts w:ascii="Arial" w:cs="Arial" w:eastAsia="Arial" w:hAnsi="Arial"/>
          <w:sz w:val="17"/>
          <w:szCs w:val="17"/>
          <w:u w:val="single" w:color="auto"/>
          <w:color w:val="auto"/>
        </w:rPr>
        <w:t>ADR(s)</w:t>
      </w:r>
      <w:r>
        <w:rPr>
          <w:rFonts w:ascii="Arial" w:cs="Arial" w:eastAsia="Arial" w:hAnsi="Arial"/>
          <w:sz w:val="17"/>
          <w:szCs w:val="17"/>
          <w:color w:val="auto"/>
        </w:rPr>
        <w:t>”) evidencing such ADS, one Class A ordinary share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Nothing contained herein or in any document referred to herein is intended by this firm to be used, and the addressees hereof cannot use anything contained herein or in any document referred to herein, as tax advice.</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Assuming that, at the time of their issuance, the Registration Statement will be effective,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18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8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PATTERSON BELKNAP WEBB &amp; TYLER LLP</w:t>
      </w:r>
    </w:p>
    <w:p>
      <w:pPr>
        <w:spacing w:after="0" w:line="229" w:lineRule="exact"/>
        <w:rPr>
          <w:sz w:val="20"/>
          <w:szCs w:val="20"/>
          <w:color w:val="auto"/>
        </w:rPr>
      </w:pPr>
    </w:p>
    <w:p>
      <w:pPr>
        <w:ind w:left="6320"/>
        <w:spacing w:after="0"/>
        <w:tabs>
          <w:tab w:leader="none" w:pos="6800" w:val="left"/>
        </w:tabs>
        <w:rPr>
          <w:sz w:val="20"/>
          <w:szCs w:val="20"/>
          <w:color w:val="auto"/>
        </w:rPr>
      </w:pPr>
      <w:r>
        <w:rPr>
          <w:rFonts w:ascii="Arial" w:cs="Arial" w:eastAsia="Arial" w:hAnsi="Arial"/>
          <w:sz w:val="18"/>
          <w:szCs w:val="18"/>
          <w:color w:val="auto"/>
        </w:rPr>
        <w:t>By:</w:t>
        <w:tab/>
        <w:t>/s/ Herman H. Raspe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 Member of the Firm</w:t>
      </w:r>
    </w:p>
    <w:sectPr>
      <w:pgSz w:w="11900" w:h="16838" w:orient="portrait"/>
      <w:cols w:equalWidth="0" w:num="1">
        <w:col w:w="11240"/>
      </w:cols>
      <w:pgMar w:left="320" w:top="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bullet"/>
      <w:start w:val="1"/>
    </w:lvl>
  </w:abstractNum>
  <w:abstractNum w:abstractNumId="2">
    <w:nsid w:val="5577F8E1"/>
    <w:multiLevelType w:val="hybridMultilevel"/>
    <w:lvl w:ilvl="0">
      <w:lvlJc w:val="left"/>
      <w:lvlText w:val="(%1)"/>
      <w:numFmt w:val="lowerLetter"/>
      <w:start w:val="1"/>
    </w:lvl>
  </w:abstractNum>
  <w:abstractNum w:abstractNumId="3">
    <w:nsid w:val="440BADFC"/>
    <w:multiLevelType w:val="hybridMultilevel"/>
    <w:lvl w:ilvl="0">
      <w:lvlJc w:val="left"/>
      <w:lvlText w:val="(%1)"/>
      <w:numFmt w:val="lowerLetter"/>
      <w:start w:val="1"/>
    </w:lvl>
  </w:abstractNum>
  <w:abstractNum w:abstractNumId="4">
    <w:nsid w:val="5072367"/>
    <w:multiLevelType w:val="hybridMultilevel"/>
    <w:lvl w:ilvl="0">
      <w:lvlJc w:val="left"/>
      <w:lvlText w:val="(%1)"/>
      <w:numFmt w:val="lowerLetter"/>
      <w:start w:val="1"/>
    </w:lvl>
  </w:abstractNum>
  <w:abstractNum w:abstractNumId="5">
    <w:nsid w:val="3804823E"/>
    <w:multiLevelType w:val="hybridMultilevel"/>
    <w:lvl w:ilvl="0">
      <w:lvlJc w:val="left"/>
      <w:lvlText w:val="(%1)"/>
      <w:numFmt w:val="lowerLetter"/>
      <w:start w:val="1"/>
    </w:lvl>
  </w:abstractNum>
  <w:abstractNum w:abstractNumId="6">
    <w:nsid w:val="77465F01"/>
    <w:multiLevelType w:val="hybridMultilevel"/>
    <w:lvl w:ilvl="0">
      <w:lvlJc w:val="left"/>
      <w:lvlText w:val="%1"/>
      <w:numFmt w:val="lowerLetter"/>
      <w:start w:val="1"/>
    </w:lvl>
    <w:lvl w:ilvl="1">
      <w:lvlJc w:val="left"/>
      <w:lvlText w:val="(%2)"/>
      <w:numFmt w:val="lowerLetter"/>
      <w:start w:val="2"/>
    </w:lvl>
  </w:abstractNum>
  <w:abstractNum w:abstractNumId="7">
    <w:nsid w:val="7724C67E"/>
    <w:multiLevelType w:val="hybridMultilevel"/>
    <w:lvl w:ilvl="0">
      <w:lvlJc w:val="left"/>
      <w:lvlText w:val="(%1)"/>
      <w:numFmt w:val="lowerLetter"/>
      <w:start w:val="35"/>
    </w:lvl>
    <w:lvl w:ilvl="1">
      <w:lvlJc w:val="left"/>
      <w:lvlText w:val="(%2)"/>
      <w:numFmt w:val="lowerLetter"/>
      <w:start w:val="3"/>
    </w:lvl>
  </w:abstractNum>
  <w:abstractNum w:abstractNumId="8">
    <w:nsid w:val="5C482A97"/>
    <w:multiLevelType w:val="hybridMultilevel"/>
    <w:lvl w:ilvl="0">
      <w:lvlJc w:val="left"/>
      <w:lvlText w:val="(%1)"/>
      <w:numFmt w:val="upperLetter"/>
      <w:start w:val="2"/>
    </w:lvl>
  </w:abstractNum>
  <w:abstractNum w:abstractNumId="9">
    <w:nsid w:val="2463B9EA"/>
    <w:multiLevelType w:val="hybridMultilevel"/>
    <w:lvl w:ilvl="0">
      <w:lvlJc w:val="left"/>
      <w:lvlText w:val="%1"/>
      <w:numFmt w:val="lowerLetter"/>
      <w:start w:val="1"/>
    </w:lvl>
    <w:lvl w:ilvl="1">
      <w:lvlJc w:val="left"/>
      <w:lvlText w:val="(%2)"/>
      <w:numFmt w:val="lowerLetter"/>
      <w:start w:val="1"/>
    </w:lvl>
  </w:abstractNum>
  <w:abstractNum w:abstractNumId="10">
    <w:nsid w:val="5E884ADC"/>
    <w:multiLevelType w:val="hybridMultilevel"/>
    <w:lvl w:ilvl="0">
      <w:lvlJc w:val="left"/>
      <w:lvlText w:val="(%1)"/>
      <w:numFmt w:val="lowerLetter"/>
      <w:start w:val="61"/>
    </w:lvl>
    <w:lvl w:ilvl="1">
      <w:lvlJc w:val="left"/>
      <w:lvlText w:val="%2"/>
      <w:numFmt w:val="lowerLetter"/>
      <w:start w:val="1"/>
    </w:lvl>
  </w:abstractNum>
  <w:abstractNum w:abstractNumId="11">
    <w:nsid w:val="51EAD36B"/>
    <w:multiLevelType w:val="hybridMultilevel"/>
    <w:lvl w:ilvl="0">
      <w:lvlJc w:val="left"/>
      <w:lvlText w:val="(%1)"/>
      <w:numFmt w:val="lowerLetter"/>
      <w:start w:val="2"/>
    </w:lvl>
  </w:abstractNum>
  <w:abstractNum w:abstractNumId="12">
    <w:nsid w:val="2D517796"/>
    <w:multiLevelType w:val="hybridMultilevel"/>
    <w:lvl w:ilvl="0">
      <w:lvlJc w:val="left"/>
      <w:lvlText w:val="%1"/>
      <w:numFmt w:val="upperLetter"/>
      <w:start w:val="1"/>
    </w:lvl>
    <w:lvl w:ilvl="1">
      <w:lvlJc w:val="left"/>
      <w:lvlText w:val="(%2)"/>
      <w:numFmt w:val="lowerLetter"/>
      <w:start w:val="1"/>
    </w:lvl>
  </w:abstractNum>
  <w:abstractNum w:abstractNumId="13">
    <w:nsid w:val="580BD78F"/>
    <w:multiLevelType w:val="hybridMultilevel"/>
    <w:lvl w:ilvl="0">
      <w:lvlJc w:val="left"/>
      <w:lvlText w:val="(%1)"/>
      <w:numFmt w:val="upperLetter"/>
      <w:start w:val="2"/>
    </w:lvl>
    <w:lvl w:ilvl="1">
      <w:lvlJc w:val="left"/>
      <w:lvlText w:val="%2"/>
      <w:numFmt w:val="lowerLetter"/>
      <w:start w:val="1"/>
    </w:lvl>
  </w:abstractNum>
  <w:abstractNum w:abstractNumId="14">
    <w:nsid w:val="153EA438"/>
    <w:multiLevelType w:val="hybridMultilevel"/>
    <w:lvl w:ilvl="0">
      <w:lvlJc w:val="left"/>
      <w:lvlText w:val="(%1)"/>
      <w:numFmt w:val="lowerLetter"/>
      <w:start w:val="2"/>
    </w:lvl>
  </w:abstractNum>
  <w:abstractNum w:abstractNumId="15">
    <w:nsid w:val="3855585C"/>
    <w:multiLevelType w:val="hybridMultilevel"/>
    <w:lvl w:ilvl="0">
      <w:lvlJc w:val="left"/>
      <w:lvlText w:val="(%1)"/>
      <w:numFmt w:val="lowerLetter"/>
      <w:start w:val="2"/>
    </w:lvl>
  </w:abstractNum>
  <w:abstractNum w:abstractNumId="16">
    <w:nsid w:val="70A64E2A"/>
    <w:multiLevelType w:val="hybridMultilevel"/>
    <w:lvl w:ilvl="0">
      <w:lvlJc w:val="left"/>
      <w:lvlText w:val="(%1)"/>
      <w:numFmt w:val="lowerRoman"/>
      <w:start w:val="7"/>
    </w:lvl>
  </w:abstractNum>
  <w:abstractNum w:abstractNumId="17">
    <w:nsid w:val="6A2342EC"/>
    <w:multiLevelType w:val="hybridMultilevel"/>
    <w:lvl w:ilvl="0">
      <w:lvlJc w:val="left"/>
      <w:lvlText w:val="(%1)"/>
      <w:numFmt w:val="lowerRoman"/>
      <w:start w:val="2"/>
    </w:lvl>
  </w:abstractNum>
  <w:abstractNum w:abstractNumId="18">
    <w:nsid w:val="2A487CB0"/>
    <w:multiLevelType w:val="hybridMultilevel"/>
    <w:lvl w:ilvl="0">
      <w:lvlJc w:val="left"/>
      <w:lvlText w:val="(%1)"/>
      <w:numFmt w:val="lowerLetter"/>
      <w:start w:val="1"/>
    </w:lvl>
  </w:abstractNum>
  <w:abstractNum w:abstractNumId="19">
    <w:nsid w:val="1D4ED43B"/>
    <w:multiLevelType w:val="hybridMultilevel"/>
    <w:lvl w:ilvl="0">
      <w:lvlJc w:val="left"/>
      <w:lvlText w:val="(%1)"/>
      <w:numFmt w:val="lowerLetter"/>
      <w:start w:val="2"/>
    </w:lvl>
  </w:abstractNum>
  <w:abstractNum w:abstractNumId="20">
    <w:nsid w:val="725A06FB"/>
    <w:multiLevelType w:val="hybridMultilevel"/>
    <w:lvl w:ilvl="0">
      <w:lvlJc w:val="left"/>
      <w:lvlText w:val="%1"/>
      <w:numFmt w:val="lowerLetter"/>
      <w:start w:val="1"/>
    </w:lvl>
    <w:lvl w:ilvl="1">
      <w:lvlJc w:val="left"/>
      <w:lvlText w:val="(%2)"/>
      <w:numFmt w:val="lowerLetter"/>
      <w:start w:val="1"/>
    </w:lvl>
  </w:abstractNum>
  <w:abstractNum w:abstractNumId="21">
    <w:nsid w:val="2CD89A32"/>
    <w:multiLevelType w:val="hybridMultilevel"/>
    <w:lvl w:ilvl="0">
      <w:lvlJc w:val="left"/>
      <w:lvlText w:val="(%1)"/>
      <w:numFmt w:val="lowerLetter"/>
      <w:start w:val="35"/>
    </w:lvl>
    <w:lvl w:ilvl="1">
      <w:lvlJc w:val="left"/>
      <w:lvlText w:val="%2"/>
      <w:numFmt w:val="lowerLetter"/>
      <w:start w:val="1"/>
    </w:lvl>
  </w:abstractNum>
  <w:abstractNum w:abstractNumId="22">
    <w:nsid w:val="57E4CCAF"/>
    <w:multiLevelType w:val="hybridMultilevel"/>
    <w:lvl w:ilvl="0">
      <w:lvlJc w:val="left"/>
      <w:lvlText w:val="(%1)"/>
      <w:numFmt w:val="lowerLetter"/>
      <w:start w:val="4"/>
    </w:lvl>
  </w:abstractNum>
  <w:abstractNum w:abstractNumId="23">
    <w:nsid w:val="7A6D8D3C"/>
    <w:multiLevelType w:val="hybridMultilevel"/>
    <w:lvl w:ilvl="0">
      <w:lvlJc w:val="left"/>
      <w:lvlText w:val="(%1)"/>
      <w:numFmt w:val="lowerRoman"/>
      <w:start w:val="1"/>
    </w:lvl>
  </w:abstractNum>
  <w:abstractNum w:abstractNumId="24">
    <w:nsid w:val="4B588F54"/>
    <w:multiLevelType w:val="hybridMultilevel"/>
    <w:lvl w:ilvl="0">
      <w:lvlJc w:val="left"/>
      <w:lvlText w:val="(%1)"/>
      <w:numFmt w:val="lowerRoman"/>
      <w:start w:val="2"/>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lowerLetter"/>
      <w:start w:val="1"/>
    </w:lvl>
  </w:abstractNum>
  <w:abstractNum w:abstractNumId="28">
    <w:nsid w:val="7644A45C"/>
    <w:multiLevelType w:val="hybridMultilevel"/>
    <w:lvl w:ilvl="0">
      <w:lvlJc w:val="left"/>
      <w:lvlText w:val="(%1)"/>
      <w:numFmt w:val="lowerLetter"/>
      <w:start w:val="2"/>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2"/>
    </w:lvl>
  </w:abstractNum>
  <w:abstractNum w:abstractNumId="31">
    <w:nsid w:val="579478FE"/>
    <w:multiLevelType w:val="hybridMultilevel"/>
    <w:lvl w:ilvl="0">
      <w:lvlJc w:val="left"/>
      <w:lvlText w:val="(%1)"/>
      <w:numFmt w:val="decimal"/>
      <w:start w:val="3"/>
    </w:lvl>
  </w:abstractNum>
  <w:abstractNum w:abstractNumId="32">
    <w:nsid w:val="749ABB43"/>
    <w:multiLevelType w:val="hybridMultilevel"/>
    <w:lvl w:ilvl="0">
      <w:lvlJc w:val="left"/>
      <w:lvlText w:val="(%1)"/>
      <w:numFmt w:val="lowerRoman"/>
      <w:start w:val="2"/>
    </w:lvl>
    <w:lvl w:ilvl="1">
      <w:lvlJc w:val="left"/>
      <w:lvlText w:val="(%2)"/>
      <w:numFmt w:val="decimal"/>
      <w:start w:val="4"/>
    </w:lvl>
  </w:abstractNum>
  <w:abstractNum w:abstractNumId="33">
    <w:nsid w:val="3DC240FB"/>
    <w:multiLevelType w:val="hybridMultilevel"/>
    <w:lvl w:ilvl="0">
      <w:lvlJc w:val="left"/>
      <w:lvlText w:val="(%1)"/>
      <w:numFmt w:val="decimal"/>
      <w:start w:val="5"/>
    </w:lvl>
  </w:abstractNum>
  <w:abstractNum w:abstractNumId="34">
    <w:nsid w:val="1BA026FA"/>
    <w:multiLevelType w:val="hybridMultilevel"/>
    <w:lvl w:ilvl="0">
      <w:lvlJc w:val="left"/>
      <w:lvlText w:val="(%1)"/>
      <w:numFmt w:val="decimal"/>
      <w:start w:val="7"/>
    </w:lvl>
  </w:abstractNum>
  <w:abstractNum w:abstractNumId="35">
    <w:nsid w:val="79A1DEAA"/>
    <w:multiLevelType w:val="hybridMultilevel"/>
    <w:lvl w:ilvl="0">
      <w:lvlJc w:val="left"/>
      <w:lvlText w:val="(%1)"/>
      <w:numFmt w:val="decimal"/>
      <w:start w:val="8"/>
    </w:lvl>
  </w:abstractNum>
  <w:abstractNum w:abstractNumId="36">
    <w:nsid w:val="75C6C33A"/>
    <w:multiLevelType w:val="hybridMultilevel"/>
    <w:lvl w:ilvl="0">
      <w:lvlJc w:val="left"/>
      <w:lvlText w:val="%1"/>
      <w:numFmt w:val="decimal"/>
      <w:start w:val="1"/>
    </w:lvl>
    <w:lvl w:ilvl="1">
      <w:lvlJc w:val="left"/>
      <w:lvlText w:val="(%2)"/>
      <w:numFmt w:val="decimal"/>
      <w:start w:val="10"/>
    </w:lvl>
    <w:lvl w:ilvl="2">
      <w:lvlJc w:val="left"/>
      <w:lvlText w:val="%3"/>
      <w:numFmt w:val="lowerRoman"/>
      <w:start w:val="1"/>
    </w:lvl>
  </w:abstractNum>
  <w:abstractNum w:abstractNumId="37">
    <w:nsid w:val="12E685FB"/>
    <w:multiLevelType w:val="hybridMultilevel"/>
    <w:lvl w:ilvl="0">
      <w:lvlJc w:val="left"/>
      <w:lvlText w:val="(%1)"/>
      <w:numFmt w:val="decimal"/>
      <w:start w:val="25"/>
    </w:lvl>
    <w:lvl w:ilvl="1">
      <w:lvlJc w:val="left"/>
      <w:lvlText w:val="(%2)"/>
      <w:numFmt w:val="decimal"/>
      <w:start w:val="11"/>
    </w:lvl>
    <w:lvl w:ilvl="2">
      <w:lvlJc w:val="left"/>
      <w:lvlText w:val="(%3)"/>
      <w:numFmt w:val="lowerRoman"/>
      <w:start w:val="1"/>
    </w:lvl>
  </w:abstractNum>
  <w:abstractNum w:abstractNumId="38">
    <w:nsid w:val="70C6A529"/>
    <w:multiLevelType w:val="hybridMultilevel"/>
    <w:lvl w:ilvl="0">
      <w:lvlJc w:val="left"/>
      <w:lvlText w:val="(%1)"/>
      <w:numFmt w:val="lowerRoman"/>
      <w:start w:val="3"/>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1)"/>
      <w:numFmt w:val="lowerLetter"/>
      <w:start w:val="3"/>
    </w:lvl>
  </w:abstractNum>
  <w:abstractNum w:abstractNumId="41">
    <w:nsid w:val="4F4EF005"/>
    <w:multiLevelType w:val="hybridMultilevel"/>
    <w:lvl w:ilvl="0">
      <w:lvlJc w:val="left"/>
      <w:lvlText w:val="(%1)"/>
      <w:numFmt w:val="decimal"/>
      <w:start w:val="12"/>
    </w:lvl>
  </w:abstractNum>
  <w:abstractNum w:abstractNumId="42">
    <w:nsid w:val="23F9C13C"/>
    <w:multiLevelType w:val="hybridMultilevel"/>
    <w:lvl w:ilvl="0">
      <w:lvlJc w:val="left"/>
      <w:lvlText w:val="(%1)"/>
      <w:numFmt w:val="decimal"/>
      <w:start w:val="14"/>
    </w:lvl>
  </w:abstractNum>
  <w:abstractNum w:abstractNumId="43">
    <w:nsid w:val="649BB77C"/>
    <w:multiLevelType w:val="hybridMultilevel"/>
    <w:lvl w:ilvl="0">
      <w:lvlJc w:val="left"/>
      <w:lvlText w:val="(%1)"/>
      <w:numFmt w:val="decimal"/>
      <w:start w:val="15"/>
    </w:lvl>
  </w:abstractNum>
  <w:abstractNum w:abstractNumId="44">
    <w:nsid w:val="275AC794"/>
    <w:multiLevelType w:val="hybridMultilevel"/>
    <w:lvl w:ilvl="0">
      <w:lvlJc w:val="left"/>
      <w:lvlText w:val="%1"/>
      <w:numFmt w:val="lowerLetter"/>
      <w:start w:val="1"/>
    </w:lvl>
    <w:lvl w:ilvl="1">
      <w:lvlJc w:val="left"/>
      <w:lvlText w:val="(%2)"/>
      <w:numFmt w:val="lowerLetter"/>
      <w:start w:val="2"/>
    </w:lvl>
  </w:abstractNum>
  <w:abstractNum w:abstractNumId="45">
    <w:nsid w:val="39386575"/>
    <w:multiLevelType w:val="hybridMultilevel"/>
    <w:lvl w:ilvl="0">
      <w:lvlJc w:val="left"/>
      <w:lvlText w:val="(%1)"/>
      <w:numFmt w:val="lowerLetter"/>
      <w:start w:val="9"/>
    </w:lvl>
    <w:lvl w:ilvl="1">
      <w:lvlJc w:val="left"/>
      <w:lvlText w:val="%2"/>
      <w:numFmt w:val="lowerLetter"/>
      <w:start w:val="1"/>
    </w:lvl>
  </w:abstractNum>
  <w:abstractNum w:abstractNumId="46">
    <w:nsid w:val="1CF10FD8"/>
    <w:multiLevelType w:val="hybridMultilevel"/>
    <w:lvl w:ilvl="0">
      <w:lvlJc w:val="left"/>
      <w:lvlText w:val="(%1)"/>
      <w:numFmt w:val="lowerLetter"/>
      <w:start w:val="2"/>
    </w:lvl>
    <w:lvl w:ilvl="1">
      <w:lvlJc w:val="left"/>
      <w:lvlText w:val="%2"/>
      <w:numFmt w:val="lowerLetter"/>
      <w:start w:val="1"/>
    </w:lvl>
  </w:abstractNum>
  <w:abstractNum w:abstractNumId="47">
    <w:nsid w:val="180115BE"/>
    <w:multiLevelType w:val="hybridMultilevel"/>
    <w:lvl w:ilvl="0">
      <w:lvlJc w:val="left"/>
      <w:lvlText w:val="%1"/>
      <w:numFmt w:val="lowerLetter"/>
      <w:start w:val="1"/>
    </w:lvl>
    <w:lvl w:ilvl="1">
      <w:lvlJc w:val="left"/>
      <w:lvlText w:val="(%2)"/>
      <w:numFmt w:val="lowerLetter"/>
      <w:start w:val="3"/>
    </w:lvl>
  </w:abstractNum>
  <w:abstractNum w:abstractNumId="48">
    <w:nsid w:val="235BA861"/>
    <w:multiLevelType w:val="hybridMultilevel"/>
    <w:lvl w:ilvl="0">
      <w:lvlJc w:val="left"/>
      <w:lvlText w:val="(%1)"/>
      <w:numFmt w:val="lowerLetter"/>
      <w:start w:val="35"/>
    </w:lvl>
    <w:lvl w:ilvl="1">
      <w:lvlJc w:val="left"/>
      <w:lvlText w:val="(%2)"/>
      <w:numFmt w:val="lowerLetter"/>
      <w:start w:val="4"/>
    </w:lvl>
  </w:abstractNum>
  <w:abstractNum w:abstractNumId="49">
    <w:nsid w:val="47398C89"/>
    <w:multiLevelType w:val="hybridMultilevel"/>
    <w:lvl w:ilvl="0">
      <w:lvlJc w:val="left"/>
      <w:lvlText w:val="(%1)"/>
      <w:numFmt w:val="lowerLetter"/>
      <w:start w:val="5"/>
    </w:lvl>
  </w:abstractNum>
  <w:abstractNum w:abstractNumId="50">
    <w:nsid w:val="354FE9F9"/>
    <w:multiLevelType w:val="hybridMultilevel"/>
    <w:lvl w:ilvl="0">
      <w:lvlJc w:val="left"/>
      <w:lvlText w:val="(%1)"/>
      <w:numFmt w:val="decimal"/>
      <w:start w:val="16"/>
    </w:lvl>
  </w:abstractNum>
  <w:abstractNum w:abstractNumId="51">
    <w:nsid w:val="15B5AF5C"/>
    <w:multiLevelType w:val="hybridMultilevel"/>
    <w:lvl w:ilvl="0">
      <w:lvlJc w:val="left"/>
      <w:lvlText w:val="(%1)"/>
      <w:numFmt w:val="decimal"/>
      <w:start w:val="17"/>
    </w:lvl>
  </w:abstractNum>
  <w:abstractNum w:abstractNumId="52">
    <w:nsid w:val="741226BB"/>
    <w:multiLevelType w:val="hybridMultilevel"/>
    <w:lvl w:ilvl="0">
      <w:lvlJc w:val="left"/>
      <w:lvlText w:val="(%1)"/>
      <w:numFmt w:val="decimal"/>
      <w:start w:val="18"/>
    </w:lvl>
  </w:abstractNum>
  <w:abstractNum w:abstractNumId="53">
    <w:nsid w:val="D34B6A8"/>
    <w:multiLevelType w:val="hybridMultilevel"/>
    <w:lvl w:ilvl="0">
      <w:lvlJc w:val="left"/>
      <w:lvlText w:val="(%1)"/>
      <w:numFmt w:val="decimal"/>
      <w:start w:val="19"/>
    </w:lvl>
  </w:abstractNum>
  <w:abstractNum w:abstractNumId="54">
    <w:nsid w:val="10233C99"/>
    <w:multiLevelType w:val="hybridMultilevel"/>
    <w:lvl w:ilvl="0">
      <w:lvlJc w:val="left"/>
      <w:lvlText w:val="(%1)"/>
      <w:numFmt w:val="decimal"/>
      <w:start w:val="20"/>
    </w:lvl>
  </w:abstractNum>
  <w:abstractNum w:abstractNumId="55">
    <w:nsid w:val="3F6AB60F"/>
    <w:multiLevelType w:val="hybridMultilevel"/>
    <w:lvl w:ilvl="0">
      <w:lvlJc w:val="left"/>
      <w:lvlText w:val="(%1)"/>
      <w:numFmt w:val="decimal"/>
      <w:start w:val="21"/>
    </w:lvl>
  </w:abstractNum>
  <w:abstractNum w:abstractNumId="56">
    <w:nsid w:val="61574095"/>
    <w:multiLevelType w:val="hybridMultilevel"/>
    <w:lvl w:ilvl="0">
      <w:lvlJc w:val="left"/>
      <w:lvlText w:val="(%1)"/>
      <w:numFmt w:val="decimal"/>
      <w:start w:val="22"/>
    </w:lvl>
  </w:abstractNum>
  <w:abstractNum w:abstractNumId="57">
    <w:nsid w:val="7E0C57B1"/>
    <w:multiLevelType w:val="hybridMultilevel"/>
    <w:lvl w:ilvl="0">
      <w:lvlJc w:val="left"/>
      <w:lvlText w:val="%1"/>
      <w:numFmt w:val="lowerRoman"/>
      <w:start w:val="1"/>
    </w:lvl>
    <w:lvl w:ilvl="1">
      <w:lvlJc w:val="left"/>
      <w:lvlText w:val="(%2)"/>
      <w:numFmt w:val="decimal"/>
      <w:start w:val="24"/>
    </w:lvl>
  </w:abstractNum>
  <w:abstractNum w:abstractNumId="58">
    <w:nsid w:val="77AE35EB"/>
    <w:multiLevelType w:val="hybridMultilevel"/>
    <w:lvl w:ilvl="0">
      <w:lvlJc w:val="left"/>
      <w:lvlText w:val="(%1)"/>
      <w:numFmt w:val="lowerRoman"/>
      <w:start w:val="2"/>
    </w:lvl>
    <w:lvl w:ilvl="1">
      <w:lvlJc w:val="left"/>
      <w:lvlText w:val="%2"/>
      <w:numFmt w:val="decimal"/>
      <w:start w:val="1"/>
    </w:lvl>
  </w:abstractNum>
  <w:abstractNum w:abstractNumId="59">
    <w:nsid w:val="579BE4F1"/>
    <w:multiLevelType w:val="hybridMultilevel"/>
    <w:lvl w:ilvl="0">
      <w:lvlJc w:val="left"/>
      <w:lvlText w:val="(%1)"/>
      <w:numFmt w:val="decimal"/>
      <w:start w:val="25"/>
    </w:lvl>
  </w:abstractNum>
  <w:abstractNum w:abstractNumId="60">
    <w:nsid w:val="310C50B3"/>
    <w:multiLevelType w:val="hybridMultilevel"/>
    <w:lvl w:ilvl="0">
      <w:lvlJc w:val="left"/>
      <w:lvlText w:val="(%1)"/>
      <w:numFmt w:val="lowerLetter"/>
      <w:start w:val="2"/>
    </w:lvl>
  </w:abstractNum>
  <w:abstractNum w:abstractNumId="61">
    <w:nsid w:val="5FF87E05"/>
    <w:multiLevelType w:val="hybridMultilevel"/>
    <w:lvl w:ilvl="0">
      <w:lvlJc w:val="left"/>
      <w:lvlText w:val="%1"/>
      <w:numFmt w:val="lowerRoman"/>
      <w:start w:val="1"/>
    </w:lvl>
    <w:lvl w:ilvl="1">
      <w:lvlJc w:val="left"/>
      <w:lvlText w:val="(%2)"/>
      <w:numFmt w:val="decimal"/>
      <w:start w:val="26"/>
    </w:lvl>
  </w:abstractNum>
  <w:abstractNum w:abstractNumId="62">
    <w:nsid w:val="2F305DEF"/>
    <w:multiLevelType w:val="hybridMultilevel"/>
    <w:lvl w:ilvl="0">
      <w:lvlJc w:val="left"/>
      <w:lvlText w:val="(%1)"/>
      <w:numFmt w:val="lowerRoman"/>
      <w:start w:val="4"/>
    </w:lvl>
    <w:lvl w:ilvl="1">
      <w:lvlJc w:val="left"/>
      <w:lvlText w:val="(%2)"/>
      <w:numFmt w:val="decimal"/>
      <w:start w:val="27"/>
    </w:lvl>
  </w:abstractNum>
  <w:abstractNum w:abstractNumId="63">
    <w:nsid w:val="25A70BF7"/>
    <w:multiLevelType w:val="hybridMultilevel"/>
    <w:lvl w:ilvl="0">
      <w:lvlJc w:val="left"/>
      <w:lvlText w:val="%1."/>
      <w:numFmt w:val="upperLetter"/>
      <w:start w:val="9"/>
    </w:lvl>
  </w:abstractNum>
  <w:abstractNum w:abstractNumId="64">
    <w:nsid w:val="1DBABF00"/>
    <w:multiLevelType w:val="hybridMultilevel"/>
    <w:lvl w:ilvl="0">
      <w:lvlJc w:val="left"/>
      <w:lvlText w:val="%1."/>
      <w:numFmt w:val="upperLetter"/>
      <w:start w:val="35"/>
    </w:lvl>
  </w:abstractNum>
  <w:abstractNum w:abstractNumId="65">
    <w:nsid w:val="4AD084E9"/>
    <w:multiLevelType w:val="hybridMultilevel"/>
    <w:lvl w:ilvl="0">
      <w:lvlJc w:val="left"/>
      <w:lvlText w:val="(%1)"/>
      <w:numFmt w:val="lowerRoman"/>
      <w:start w:val="1"/>
    </w:lvl>
  </w:abstractNum>
  <w:abstractNum w:abstractNumId="66">
    <w:nsid w:val="1F48EAA1"/>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2022-03-11T14:55:54Z</dcterms:created>
  <dcterms:modified xsi:type="dcterms:W3CDTF">2022-03-11T14:55:54Z</dcterms:modified>
</cp:coreProperties>
</file>