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7"/>
          <w:szCs w:val="17"/>
          <w:b w:val="1"/>
          <w:bCs w:val="1"/>
          <w:color w:val="auto"/>
        </w:rPr>
        <w:t>Filed by Polestar Automotive Holding UK Limited</w:t>
      </w:r>
    </w:p>
    <w:p>
      <w:pPr>
        <w:spacing w:after="0" w:line="39"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Pursuant to Rule 425 under the Securities Act of 1933</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14a-12 under the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Form F-4 File No. (333-260992)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Companies:</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Polestar Automotive Holding UK Limited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Gores Guggenheim, Inc.</w:t>
      </w:r>
    </w:p>
    <w:p>
      <w:pPr>
        <w:spacing w:after="0" w:line="9" w:lineRule="exact"/>
        <w:rPr>
          <w:sz w:val="24"/>
          <w:szCs w:val="24"/>
          <w:color w:val="auto"/>
        </w:rPr>
      </w:pPr>
    </w:p>
    <w:p>
      <w:pPr>
        <w:ind w:left="7480"/>
        <w:spacing w:after="0"/>
        <w:rPr>
          <w:sz w:val="20"/>
          <w:szCs w:val="20"/>
          <w:color w:val="auto"/>
        </w:rPr>
      </w:pPr>
      <w:r>
        <w:rPr>
          <w:rFonts w:ascii="Arial" w:cs="Arial" w:eastAsia="Arial" w:hAnsi="Arial"/>
          <w:sz w:val="16"/>
          <w:szCs w:val="16"/>
          <w:b w:val="1"/>
          <w:bCs w:val="1"/>
          <w:color w:val="auto"/>
        </w:rPr>
        <w:t>(Commission File No. 001-40265)</w:t>
      </w:r>
    </w:p>
    <w:p>
      <w:pPr>
        <w:sectPr>
          <w:pgSz w:w="11900" w:h="16838" w:orient="portrait"/>
          <w:cols w:equalWidth="0" w:num="1">
            <w:col w:w="10020"/>
          </w:cols>
          <w:pgMar w:left="1440" w:top="229"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Polestar to Strengthen Board of Directors Ahead of Nasdaq Listing</w:t>
      </w:r>
    </w:p>
    <w:p>
      <w:pPr>
        <w:spacing w:after="0" w:line="135" w:lineRule="exact"/>
        <w:rPr>
          <w:sz w:val="20"/>
          <w:szCs w:val="20"/>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Polestar CEO Thomas Ingenlath expected to be appointed to the Board as executive director</w:t>
      </w:r>
    </w:p>
    <w:p>
      <w:pPr>
        <w:spacing w:after="0" w:line="130" w:lineRule="exact"/>
        <w:rPr>
          <w:rFonts w:ascii="Arial" w:cs="Arial" w:eastAsia="Arial" w:hAnsi="Arial"/>
          <w:sz w:val="18"/>
          <w:szCs w:val="18"/>
          <w:color w:val="auto"/>
        </w:rPr>
      </w:pPr>
    </w:p>
    <w:p>
      <w:pPr>
        <w:ind w:left="960" w:hanging="424"/>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Volvo Cars’ new CEO (from March 21) Jim Rowan along with Karen Francis and David Wei expected to be appointed to the Board as new directors ahead of Polestar’s planned listing</w:t>
      </w:r>
    </w:p>
    <w:p>
      <w:pPr>
        <w:spacing w:after="0" w:line="75" w:lineRule="exact"/>
        <w:rPr>
          <w:rFonts w:ascii="Arial" w:cs="Arial" w:eastAsia="Arial" w:hAnsi="Arial"/>
          <w:sz w:val="18"/>
          <w:szCs w:val="18"/>
          <w:color w:val="auto"/>
        </w:rPr>
      </w:pPr>
    </w:p>
    <w:p>
      <w:pPr>
        <w:ind w:left="960" w:right="320" w:hanging="424"/>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Håkan Samuelsson, Chairperson of the Board, Daniel Li, CEO of Geely Holding, Carla De Geyseleer, David Richter and Karl-Thomas Neumann will continue as board members of Polestar upon planned listing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March 07, 2022 08:12 AM Eastern Standard Time</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GOTHENBURG, Sweden—(BUSINESS WIRE)—Polestar, the pure play electric performance car brand, plans to strengthen its Board of Directors ahead of its planned listing on the Nasdaq stock exchange in New York later this year.</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changes are expected to broaden the Board’s competence within the electric vehicle space and international capital markets, creating a best-in-class structure in terms of international corporate governance.</w:t>
      </w:r>
    </w:p>
    <w:p>
      <w:pPr>
        <w:spacing w:after="0" w:line="170"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Håkan Samuelsson, Chairperson of Polestar’s Board of Directors, says: “Ahead of becoming a publicly listed company, I am delighted to announce a very competent, experienced and international Board of Directors, with a majority of independent directors and in line with the best practices of corporate governance.</w:t>
      </w:r>
    </w:p>
    <w:p>
      <w:pPr>
        <w:spacing w:after="0" w:line="18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 would also like to take this opportunity to thank Eric Li and Lars Danielsson for the invaluable contribution they have made to Polestar and look forward to Eric Li’s continued support as a major shareholder.”</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Polestar intends to list on the Nasdaq in a proposed business combination with Gores Guggenheim, Inc. (Nasdaq: GGPI, GGPIW, and GGPIU), which is expected to close in the first half of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Biographies for the new and existing board members can be found here.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Polestar</w:t>
      </w:r>
    </w:p>
    <w:p>
      <w:pPr>
        <w:spacing w:after="0" w:line="117"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i w:val="1"/>
          <w:iCs w:val="1"/>
          <w:color w:val="auto"/>
        </w:rPr>
        <w:t>Polestar was established as a new, standalone Swedish premium electric vehicle manufacturer in 2017. Founded by Volvo Cars and Geely Holding, Polestar enjoys specific technological and engineering synergies with Volvo Cars and benefits from significant economies of scale as a result.</w:t>
      </w:r>
    </w:p>
    <w:p>
      <w:pPr>
        <w:sectPr>
          <w:pgSz w:w="11900" w:h="16838" w:orient="portrait"/>
          <w:cols w:equalWidth="0" w:num="1">
            <w:col w:w="11000"/>
          </w:cols>
          <w:pgMar w:left="440" w:top="270" w:right="459" w:bottom="1440" w:gutter="0" w:footer="0" w:header="0"/>
        </w:sectPr>
      </w:pPr>
    </w:p>
    <w:bookmarkStart w:id="2" w:name="page3"/>
    <w:bookmarkEnd w:id="2"/>
    <w:p>
      <w:pPr>
        <w:ind w:right="240"/>
        <w:spacing w:after="0" w:line="263"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Polestar is headquartered in Gothenburg, Sweden, and its vehicles are currently available and on the road in markets across Europe, North America, China and Asia Pacific. By 2023, the company plans that its cars will be available in an aggregate of 30 markets. Polestar cars are currently manufactured in two facilities in China, with additional future manufacturing planned in the USA.</w:t>
      </w:r>
    </w:p>
    <w:p>
      <w:pPr>
        <w:spacing w:after="0" w:line="29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i w:val="1"/>
          <w:iCs w:val="1"/>
          <w:color w:val="auto"/>
        </w:rPr>
        <w:t>In September 2021, Polestar announced its intention to list as a public company on the Nasdaq in a business combination agreement with Gores Guggenheim, Inc. Full information on this definitive agreement can be found here.</w:t>
      </w:r>
    </w:p>
    <w:p>
      <w:pPr>
        <w:spacing w:after="0" w:line="278" w:lineRule="exact"/>
        <w:rPr>
          <w:sz w:val="20"/>
          <w:szCs w:val="20"/>
          <w:color w:val="auto"/>
        </w:rPr>
      </w:pPr>
    </w:p>
    <w:p>
      <w:pPr>
        <w:spacing w:after="0" w:line="308" w:lineRule="auto"/>
        <w:rPr>
          <w:sz w:val="20"/>
          <w:szCs w:val="20"/>
          <w:color w:val="auto"/>
        </w:rPr>
      </w:pPr>
      <w:r>
        <w:rPr>
          <w:rFonts w:ascii="Arial" w:cs="Arial" w:eastAsia="Arial" w:hAnsi="Arial"/>
          <w:sz w:val="17"/>
          <w:szCs w:val="17"/>
          <w:i w:val="1"/>
          <w:iCs w:val="1"/>
          <w:color w:val="auto"/>
        </w:rPr>
        <w:t>Polestar has produced two electric performance cars. The Polestar 1 was built between 2019 and 2021 as a low-volume electric performance hybrid GT with a carbon fiber body, 609 hp, 1,000 Nm and an electric-only range of 124 km (WLTP) – the longest of any hybrid car in the world.</w:t>
      </w:r>
    </w:p>
    <w:p>
      <w:pPr>
        <w:spacing w:after="0" w:line="25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i w:val="1"/>
          <w:iCs w:val="1"/>
          <w:color w:val="auto"/>
        </w:rPr>
        <w:t>The Polestar 2 electric performance fastback is the company’s first fully electric, high volume car. The Polestar 2 model range includes three variants with a combination of long- and standard range batteries as large as 78 kWh, and dual- and single-motor powertrains with as much as 300 kW / 408 hp and 660 Nm.</w:t>
      </w:r>
    </w:p>
    <w:p>
      <w:pPr>
        <w:spacing w:after="0" w:line="29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In the coming three years, Polestar plans to launch one new electric vehicle per year, starting with Polestar 3 in 2022 – the company’s first electric performance SUV. Polestar 4 is expected to follow in 2023, a smaller electric performance SUV coupe.</w:t>
      </w:r>
    </w:p>
    <w:p>
      <w:pPr>
        <w:spacing w:after="0" w:line="278"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i w:val="1"/>
          <w:iCs w:val="1"/>
          <w:color w:val="auto"/>
        </w:rPr>
        <w:t>In 2024, the Polestar 5 electric performance 4-door GT is planned to be launched as the production evolution of Polestar Precept – the manifesto concept car that Polestar released in 2020 that showcases the brand’s future vision in terms of design, technology, and sustainability. As the company seeks to reduce its climate impact with every new model, Polestar aims to produce a truly climate-neutral car by 2030.</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Gores Guggenheim, Inc.</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Gores Guggenheim, Inc. (Nasdaq: GGPI, GGPIW, and GGPIU) is a special purpose acquisition company sponsored by an affiliate of The Gores Group, LLC, founded by Alec Gores, and by an affiliate of Guggenheim Capital, LLC. Gores Guggenheim completed its initial public offering in April 2021, raising approximately USD 800 million in cash proceeds for the purpose of effecting a merger, capital stock exchange, asset acquisition, stock purchase, reorganization or similar business combination with one or more businesses. Gores Guggenheim’s strategy is to identify and complete business combinations with market leading companies with strong equity stories that will benefit from the growth capital of the public equity markets and be enhanced by the experience and expertise of Gores’ and Guggenheim’s long history and track record of investing in and operating businesses.</w:t>
      </w:r>
    </w:p>
    <w:p>
      <w:pPr>
        <w:sectPr>
          <w:pgSz w:w="11900" w:h="16838" w:orient="portrait"/>
          <w:cols w:equalWidth="0" w:num="1">
            <w:col w:w="11000"/>
          </w:cols>
          <w:pgMar w:left="440" w:top="274"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Gores Guggenheim, Inc. (“Gores Guggenheim”), Polestar Performance AB and/or its affiliates (the “Company”) and Polestar Automotive Holding UK Limited (“ListCo”). For example, projections of future Adjusted EBITDA or revenue and other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7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These forward-looking statements are based upon estimates and assumptions that, while considered reasonable by Gores Guggenheim and its management, and the Company and its management, as the case may be, are inherently uncertain. Factors that may cause actual results to differ materially from current expectations include, but are not limited to: (1) the occurrence of any event, change or other circumstances that could give rise to the termination of definitive agreements with respect to the Business Combination; (2) the outcome of any legal proceedings that may be instituted against Gores Guggenheim, the combined company or others following the announcement of the Business Combination and any definitive agreements with respect thereto; (3) the inability to complete the Business Combination due to the failure to obtain approval of the stockholders of Gores Guggenheim, to obtain financing to complete the Business Combination or to satisfy other conditions to closing; (4) changes to the proposed structure of the Business Combination that may be required or appropriate as a result of applicable laws or regulations or as a condition to obtaining regulatory approval of the Business Combination; (5) the ability to meet stock exchange listing standards following the consummation of the Business Combination; (6) the risk that the Business Combination disrupts current plans and operations of the Company as a result of the announcement and consummation of the Business Combination; (7) the ability to recognize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(8) costs related to the Business Combination; (9) risks associated with changes in applicable laws or regulations and the Company’s international operations; (10) the possibility that the Company or the combined company may be adversely affected by other economic, business, and/or competitive factors; (11) the Company’s estimates of expenses and profitability; (12) the Company’s ability to maintain agreements or partnerships with its strategic partners</w:t>
      </w:r>
    </w:p>
    <w:p>
      <w:pPr>
        <w:sectPr>
          <w:pgSz w:w="11900" w:h="16838" w:orient="portrait"/>
          <w:cols w:equalWidth="0" w:num="1">
            <w:col w:w="11000"/>
          </w:cols>
          <w:pgMar w:left="440" w:top="270" w:right="459" w:bottom="1440" w:gutter="0" w:footer="0" w:header="0"/>
        </w:sectPr>
      </w:pPr>
    </w:p>
    <w:bookmarkStart w:id="4" w:name="page5"/>
    <w:bookmarkEnd w:id="4"/>
    <w:p>
      <w:pPr>
        <w:ind w:left="4"/>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Volvo Cars and Geely and to develop new agreements or partnerships; (13) the Company’s ability to maintain relationships with its existing suppliers and strategic partners, and source new suppliers for its critical components, and to complete building out its supply chain, while effectively managing the risks due to such relationships; (14) the Company’s reliance on its partnerships with vehicle charging networks to provide charging solutions for its vehicles and its strategic partners for servicing its vehicles and their integrated software; (15) the Company’s ability to establish its brand and capture additional market share, and the risks associated with negative press or reputational harm, including from lithium-ion battery cells catching fire or venting smoke; (16) delays in the design, manufacture, launch and financing of the Company’s vehicles and the Company’s reliance on a limited number of vehicle models to generate revenues; (17) the Company’s ability to continuously and rapidly innovate, develop and market new products; (18) risks related to future market adoption of the Company’s offerings; (19) increases in costs, disruption of supply or shortage of materials, in particular for lithium-ion cells or semiconductors; (20) the Company’s reliance on its partners to manufacture vehicles at a high volume, some of which have limited experience in producing electric vehicles, and on the allocation of sufficient production capacity to the Company by its partners in order for the Company to be able to increase its vehicle production capacities; (21) risks related to the Company’s distribution model; (22) the effects of competition and the high barriers to entry in the automotive industry, and the pace and depth of electric vehicle adoption generally on the Company’s future business;</w:t>
      </w:r>
    </w:p>
    <w:p>
      <w:pPr>
        <w:spacing w:after="0" w:line="3" w:lineRule="exact"/>
        <w:rPr>
          <w:sz w:val="20"/>
          <w:szCs w:val="20"/>
          <w:color w:val="auto"/>
        </w:rPr>
      </w:pPr>
    </w:p>
    <w:p>
      <w:pPr>
        <w:ind w:left="4" w:right="100" w:hanging="4"/>
        <w:spacing w:after="0" w:line="251" w:lineRule="auto"/>
        <w:tabs>
          <w:tab w:leader="none" w:pos="349"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regulatory requirements, governmental incentives and fuel and energy prices; (24) the impact of the global COVID-19 pandemic on Gores Guggenheim, the Company, the Company’s post business combination’s projected results of operations, financial performance or other financial metrics, or on any of the foregoing risks; and (25) other risks and uncertainties set forth in the section entitled “Risk Factors” and “Cautionary Note Regarding Forward-Looking Statements” in Gores Guggenheim’s final prospectus relating to its initial public offering (File No. 333-253338) declared effective by the SEC on March 22, 2021, and other documents filed, or to be filed, with the SEC by Gores Guggenheim or ListCo, including the Registration/Proxy Statement. There may be additional risks that neither Gores Guggenheim, the Company nor ListCo presently know or that Gores Guggenheim, the Company or ListCo currently believe are immaterial that could also cause actual results to differ from those contained in the forward-looking statements.</w:t>
      </w:r>
    </w:p>
    <w:p>
      <w:pPr>
        <w:spacing w:after="0" w:line="198" w:lineRule="exact"/>
        <w:rPr>
          <w:sz w:val="20"/>
          <w:szCs w:val="20"/>
          <w:color w:val="auto"/>
        </w:rPr>
      </w:pPr>
    </w:p>
    <w:p>
      <w:pPr>
        <w:ind w:left="4" w:right="80"/>
        <w:spacing w:after="0" w:line="259" w:lineRule="auto"/>
        <w:rPr>
          <w:sz w:val="20"/>
          <w:szCs w:val="20"/>
          <w:color w:val="auto"/>
        </w:rPr>
      </w:pPr>
      <w:r>
        <w:rPr>
          <w:rFonts w:ascii="Arial" w:cs="Arial" w:eastAsia="Arial" w:hAnsi="Arial"/>
          <w:sz w:val="18"/>
          <w:szCs w:val="18"/>
          <w:color w:val="auto"/>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Neither Gores Guggenheim, the Company nor ListCo undertakes any duty to update these forward-looking statements.</w:t>
      </w:r>
    </w:p>
    <w:p>
      <w:pPr>
        <w:sectPr>
          <w:pgSz w:w="11900" w:h="16838" w:orient="portrait"/>
          <w:cols w:equalWidth="0" w:num="1">
            <w:col w:w="11004"/>
          </w:cols>
          <w:pgMar w:left="436" w:top="274"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Information</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connection with the proposed Business Combination, (i) ListCo has filed with the SEC a Registration/Proxy Statement, and (ii) Gores Guggenheim will file a definitive proxy statement relating to the proposed Business Combination (the “Definitive Proxy Statement”) and will mail the Definitive Proxy Statement and other relevant materials to its stockholders after the Registration/Proxy Statement is declared effective. The Registration/Proxy Statement will contain important information about the proposed Business Combination and the other matters to be voted upon at a meeting of Gores Guggenheim stockholders to be held to approve the proposed Business Combination. This Press Release does not contain all the information that should be considered concerning the proposed Business Combination and is not intended to form the basis of any investment decision or any other decision in respect of the Business Combination. Before making any voting or other investment decisions, securityholders of Gores Guggenheim and other interested persons are advised to read, the Registration/Proxy Statement and the amendments thereto and the Definitive Proxy Statement and other documents filed in connection with the proposed Business Combination, as these materials will contain important information about Gores Guggenheim, the Company, ListCo and the Business Combination. When available, the Definitive Proxy Statement and other relevant materials for the proposed Business Combination will be mailed to stockholders of Gores Guggenheim as of a record date to be established for voting on the proposed Business Combination. Stockholders will also be able to obtain copies of the Registration/Proxy Statement, the Definitive Proxy Statement and other documents filed with the SEC, without charge, once available, at the SEC’s website at www.sec.gov, or by directing a request to: Gores Guggenheim, Inc., 6260 Lookout Rd., Boulder, CO 80301, attention: Jennifer Kwon Chou.</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Gores Guggenheim and certain of its directors and executive officers may be deemed participants in the solicitation of proxies from Gores Guggenheim’s stockholders with respect to the proposed Business Combination. A list of the names of those directors and executive officers and a description of their interests in Gores Guggenheim is set forth in Gores Guggenheim’s filings with the SEC (including Gores Guggenheim’s final prospectus related to its initial public offering (File No. 333-253338) declared effective by the SEC on March 22, 2021), and are available free of charge at the SEC’s website at www.sec.gov, or by directing a request to Gores Guggenheim, Inc., 6260 Lookout Rd., Boulder, CO 80301, attention: Jennifer Kwon Chou. Additional information regarding the interests of such participants is contained in the Registration/Proxy Statement.</w:t>
      </w:r>
    </w:p>
    <w:p>
      <w:pPr>
        <w:sectPr>
          <w:pgSz w:w="11900" w:h="16838" w:orient="portrait"/>
          <w:cols w:equalWidth="0" w:num="1">
            <w:col w:w="11000"/>
          </w:cols>
          <w:pgMar w:left="440" w:top="270" w:right="459" w:bottom="1440" w:gutter="0" w:footer="0" w:header="0"/>
        </w:sectPr>
      </w:pPr>
    </w:p>
    <w:bookmarkStart w:id="6" w:name="page7"/>
    <w:bookmarkEnd w:id="6"/>
    <w:p>
      <w:pPr>
        <w:ind w:right="8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and ListCo, and certain of their directors and executive officers may also be deemed to be participants in the solicitation of proxies from the stockholders of Gores Guggenheim in connection with the proposed Business Combination. A list of the names of such directors and executive officers and information regarding their interests in the proposed Business Combination is included in the Registration/Proxy Statement.</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and Non-Solicitation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Press Release is not a proxy statement or solicitation of a proxy, consent or authorization with respect to any securities or in respect of the potential transaction and shall not constitute an offer to sell or a solicitation of an offer to buy the securities of Gores Guggenheim, the Company or ListCo,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of 1933, as amended.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inquiries regarding Polestar: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Bojana Flint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Polestar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bojana.flint@polestar.com</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Jonathan Goodman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Polestar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jonathan.goodman@polestar.com</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Andrew Lytheer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Polestar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andrew.lytheer@polestar.com</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John Paolo Canton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Polestar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jp.canton@polestar.com</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For inquiries regarding The Gores Group and affiliates: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Jennifer Kwon Chou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Gores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jchou@gores.com</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John Christiansen/Cassandra Bujarski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Sard Verbinnen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GoresGroup-SVC@sardverb.com</w:t>
      </w:r>
    </w:p>
    <w:sectPr>
      <w:pgSz w:w="11900" w:h="16838" w:orient="portrait"/>
      <w:cols w:equalWidth="0" w:num="1">
        <w:col w:w="10960"/>
      </w:cols>
      <w:pgMar w:left="440"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2022-03-07T15:55:01Z</dcterms:created>
  <dcterms:modified xsi:type="dcterms:W3CDTF">2022-03-07T15:55:01Z</dcterms:modified>
</cp:coreProperties>
</file>