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9, 2025, Polestar Automotive Holding UK PLC (“Polestar”) issued a press release announcing its preliminary estimates for global volumes for the third quarter of 2025. A copy of the press release is attached hereto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October 9, 2025.</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60" w:type="dxa"/>
            <w:vAlign w:val="bottom"/>
            <w:tcBorders>
              <w:top w:val="single" w:sz="8" w:color="0000EE"/>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9,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9,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7978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978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36% retail sales growth for the first nine months of 2025</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9 October 2025 – </w:t>
      </w:r>
      <w:r>
        <w:rPr>
          <w:rFonts w:ascii="Times New Roman" w:cs="Times New Roman" w:eastAsia="Times New Roman" w:hAnsi="Times New Roman"/>
          <w:sz w:val="18"/>
          <w:szCs w:val="18"/>
          <w:color w:val="auto"/>
        </w:rPr>
        <w:t>Polestar (Nasdaq: PSNY) retail sales amounted to an estimated 14,192 cars in Q3 2025, up 13% versus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Q3 2024. For the first nine months of the year, retail sales approximated 44,482 cars, a growth of 36% compared to the same period last year.</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Lohscheller, Polestar CEO, says: “The third quarter saw continued growth, and we have now sold as many cars as in the whole of 2024. Despite continued external headwinds and challenging market conditions, our line-up and strong order intake provide a solid basis for growth in the fourth quarter.”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Breakdown of retail sales volumes: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69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2025</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24"/>
                <w:szCs w:val="24"/>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volumes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445"/>
        </w:trPr>
        <w:tc>
          <w:tcPr>
            <w:tcW w:w="69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Q1-Q3 2025</w:t>
            </w:r>
          </w:p>
        </w:tc>
        <w:tc>
          <w:tcPr>
            <w:tcW w:w="2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Q1-Q3 2024</w:t>
            </w: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60" w:type="dxa"/>
            <w:vAlign w:val="bottom"/>
            <w:tcBorders>
              <w:bottom w:val="single" w:sz="8" w:color="CCEEFF"/>
            </w:tcBorders>
          </w:tcPr>
          <w:p>
            <w:pPr>
              <w:spacing w:after="0"/>
              <w:rPr>
                <w:sz w:val="24"/>
                <w:szCs w:val="24"/>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volumes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expects to publish select results for the third quarter 2025 and hold an analyst conference call on 12 November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four models in its line-up: Polestar 2, Polestar 3, Polestar 4, and Polestar 5. Planned models include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firstLine="8"/>
        <w:spacing w:after="0" w:line="250" w:lineRule="auto"/>
        <w:tabs>
          <w:tab w:leader="none" w:pos="262"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the identification and remediation of accounting errors and/or a final assessment of errors already identified that differs significantly from Polestar’s preliminary view of such errors and the successful filing of restatements of any SEC reports;</w:t>
      </w:r>
    </w:p>
    <w:p>
      <w:pPr>
        <w:spacing w:after="0" w:line="2" w:lineRule="exact"/>
        <w:rPr>
          <w:rFonts w:ascii="Times New Roman" w:cs="Times New Roman" w:eastAsia="Times New Roman" w:hAnsi="Times New Roman"/>
          <w:sz w:val="18"/>
          <w:szCs w:val="18"/>
          <w:i w:val="1"/>
          <w:iCs w:val="1"/>
          <w:color w:val="auto"/>
        </w:rPr>
      </w:pPr>
    </w:p>
    <w:p>
      <w:pPr>
        <w:jc w:val="both"/>
        <w:ind w:firstLine="8"/>
        <w:spacing w:after="0" w:line="265" w:lineRule="auto"/>
        <w:tabs>
          <w:tab w:leader="none" w:pos="268"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continue to meet stock exchange listing standards; (8) changes in domestic and foreign business, market, financial, political and legal conditions; (9) demand for Polestar’s vehicles or car sale volumes, revenue and margin development based on pricing, variant and market mix, cost reduction efficiencies, logistics and growing aftersales; (10) delays in the expected timelines for the development, design, manufacture, launch and financing of Polestar’s vehicles and Polestar’s reliance on a limited number of vehicle models to generate revenues; (11) increases in costs, disruption of supply or shortage of materials, in particular for lithium-ion cells or semiconductors; (12) risks related to product recalls, regulatory fines and/or an unexpectedly high volume of warranty claims; (13)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(14) the ability of Polestar to grow and manage growth profitably, maintain relationships with customers and suppliers and retain its management and key employees; (15) risks related to future market adoption of Polestar’s offerings; (16) risks related to Polestar’s current distribution model and the evolution of its distribution model in the future; (17) the effects of competition and the high barriers to entry in the automotive industry and the pace and depth of electric vehicle adoption generally on Polestar’s future business; (18) changes in regulatory requirements (including environmental laws and regulations and regulations related to connected vehicles), governmental incentives, tariffs and fuel and energy prices;</w:t>
      </w:r>
    </w:p>
    <w:p>
      <w:pPr>
        <w:spacing w:after="0" w:line="1" w:lineRule="exact"/>
        <w:rPr>
          <w:rFonts w:ascii="Times New Roman" w:cs="Times New Roman" w:eastAsia="Times New Roman" w:hAnsi="Times New Roman"/>
          <w:sz w:val="17"/>
          <w:szCs w:val="17"/>
          <w:i w:val="1"/>
          <w:iCs w:val="1"/>
          <w:color w:val="auto"/>
        </w:rPr>
      </w:pPr>
    </w:p>
    <w:p>
      <w:pPr>
        <w:jc w:val="both"/>
        <w:ind w:firstLine="8"/>
        <w:spacing w:after="0" w:line="251" w:lineRule="auto"/>
        <w:tabs>
          <w:tab w:leader="none" w:pos="373"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the development of vehicle charging networks to provide charging solutions for its vehicles and its strategic partners for servicing its vehicles and their integrated software; (20) Polestar’s ability to establish its brand and capture additional market share, and the risks associated with negative press or reputational harm, including from electric vehicle fires; (21) the outcome of any potential litigation, including litigation involving Polestar and Gores Guggenheim, Inc., government and regulatory proceedings, tax audits, investigations and inquiries; (22) Polestar’s ability to continuously and rapidly innovate, develop and market new products;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1)"/>
      <w:numFmt w:val="decimal"/>
      <w:start w:val="1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2025-10-09T06:07:06Z</dcterms:created>
  <dcterms:modified xsi:type="dcterms:W3CDTF">2025-10-09T06:07:06Z</dcterms:modified>
</cp:coreProperties>
</file>